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32B10"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32B10" w:rsidRDefault="000A03B2" w:rsidP="00DE264A">
            <w:pPr>
              <w:tabs>
                <w:tab w:val="left" w:pos="-108"/>
              </w:tabs>
              <w:ind w:left="-108"/>
              <w:jc w:val="left"/>
              <w:rPr>
                <w:rFonts w:cs="Arial"/>
                <w:b/>
                <w:bCs/>
                <w:i/>
                <w:iCs/>
                <w:color w:val="000066"/>
                <w:sz w:val="12"/>
                <w:szCs w:val="12"/>
                <w:lang w:eastAsia="it-IT"/>
              </w:rPr>
            </w:pPr>
            <w:bookmarkStart w:id="0" w:name="_Hlk145068772"/>
            <w:r w:rsidRPr="00B32B10">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32B10">
              <w:rPr>
                <w:rFonts w:ascii="AdvP6960" w:hAnsi="AdvP6960" w:cs="AdvP6960"/>
                <w:color w:val="241F20"/>
                <w:szCs w:val="18"/>
                <w:lang w:eastAsia="it-IT"/>
              </w:rPr>
              <w:t xml:space="preserve"> </w:t>
            </w:r>
            <w:r w:rsidRPr="00B32B10">
              <w:rPr>
                <w:rFonts w:cs="Arial"/>
                <w:b/>
                <w:bCs/>
                <w:i/>
                <w:iCs/>
                <w:color w:val="000066"/>
                <w:sz w:val="24"/>
                <w:szCs w:val="24"/>
                <w:lang w:eastAsia="it-IT"/>
              </w:rPr>
              <w:t>CHEMICAL ENGINEERING</w:t>
            </w:r>
            <w:r w:rsidRPr="00B32B10">
              <w:rPr>
                <w:rFonts w:cs="Arial"/>
                <w:b/>
                <w:bCs/>
                <w:i/>
                <w:iCs/>
                <w:color w:val="0033FF"/>
                <w:sz w:val="24"/>
                <w:szCs w:val="24"/>
                <w:lang w:eastAsia="it-IT"/>
              </w:rPr>
              <w:t xml:space="preserve"> </w:t>
            </w:r>
            <w:r w:rsidRPr="00B32B10">
              <w:rPr>
                <w:rFonts w:cs="Arial"/>
                <w:b/>
                <w:bCs/>
                <w:i/>
                <w:iCs/>
                <w:color w:val="666666"/>
                <w:sz w:val="24"/>
                <w:szCs w:val="24"/>
                <w:lang w:eastAsia="it-IT"/>
              </w:rPr>
              <w:t>TRANSACTIONS</w:t>
            </w:r>
            <w:r w:rsidRPr="00B32B10">
              <w:rPr>
                <w:color w:val="333333"/>
                <w:sz w:val="24"/>
                <w:szCs w:val="24"/>
                <w:lang w:eastAsia="it-IT"/>
              </w:rPr>
              <w:t xml:space="preserve"> </w:t>
            </w:r>
            <w:r w:rsidRPr="00B32B10">
              <w:rPr>
                <w:rFonts w:cs="Arial"/>
                <w:b/>
                <w:bCs/>
                <w:i/>
                <w:iCs/>
                <w:color w:val="000066"/>
                <w:sz w:val="27"/>
                <w:szCs w:val="27"/>
                <w:lang w:eastAsia="it-IT"/>
              </w:rPr>
              <w:br/>
            </w:r>
          </w:p>
          <w:p w14:paraId="4B780582" w14:textId="47EF826C" w:rsidR="000A03B2" w:rsidRPr="00B32B10" w:rsidRDefault="00A76EFC" w:rsidP="001D21AF">
            <w:pPr>
              <w:tabs>
                <w:tab w:val="left" w:pos="-108"/>
              </w:tabs>
              <w:ind w:left="-108"/>
              <w:rPr>
                <w:rFonts w:cs="Arial"/>
                <w:b/>
                <w:bCs/>
                <w:i/>
                <w:iCs/>
                <w:color w:val="000066"/>
                <w:sz w:val="22"/>
                <w:szCs w:val="22"/>
                <w:lang w:eastAsia="it-IT"/>
              </w:rPr>
            </w:pPr>
            <w:r w:rsidRPr="00B32B10">
              <w:rPr>
                <w:rFonts w:cs="Arial"/>
                <w:b/>
                <w:bCs/>
                <w:i/>
                <w:iCs/>
                <w:color w:val="000066"/>
                <w:sz w:val="22"/>
                <w:szCs w:val="22"/>
                <w:lang w:eastAsia="it-IT"/>
              </w:rPr>
              <w:t>VOL.</w:t>
            </w:r>
            <w:r w:rsidR="00785BF9" w:rsidRPr="00B32B10">
              <w:rPr>
                <w:rFonts w:cs="Arial"/>
                <w:b/>
                <w:bCs/>
                <w:i/>
                <w:iCs/>
                <w:color w:val="000066"/>
                <w:sz w:val="22"/>
                <w:szCs w:val="22"/>
                <w:lang w:eastAsia="it-IT"/>
              </w:rPr>
              <w:t xml:space="preserve"> </w:t>
            </w:r>
            <w:r w:rsidR="00994C6A" w:rsidRPr="00B32B10">
              <w:rPr>
                <w:rFonts w:cs="Arial"/>
                <w:b/>
                <w:bCs/>
                <w:i/>
                <w:iCs/>
                <w:color w:val="000066"/>
                <w:sz w:val="22"/>
                <w:szCs w:val="22"/>
                <w:lang w:eastAsia="it-IT"/>
              </w:rPr>
              <w:t>xxx</w:t>
            </w:r>
            <w:r w:rsidR="007B48F9" w:rsidRPr="00B32B10">
              <w:rPr>
                <w:rFonts w:cs="Arial"/>
                <w:b/>
                <w:bCs/>
                <w:i/>
                <w:iCs/>
                <w:color w:val="000066"/>
                <w:sz w:val="22"/>
                <w:szCs w:val="22"/>
                <w:lang w:eastAsia="it-IT"/>
              </w:rPr>
              <w:t>,</w:t>
            </w:r>
            <w:r w:rsidR="00FA5F5F" w:rsidRPr="00B32B10">
              <w:rPr>
                <w:rFonts w:cs="Arial"/>
                <w:b/>
                <w:bCs/>
                <w:i/>
                <w:iCs/>
                <w:color w:val="000066"/>
                <w:sz w:val="22"/>
                <w:szCs w:val="22"/>
                <w:lang w:eastAsia="it-IT"/>
              </w:rPr>
              <w:t xml:space="preserve"> </w:t>
            </w:r>
            <w:r w:rsidR="0030152C" w:rsidRPr="00B32B10">
              <w:rPr>
                <w:rFonts w:cs="Arial"/>
                <w:b/>
                <w:bCs/>
                <w:i/>
                <w:iCs/>
                <w:color w:val="000066"/>
                <w:sz w:val="22"/>
                <w:szCs w:val="22"/>
                <w:lang w:eastAsia="it-IT"/>
              </w:rPr>
              <w:t>202</w:t>
            </w:r>
            <w:r w:rsidR="00994C6A" w:rsidRPr="00B32B10">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32B10" w:rsidRDefault="000A03B2" w:rsidP="00CD5FE2">
            <w:pPr>
              <w:spacing w:line="140" w:lineRule="atLeast"/>
              <w:jc w:val="right"/>
              <w:rPr>
                <w:rFonts w:cs="Arial"/>
                <w:sz w:val="14"/>
                <w:szCs w:val="14"/>
              </w:rPr>
            </w:pPr>
            <w:r w:rsidRPr="00B32B10">
              <w:rPr>
                <w:rFonts w:cs="Arial"/>
                <w:sz w:val="14"/>
                <w:szCs w:val="14"/>
              </w:rPr>
              <w:t>A publication of</w:t>
            </w:r>
          </w:p>
          <w:p w14:paraId="599E5441" w14:textId="77777777" w:rsidR="000A03B2" w:rsidRPr="00B32B10" w:rsidRDefault="000A03B2" w:rsidP="00CD5FE2">
            <w:pPr>
              <w:jc w:val="right"/>
            </w:pPr>
            <w:r w:rsidRPr="00B32B10">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32B10" w14:paraId="380FA3CD" w14:textId="77777777" w:rsidTr="00DE264A">
        <w:trPr>
          <w:trHeight w:val="567"/>
          <w:jc w:val="center"/>
        </w:trPr>
        <w:tc>
          <w:tcPr>
            <w:tcW w:w="6946" w:type="dxa"/>
            <w:vMerge/>
            <w:tcBorders>
              <w:right w:val="single" w:sz="4" w:space="0" w:color="auto"/>
            </w:tcBorders>
          </w:tcPr>
          <w:p w14:paraId="39E5E4C1" w14:textId="77777777" w:rsidR="000A03B2" w:rsidRPr="00B32B10"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32B10" w:rsidRDefault="000A03B2" w:rsidP="00CD5FE2">
            <w:pPr>
              <w:spacing w:line="140" w:lineRule="atLeast"/>
              <w:jc w:val="right"/>
              <w:rPr>
                <w:rFonts w:cs="Arial"/>
                <w:sz w:val="14"/>
                <w:szCs w:val="14"/>
              </w:rPr>
            </w:pPr>
            <w:r w:rsidRPr="00B32B10">
              <w:rPr>
                <w:rFonts w:cs="Arial"/>
                <w:sz w:val="14"/>
                <w:szCs w:val="14"/>
              </w:rPr>
              <w:t>The Italian Association</w:t>
            </w:r>
          </w:p>
          <w:p w14:paraId="7522B1D2" w14:textId="77777777" w:rsidR="000A03B2" w:rsidRPr="00B32B10" w:rsidRDefault="000A03B2" w:rsidP="00CD5FE2">
            <w:pPr>
              <w:spacing w:line="140" w:lineRule="atLeast"/>
              <w:jc w:val="right"/>
              <w:rPr>
                <w:rFonts w:cs="Arial"/>
                <w:sz w:val="14"/>
                <w:szCs w:val="14"/>
              </w:rPr>
            </w:pPr>
            <w:r w:rsidRPr="00B32B10">
              <w:rPr>
                <w:rFonts w:cs="Arial"/>
                <w:sz w:val="14"/>
                <w:szCs w:val="14"/>
              </w:rPr>
              <w:t>of Chemical Engineering</w:t>
            </w:r>
          </w:p>
          <w:p w14:paraId="4F0CC5DE" w14:textId="47FDB2FC" w:rsidR="000A03B2" w:rsidRPr="00B32B10" w:rsidRDefault="000D0268" w:rsidP="00CD5FE2">
            <w:pPr>
              <w:spacing w:line="140" w:lineRule="atLeast"/>
              <w:jc w:val="right"/>
              <w:rPr>
                <w:rFonts w:cs="Arial"/>
                <w:sz w:val="13"/>
                <w:szCs w:val="13"/>
              </w:rPr>
            </w:pPr>
            <w:r w:rsidRPr="00B32B10">
              <w:rPr>
                <w:rFonts w:cs="Arial"/>
                <w:sz w:val="13"/>
                <w:szCs w:val="13"/>
              </w:rPr>
              <w:t>Online at www.cetjournal.it</w:t>
            </w:r>
          </w:p>
        </w:tc>
      </w:tr>
      <w:tr w:rsidR="000A03B2" w:rsidRPr="00B32B10" w14:paraId="2D1B7169" w14:textId="77777777" w:rsidTr="00DE264A">
        <w:trPr>
          <w:trHeight w:val="68"/>
          <w:jc w:val="center"/>
        </w:trPr>
        <w:tc>
          <w:tcPr>
            <w:tcW w:w="8789" w:type="dxa"/>
            <w:gridSpan w:val="2"/>
          </w:tcPr>
          <w:p w14:paraId="30F07041" w14:textId="11182ABA" w:rsidR="00F27EE4" w:rsidRPr="00B32B10" w:rsidRDefault="00AA7D26" w:rsidP="00F27EE4">
            <w:pPr>
              <w:ind w:left="-107"/>
              <w:rPr>
                <w:rFonts w:ascii="Tahoma" w:hAnsi="Tahoma" w:cs="Tahoma"/>
                <w:b/>
                <w:bCs/>
                <w:color w:val="000000"/>
                <w:sz w:val="14"/>
                <w:szCs w:val="14"/>
                <w:shd w:val="clear" w:color="auto" w:fill="FFFFFF"/>
                <w:lang w:val="it-IT"/>
              </w:rPr>
            </w:pPr>
            <w:r w:rsidRPr="00B32B10">
              <w:rPr>
                <w:rFonts w:ascii="Tahoma" w:hAnsi="Tahoma" w:cs="Tahoma"/>
                <w:iCs/>
                <w:color w:val="333333"/>
                <w:sz w:val="14"/>
                <w:szCs w:val="14"/>
                <w:lang w:val="it-IT" w:eastAsia="it-IT"/>
              </w:rPr>
              <w:t>Guest Editors:</w:t>
            </w:r>
            <w:r w:rsidR="007D610D" w:rsidRPr="00B32B10">
              <w:rPr>
                <w:rFonts w:ascii="Aptos" w:eastAsiaTheme="minorHAnsi" w:hAnsi="Aptos" w:cs="Aptos"/>
                <w:sz w:val="22"/>
                <w:szCs w:val="22"/>
                <w:lang w:val="it-IT"/>
                <w14:ligatures w14:val="standardContextual"/>
              </w:rPr>
              <w:t xml:space="preserve"> </w:t>
            </w:r>
            <w:r w:rsidR="00F27EE4" w:rsidRPr="00B32B10">
              <w:rPr>
                <w:rFonts w:ascii="Tahoma" w:hAnsi="Tahoma" w:cs="Tahoma"/>
                <w:color w:val="000000"/>
                <w:sz w:val="14"/>
                <w:szCs w:val="14"/>
                <w:shd w:val="clear" w:color="auto" w:fill="FFFFFF"/>
                <w:lang w:val="it-IT"/>
              </w:rPr>
              <w:t>Bruno Fabiano, Valerio Cozzani</w:t>
            </w:r>
          </w:p>
          <w:p w14:paraId="1B0F1814" w14:textId="2DB8A072" w:rsidR="000A03B2" w:rsidRPr="00B32B10" w:rsidRDefault="00AA7D26" w:rsidP="00AA7D26">
            <w:pPr>
              <w:tabs>
                <w:tab w:val="left" w:pos="-108"/>
              </w:tabs>
              <w:spacing w:line="140" w:lineRule="atLeast"/>
              <w:ind w:left="-107"/>
              <w:jc w:val="left"/>
            </w:pPr>
            <w:r w:rsidRPr="00B32B10">
              <w:rPr>
                <w:rFonts w:ascii="Tahoma" w:hAnsi="Tahoma" w:cs="Tahoma"/>
                <w:iCs/>
                <w:color w:val="333333"/>
                <w:sz w:val="14"/>
                <w:szCs w:val="14"/>
                <w:lang w:eastAsia="it-IT"/>
              </w:rPr>
              <w:t>Copyright © 202</w:t>
            </w:r>
            <w:r w:rsidR="00994C6A" w:rsidRPr="00B32B10">
              <w:rPr>
                <w:rFonts w:ascii="Tahoma" w:hAnsi="Tahoma" w:cs="Tahoma"/>
                <w:iCs/>
                <w:color w:val="333333"/>
                <w:sz w:val="14"/>
                <w:szCs w:val="14"/>
                <w:lang w:eastAsia="it-IT"/>
              </w:rPr>
              <w:t>5</w:t>
            </w:r>
            <w:r w:rsidRPr="00B32B10">
              <w:rPr>
                <w:rFonts w:ascii="Tahoma" w:hAnsi="Tahoma" w:cs="Tahoma"/>
                <w:iCs/>
                <w:color w:val="333333"/>
                <w:sz w:val="14"/>
                <w:szCs w:val="14"/>
                <w:lang w:eastAsia="it-IT"/>
              </w:rPr>
              <w:t xml:space="preserve">, AIDIC </w:t>
            </w:r>
            <w:proofErr w:type="spellStart"/>
            <w:r w:rsidRPr="00B32B10">
              <w:rPr>
                <w:rFonts w:ascii="Tahoma" w:hAnsi="Tahoma" w:cs="Tahoma"/>
                <w:iCs/>
                <w:color w:val="333333"/>
                <w:sz w:val="14"/>
                <w:szCs w:val="14"/>
                <w:lang w:eastAsia="it-IT"/>
              </w:rPr>
              <w:t>Servizi</w:t>
            </w:r>
            <w:proofErr w:type="spellEnd"/>
            <w:r w:rsidRPr="00B32B10">
              <w:rPr>
                <w:rFonts w:ascii="Tahoma" w:hAnsi="Tahoma" w:cs="Tahoma"/>
                <w:iCs/>
                <w:color w:val="333333"/>
                <w:sz w:val="14"/>
                <w:szCs w:val="14"/>
                <w:lang w:eastAsia="it-IT"/>
              </w:rPr>
              <w:t xml:space="preserve"> </w:t>
            </w:r>
            <w:proofErr w:type="spellStart"/>
            <w:r w:rsidRPr="00B32B10">
              <w:rPr>
                <w:rFonts w:ascii="Tahoma" w:hAnsi="Tahoma" w:cs="Tahoma"/>
                <w:iCs/>
                <w:color w:val="333333"/>
                <w:sz w:val="14"/>
                <w:szCs w:val="14"/>
                <w:lang w:eastAsia="it-IT"/>
              </w:rPr>
              <w:t>S.r.l</w:t>
            </w:r>
            <w:proofErr w:type="spellEnd"/>
            <w:r w:rsidRPr="00B32B10">
              <w:rPr>
                <w:rFonts w:ascii="Tahoma" w:hAnsi="Tahoma" w:cs="Tahoma"/>
                <w:iCs/>
                <w:color w:val="333333"/>
                <w:sz w:val="14"/>
                <w:szCs w:val="14"/>
                <w:lang w:eastAsia="it-IT"/>
              </w:rPr>
              <w:t>.</w:t>
            </w:r>
            <w:r w:rsidRPr="00B32B10">
              <w:rPr>
                <w:rFonts w:ascii="Tahoma" w:hAnsi="Tahoma" w:cs="Tahoma"/>
                <w:iCs/>
                <w:color w:val="333333"/>
                <w:sz w:val="14"/>
                <w:szCs w:val="14"/>
                <w:lang w:eastAsia="it-IT"/>
              </w:rPr>
              <w:br/>
            </w:r>
            <w:r w:rsidRPr="00B32B10">
              <w:rPr>
                <w:rFonts w:ascii="Tahoma" w:hAnsi="Tahoma" w:cs="Tahoma"/>
                <w:b/>
                <w:iCs/>
                <w:color w:val="000000"/>
                <w:sz w:val="14"/>
                <w:szCs w:val="14"/>
                <w:lang w:eastAsia="it-IT"/>
              </w:rPr>
              <w:t>ISBN</w:t>
            </w:r>
            <w:r w:rsidRPr="00B32B10">
              <w:rPr>
                <w:rFonts w:ascii="Tahoma" w:hAnsi="Tahoma" w:cs="Tahoma"/>
                <w:iCs/>
                <w:color w:val="000000"/>
                <w:sz w:val="14"/>
                <w:szCs w:val="14"/>
                <w:lang w:eastAsia="it-IT"/>
              </w:rPr>
              <w:t xml:space="preserve"> </w:t>
            </w:r>
            <w:r w:rsidR="003B49CD" w:rsidRPr="00B32B10">
              <w:rPr>
                <w:rFonts w:ascii="Tahoma" w:hAnsi="Tahoma" w:cs="Tahoma"/>
                <w:sz w:val="14"/>
                <w:szCs w:val="14"/>
              </w:rPr>
              <w:t>979-12-81206-</w:t>
            </w:r>
            <w:r w:rsidR="00F27EE4" w:rsidRPr="00B32B10">
              <w:rPr>
                <w:rFonts w:ascii="Tahoma" w:hAnsi="Tahoma" w:cs="Tahoma"/>
                <w:sz w:val="14"/>
                <w:szCs w:val="14"/>
              </w:rPr>
              <w:t>xx-y</w:t>
            </w:r>
            <w:r w:rsidRPr="00B32B10">
              <w:rPr>
                <w:rFonts w:ascii="Tahoma" w:hAnsi="Tahoma" w:cs="Tahoma"/>
                <w:iCs/>
                <w:color w:val="333333"/>
                <w:sz w:val="14"/>
                <w:szCs w:val="14"/>
                <w:lang w:eastAsia="it-IT"/>
              </w:rPr>
              <w:t xml:space="preserve">; </w:t>
            </w:r>
            <w:r w:rsidRPr="00B32B10">
              <w:rPr>
                <w:rFonts w:ascii="Tahoma" w:hAnsi="Tahoma" w:cs="Tahoma"/>
                <w:b/>
                <w:iCs/>
                <w:color w:val="333333"/>
                <w:sz w:val="14"/>
                <w:szCs w:val="14"/>
                <w:lang w:eastAsia="it-IT"/>
              </w:rPr>
              <w:t>ISSN</w:t>
            </w:r>
            <w:r w:rsidRPr="00B32B10">
              <w:rPr>
                <w:rFonts w:ascii="Tahoma" w:hAnsi="Tahoma" w:cs="Tahoma"/>
                <w:iCs/>
                <w:color w:val="333333"/>
                <w:sz w:val="14"/>
                <w:szCs w:val="14"/>
                <w:lang w:eastAsia="it-IT"/>
              </w:rPr>
              <w:t xml:space="preserve"> 2283-9216</w:t>
            </w:r>
          </w:p>
        </w:tc>
      </w:tr>
    </w:tbl>
    <w:bookmarkEnd w:id="0"/>
    <w:p w14:paraId="2E667253" w14:textId="74C02D69" w:rsidR="00E978D0" w:rsidRPr="00B32B10" w:rsidRDefault="00B075BA" w:rsidP="00E978D0">
      <w:pPr>
        <w:pStyle w:val="CETTitle"/>
      </w:pPr>
      <w:r w:rsidRPr="00B32B10">
        <w:t xml:space="preserve">Learning from past accidents, is it </w:t>
      </w:r>
      <w:r w:rsidR="007E1E20" w:rsidRPr="00B32B10">
        <w:t>possible</w:t>
      </w:r>
      <w:r w:rsidRPr="00B32B10">
        <w:t>?</w:t>
      </w:r>
    </w:p>
    <w:p w14:paraId="0488FED2" w14:textId="69D0229F" w:rsidR="00B57E6F" w:rsidRPr="00B32B10" w:rsidRDefault="00B075BA" w:rsidP="00B57E6F">
      <w:pPr>
        <w:pStyle w:val="CETAuthors"/>
        <w:rPr>
          <w:lang w:val="it-IT"/>
        </w:rPr>
      </w:pPr>
      <w:r w:rsidRPr="00B32B10">
        <w:rPr>
          <w:lang w:val="it-IT"/>
        </w:rPr>
        <w:t>Elisa</w:t>
      </w:r>
      <w:r w:rsidR="000D6E48" w:rsidRPr="00B32B10">
        <w:rPr>
          <w:lang w:val="it-IT"/>
        </w:rPr>
        <w:t xml:space="preserve"> Zonda</w:t>
      </w:r>
      <w:r w:rsidR="00B57E6F" w:rsidRPr="00B32B10">
        <w:rPr>
          <w:vertAlign w:val="superscript"/>
          <w:lang w:val="it-IT"/>
        </w:rPr>
        <w:t>a</w:t>
      </w:r>
      <w:r w:rsidR="00B57E6F" w:rsidRPr="00B32B10">
        <w:rPr>
          <w:lang w:val="it-IT"/>
        </w:rPr>
        <w:t xml:space="preserve">, </w:t>
      </w:r>
      <w:r w:rsidRPr="00B32B10">
        <w:rPr>
          <w:lang w:val="it-IT"/>
        </w:rPr>
        <w:t>Marco Barozzi</w:t>
      </w:r>
      <w:r w:rsidR="00B57E6F" w:rsidRPr="00B32B10">
        <w:rPr>
          <w:vertAlign w:val="superscript"/>
          <w:lang w:val="it-IT"/>
        </w:rPr>
        <w:t>b,</w:t>
      </w:r>
      <w:r w:rsidR="00B57E6F" w:rsidRPr="00B32B10">
        <w:rPr>
          <w:lang w:val="it-IT"/>
        </w:rPr>
        <w:t>*,</w:t>
      </w:r>
      <w:r w:rsidRPr="00B32B10">
        <w:rPr>
          <w:lang w:val="it-IT"/>
        </w:rPr>
        <w:t xml:space="preserve"> </w:t>
      </w:r>
      <w:r w:rsidR="007E1E20" w:rsidRPr="00B32B10">
        <w:rPr>
          <w:lang w:val="it-IT"/>
        </w:rPr>
        <w:t>Aurora La</w:t>
      </w:r>
      <w:r w:rsidR="00B0149C" w:rsidRPr="00B32B10">
        <w:rPr>
          <w:lang w:val="it-IT"/>
        </w:rPr>
        <w:t>f</w:t>
      </w:r>
      <w:r w:rsidR="007E1E20" w:rsidRPr="00B32B10">
        <w:rPr>
          <w:lang w:val="it-IT"/>
        </w:rPr>
        <w:t>iosca</w:t>
      </w:r>
      <w:r w:rsidR="007E1E20" w:rsidRPr="00B32B10">
        <w:rPr>
          <w:vertAlign w:val="superscript"/>
          <w:lang w:val="it-IT"/>
        </w:rPr>
        <w:t>c</w:t>
      </w:r>
      <w:r w:rsidR="007E1E20" w:rsidRPr="00B32B10">
        <w:rPr>
          <w:lang w:val="it-IT"/>
        </w:rPr>
        <w:t xml:space="preserve">, </w:t>
      </w:r>
      <w:r w:rsidRPr="00B32B10">
        <w:rPr>
          <w:lang w:val="it-IT"/>
        </w:rPr>
        <w:t>Sabrina Copelli</w:t>
      </w:r>
      <w:r w:rsidR="007E1E20" w:rsidRPr="00B32B10">
        <w:rPr>
          <w:vertAlign w:val="superscript"/>
          <w:lang w:val="it-IT"/>
        </w:rPr>
        <w:t>b</w:t>
      </w:r>
      <w:r w:rsidRPr="00B32B10">
        <w:rPr>
          <w:lang w:val="it-IT"/>
        </w:rPr>
        <w:t>, Sara Perelli</w:t>
      </w:r>
      <w:r w:rsidR="007E1E20" w:rsidRPr="00B32B10">
        <w:rPr>
          <w:vertAlign w:val="superscript"/>
          <w:lang w:val="it-IT"/>
        </w:rPr>
        <w:t>c</w:t>
      </w:r>
      <w:r w:rsidRPr="00B32B10">
        <w:rPr>
          <w:lang w:val="it-IT"/>
        </w:rPr>
        <w:t xml:space="preserve"> </w:t>
      </w:r>
    </w:p>
    <w:p w14:paraId="7C8609C5" w14:textId="5B68EA36" w:rsidR="00B075BA" w:rsidRPr="00B32B10" w:rsidRDefault="00B075BA" w:rsidP="00B075BA">
      <w:pPr>
        <w:pStyle w:val="CETAddress"/>
      </w:pPr>
      <w:r w:rsidRPr="00B32B10">
        <w:rPr>
          <w:vertAlign w:val="superscript"/>
        </w:rPr>
        <w:t>a</w:t>
      </w:r>
      <w:r w:rsidRPr="00B32B10">
        <w:t xml:space="preserve">Department </w:t>
      </w:r>
      <w:r w:rsidR="001660D6" w:rsidRPr="00B32B10">
        <w:rPr>
          <w:lang w:val="en-US"/>
        </w:rPr>
        <w:t>of Theoretical and Applied Science</w:t>
      </w:r>
      <w:r w:rsidRPr="00B32B10">
        <w:t xml:space="preserve">, </w:t>
      </w:r>
      <w:r w:rsidR="007E1E20" w:rsidRPr="00B32B10">
        <w:rPr>
          <w:lang w:val="en-US"/>
        </w:rPr>
        <w:t>University of Insubria</w:t>
      </w:r>
      <w:r w:rsidRPr="00B32B10">
        <w:t xml:space="preserve">, Via </w:t>
      </w:r>
      <w:r w:rsidR="007E1E20" w:rsidRPr="00B32B10">
        <w:t>Valleggio 9</w:t>
      </w:r>
      <w:r w:rsidRPr="00B32B10">
        <w:t xml:space="preserve">, </w:t>
      </w:r>
      <w:r w:rsidR="007E1E20" w:rsidRPr="00B32B10">
        <w:t>22070</w:t>
      </w:r>
      <w:r w:rsidRPr="00B32B10">
        <w:t xml:space="preserve">, </w:t>
      </w:r>
      <w:r w:rsidR="007E1E20" w:rsidRPr="00B32B10">
        <w:t xml:space="preserve">Como (CO), </w:t>
      </w:r>
      <w:r w:rsidRPr="00B32B10">
        <w:t>Italy</w:t>
      </w:r>
    </w:p>
    <w:p w14:paraId="3E4B41C3" w14:textId="5EEF122C" w:rsidR="00B075BA" w:rsidRPr="00B32B10" w:rsidRDefault="00B075BA" w:rsidP="00B075BA">
      <w:pPr>
        <w:pStyle w:val="CETAddress"/>
        <w:rPr>
          <w:lang w:val="en-US"/>
        </w:rPr>
      </w:pPr>
      <w:r w:rsidRPr="00B32B10">
        <w:rPr>
          <w:vertAlign w:val="superscript"/>
          <w:lang w:val="en-US"/>
        </w:rPr>
        <w:t>b</w:t>
      </w:r>
      <w:r w:rsidRPr="00B32B10">
        <w:rPr>
          <w:lang w:val="en-US"/>
        </w:rPr>
        <w:t>Department</w:t>
      </w:r>
      <w:r w:rsidR="001660D6" w:rsidRPr="00B32B10">
        <w:t xml:space="preserve"> of Science and High Technology</w:t>
      </w:r>
      <w:r w:rsidRPr="00B32B10">
        <w:rPr>
          <w:lang w:val="en-US"/>
        </w:rPr>
        <w:t xml:space="preserve">, </w:t>
      </w:r>
      <w:r w:rsidR="007E1E20" w:rsidRPr="00B32B10">
        <w:rPr>
          <w:lang w:val="en-US"/>
        </w:rPr>
        <w:t xml:space="preserve">University of Insubria, </w:t>
      </w:r>
      <w:r w:rsidRPr="00B32B10">
        <w:rPr>
          <w:lang w:val="en-US"/>
        </w:rPr>
        <w:t>Via Jean Henry Dunant 3, 22100, Varese</w:t>
      </w:r>
      <w:r w:rsidR="007E1E20" w:rsidRPr="00B32B10">
        <w:rPr>
          <w:lang w:val="en-US"/>
        </w:rPr>
        <w:t xml:space="preserve"> (VA), Italy</w:t>
      </w:r>
      <w:r w:rsidRPr="00B32B10">
        <w:rPr>
          <w:lang w:val="en-US"/>
        </w:rPr>
        <w:t xml:space="preserve"> </w:t>
      </w:r>
    </w:p>
    <w:p w14:paraId="794F9952" w14:textId="1499100F" w:rsidR="00B075BA" w:rsidRPr="00B32B10" w:rsidRDefault="007E1E20" w:rsidP="00B57E6F">
      <w:pPr>
        <w:pStyle w:val="CETAddress"/>
        <w:rPr>
          <w:lang w:val="it-IT"/>
        </w:rPr>
      </w:pPr>
      <w:r w:rsidRPr="00B32B10">
        <w:rPr>
          <w:vertAlign w:val="superscript"/>
          <w:lang w:val="it-IT"/>
        </w:rPr>
        <w:t>c</w:t>
      </w:r>
      <w:r w:rsidR="00B075BA" w:rsidRPr="00B32B10">
        <w:rPr>
          <w:lang w:val="it-IT"/>
        </w:rPr>
        <w:t>DEKRA Italia s.r.l., Process Safety Business Unit, Via Fratelli Gracchi 27, 20122 Cinisello Balsamo (MI)</w:t>
      </w:r>
      <w:r w:rsidRPr="00B32B10">
        <w:rPr>
          <w:lang w:val="it-IT"/>
        </w:rPr>
        <w:t>, Italy</w:t>
      </w:r>
    </w:p>
    <w:p w14:paraId="3D72B0B0" w14:textId="7AF3E2C5" w:rsidR="00B57E6F" w:rsidRPr="00B32B10" w:rsidRDefault="00B57E6F" w:rsidP="00B57E6F">
      <w:pPr>
        <w:pStyle w:val="CETAddress"/>
        <w:rPr>
          <w:lang w:val="it-IT"/>
        </w:rPr>
      </w:pPr>
      <w:r w:rsidRPr="00B32B10">
        <w:rPr>
          <w:lang w:val="it-IT"/>
        </w:rPr>
        <w:t xml:space="preserve"> </w:t>
      </w:r>
    </w:p>
    <w:p w14:paraId="73F1267A" w14:textId="01DFDDD7" w:rsidR="00B57E6F" w:rsidRPr="00B32B10" w:rsidRDefault="00B57E6F" w:rsidP="00B57E6F">
      <w:pPr>
        <w:pStyle w:val="CETemail"/>
      </w:pPr>
      <w:r w:rsidRPr="00B32B10">
        <w:rPr>
          <w:lang w:val="it-IT"/>
        </w:rPr>
        <w:t xml:space="preserve"> </w:t>
      </w:r>
      <w:r w:rsidR="00B075BA" w:rsidRPr="00B32B10">
        <w:t>marco</w:t>
      </w:r>
      <w:r w:rsidRPr="00B32B10">
        <w:t>.</w:t>
      </w:r>
      <w:r w:rsidR="00B075BA" w:rsidRPr="00B32B10">
        <w:t>barozzi</w:t>
      </w:r>
      <w:r w:rsidRPr="00B32B10">
        <w:t>@</w:t>
      </w:r>
      <w:r w:rsidR="00B075BA" w:rsidRPr="00B32B10">
        <w:t>uninsubria.it</w:t>
      </w:r>
    </w:p>
    <w:p w14:paraId="432DAEA7" w14:textId="603546B9" w:rsidR="002477E2" w:rsidRPr="00B32B10" w:rsidRDefault="00763F57" w:rsidP="00B075BA">
      <w:pPr>
        <w:pStyle w:val="CETBodytext"/>
        <w:rPr>
          <w:lang w:val="en-GB"/>
        </w:rPr>
      </w:pPr>
      <w:r w:rsidRPr="00B32B10">
        <w:rPr>
          <w:lang w:val="en-GB"/>
        </w:rPr>
        <w:t>Industrial accidents, though unwanted and often catastrophic, serve as valuable sources of information for identifying deficiencies in the process safety management of chemical plants</w:t>
      </w:r>
      <w:r w:rsidR="00B075BA" w:rsidRPr="00B32B10">
        <w:rPr>
          <w:lang w:val="en-GB"/>
        </w:rPr>
        <w:t xml:space="preserve">. Severe accidents have </w:t>
      </w:r>
      <w:r w:rsidR="003965F0" w:rsidRPr="00B32B10">
        <w:rPr>
          <w:lang w:val="en-GB"/>
        </w:rPr>
        <w:t>usually</w:t>
      </w:r>
      <w:r w:rsidR="00B075BA" w:rsidRPr="00B32B10">
        <w:rPr>
          <w:lang w:val="en-GB"/>
        </w:rPr>
        <w:t xml:space="preserve"> </w:t>
      </w:r>
      <w:r w:rsidR="00C24EA9" w:rsidRPr="00B32B10">
        <w:rPr>
          <w:lang w:val="en-GB"/>
        </w:rPr>
        <w:t xml:space="preserve">been </w:t>
      </w:r>
      <w:r w:rsidR="00B075BA" w:rsidRPr="00B32B10">
        <w:rPr>
          <w:lang w:val="en-GB"/>
        </w:rPr>
        <w:t>an occasion to revise standards and recommendations</w:t>
      </w:r>
      <w:r w:rsidR="002477E2" w:rsidRPr="00B32B10">
        <w:rPr>
          <w:lang w:val="en-GB"/>
        </w:rPr>
        <w:t xml:space="preserve"> for process safety</w:t>
      </w:r>
      <w:r w:rsidR="00B075BA" w:rsidRPr="00B32B10">
        <w:rPr>
          <w:lang w:val="en-GB"/>
        </w:rPr>
        <w:t xml:space="preserve">. </w:t>
      </w:r>
      <w:r w:rsidR="000942C5" w:rsidRPr="00B32B10">
        <w:rPr>
          <w:lang w:val="en-GB"/>
        </w:rPr>
        <w:t>Many national and international organizations (such as the European Commission, the Institution of Chemical Engineers</w:t>
      </w:r>
      <w:r w:rsidR="003965F0" w:rsidRPr="00B32B10">
        <w:rPr>
          <w:lang w:val="en-GB"/>
        </w:rPr>
        <w:t>,</w:t>
      </w:r>
      <w:r w:rsidR="000942C5" w:rsidRPr="00B32B10">
        <w:rPr>
          <w:lang w:val="en-GB"/>
        </w:rPr>
        <w:t xml:space="preserve"> or the Chemical Safety Board) constantly produce reports and accident reconstructions, providing </w:t>
      </w:r>
      <w:r w:rsidR="00C24EA9" w:rsidRPr="00B32B10">
        <w:rPr>
          <w:lang w:val="en-GB"/>
        </w:rPr>
        <w:t>i</w:t>
      </w:r>
      <w:r w:rsidR="000942C5" w:rsidRPr="00B32B10">
        <w:rPr>
          <w:lang w:val="en-GB"/>
        </w:rPr>
        <w:t>nvaluable data to improve the level of process safety</w:t>
      </w:r>
      <w:r w:rsidR="00B075BA" w:rsidRPr="00B32B10">
        <w:rPr>
          <w:lang w:val="en-GB"/>
        </w:rPr>
        <w:t xml:space="preserve">. </w:t>
      </w:r>
      <w:r w:rsidRPr="00B32B10">
        <w:rPr>
          <w:lang w:val="en-GB"/>
        </w:rPr>
        <w:t>The scope of this paper is to highlight deficiencies in the reporting system, which often lead</w:t>
      </w:r>
      <w:r w:rsidR="003965F0" w:rsidRPr="00B32B10">
        <w:rPr>
          <w:lang w:val="en-GB"/>
        </w:rPr>
        <w:t>s</w:t>
      </w:r>
      <w:r w:rsidRPr="00B32B10">
        <w:rPr>
          <w:lang w:val="en-GB"/>
        </w:rPr>
        <w:t xml:space="preserve"> to confusion in the use of information about industrial accidents</w:t>
      </w:r>
      <w:r w:rsidR="002477E2" w:rsidRPr="00B32B10">
        <w:rPr>
          <w:lang w:val="en-GB"/>
        </w:rPr>
        <w:t xml:space="preserve">. The paper analyses a set of </w:t>
      </w:r>
      <w:r w:rsidR="003B6D82" w:rsidRPr="00B32B10">
        <w:rPr>
          <w:lang w:val="en-GB"/>
        </w:rPr>
        <w:t xml:space="preserve">19 </w:t>
      </w:r>
      <w:r w:rsidR="00C24EA9" w:rsidRPr="00B32B10">
        <w:rPr>
          <w:lang w:val="en-GB"/>
        </w:rPr>
        <w:t xml:space="preserve">worldwide </w:t>
      </w:r>
      <w:r w:rsidR="002477E2" w:rsidRPr="00B32B10">
        <w:rPr>
          <w:lang w:val="en-GB"/>
        </w:rPr>
        <w:t xml:space="preserve">chemical accident reports from different sources, involving acrylic substances and ethylene oxide. </w:t>
      </w:r>
      <w:r w:rsidR="000942C5" w:rsidRPr="00B32B10">
        <w:rPr>
          <w:lang w:val="en-GB"/>
        </w:rPr>
        <w:t>A</w:t>
      </w:r>
      <w:r w:rsidR="002477E2" w:rsidRPr="00B32B10">
        <w:rPr>
          <w:lang w:val="en-GB"/>
        </w:rPr>
        <w:t xml:space="preserve"> </w:t>
      </w:r>
      <w:r w:rsidR="00425794" w:rsidRPr="00B32B10">
        <w:rPr>
          <w:lang w:val="en-GB"/>
        </w:rPr>
        <w:t>Root Cause</w:t>
      </w:r>
      <w:r w:rsidR="002477E2" w:rsidRPr="00B32B10">
        <w:rPr>
          <w:lang w:val="en-GB"/>
        </w:rPr>
        <w:t xml:space="preserve"> Analysis </w:t>
      </w:r>
      <w:r w:rsidR="000942C5" w:rsidRPr="00B32B10">
        <w:rPr>
          <w:lang w:val="en-GB"/>
        </w:rPr>
        <w:t xml:space="preserve">is applied </w:t>
      </w:r>
      <w:r w:rsidR="00C24EA9" w:rsidRPr="00B32B10">
        <w:rPr>
          <w:lang w:val="en-GB"/>
        </w:rPr>
        <w:t>to</w:t>
      </w:r>
      <w:r w:rsidR="002477E2" w:rsidRPr="00B32B10">
        <w:rPr>
          <w:lang w:val="en-GB"/>
        </w:rPr>
        <w:t xml:space="preserve"> those accidents, based on</w:t>
      </w:r>
      <w:r w:rsidR="000942C5" w:rsidRPr="00B32B10">
        <w:rPr>
          <w:lang w:val="en-GB"/>
        </w:rPr>
        <w:t xml:space="preserve"> identifying the</w:t>
      </w:r>
      <w:r w:rsidR="002477E2" w:rsidRPr="00B32B10">
        <w:rPr>
          <w:lang w:val="en-GB"/>
        </w:rPr>
        <w:t xml:space="preserve"> failures of the Process Safety Management</w:t>
      </w:r>
      <w:r w:rsidR="000942C5" w:rsidRPr="00B32B10">
        <w:rPr>
          <w:lang w:val="en-GB"/>
        </w:rPr>
        <w:t>. The failure of elements is based on a merged system proposed by the authors on the guidelines</w:t>
      </w:r>
      <w:r w:rsidR="002477E2" w:rsidRPr="00B32B10">
        <w:rPr>
          <w:lang w:val="en-GB"/>
        </w:rPr>
        <w:t xml:space="preserve"> proposed by </w:t>
      </w:r>
      <w:r w:rsidR="00B075BA" w:rsidRPr="00B32B10">
        <w:rPr>
          <w:lang w:val="en-GB"/>
        </w:rPr>
        <w:t xml:space="preserve">the </w:t>
      </w:r>
      <w:proofErr w:type="spellStart"/>
      <w:r w:rsidR="00B075BA" w:rsidRPr="00B32B10">
        <w:rPr>
          <w:lang w:val="en-GB"/>
        </w:rPr>
        <w:t>Center</w:t>
      </w:r>
      <w:proofErr w:type="spellEnd"/>
      <w:r w:rsidR="00B075BA" w:rsidRPr="00B32B10">
        <w:rPr>
          <w:lang w:val="en-GB"/>
        </w:rPr>
        <w:t xml:space="preserve"> for Chemical Process Safety (CCPS) </w:t>
      </w:r>
      <w:r w:rsidR="000942C5" w:rsidRPr="00B32B10">
        <w:rPr>
          <w:lang w:val="en-GB"/>
        </w:rPr>
        <w:t>and</w:t>
      </w:r>
      <w:r w:rsidR="00B075BA" w:rsidRPr="00B32B10">
        <w:rPr>
          <w:lang w:val="en-GB"/>
        </w:rPr>
        <w:t xml:space="preserve"> the Occupational Safety and Health Administration (OSHA)</w:t>
      </w:r>
      <w:r w:rsidR="002477E2" w:rsidRPr="00B32B10">
        <w:rPr>
          <w:lang w:val="en-GB"/>
        </w:rPr>
        <w:t xml:space="preserve">. </w:t>
      </w:r>
      <w:r w:rsidR="000942C5" w:rsidRPr="00B32B10">
        <w:rPr>
          <w:lang w:val="en-GB"/>
        </w:rPr>
        <w:t xml:space="preserve">It is shown that, according to the information provided, </w:t>
      </w:r>
      <w:r w:rsidR="00513876" w:rsidRPr="00B32B10">
        <w:rPr>
          <w:lang w:val="en-GB"/>
        </w:rPr>
        <w:t>only in the 3</w:t>
      </w:r>
      <w:r w:rsidR="003965F0" w:rsidRPr="00B32B10">
        <w:rPr>
          <w:lang w:val="en-GB"/>
        </w:rPr>
        <w:t>7</w:t>
      </w:r>
      <w:r w:rsidR="00513876" w:rsidRPr="00B32B10">
        <w:rPr>
          <w:lang w:val="en-GB"/>
        </w:rPr>
        <w:t xml:space="preserve">% of observed cases a </w:t>
      </w:r>
      <w:r w:rsidR="00425794" w:rsidRPr="00B32B10">
        <w:rPr>
          <w:lang w:val="en-GB"/>
        </w:rPr>
        <w:t>Root Cause</w:t>
      </w:r>
      <w:r w:rsidR="00513876" w:rsidRPr="00B32B10">
        <w:rPr>
          <w:lang w:val="en-GB"/>
        </w:rPr>
        <w:t xml:space="preserve"> could be identified</w:t>
      </w:r>
      <w:r w:rsidR="000942C5" w:rsidRPr="00B32B10">
        <w:rPr>
          <w:lang w:val="en-GB"/>
        </w:rPr>
        <w:t>. It would be of great help</w:t>
      </w:r>
      <w:r w:rsidR="00C24EA9" w:rsidRPr="00B32B10">
        <w:rPr>
          <w:lang w:val="en-GB"/>
        </w:rPr>
        <w:t xml:space="preserve"> in</w:t>
      </w:r>
      <w:r w:rsidR="000942C5" w:rsidRPr="00B32B10">
        <w:rPr>
          <w:lang w:val="en-GB"/>
        </w:rPr>
        <w:t xml:space="preserve"> identifying a more standardized and global approach </w:t>
      </w:r>
      <w:r w:rsidR="00513876" w:rsidRPr="00B32B10">
        <w:rPr>
          <w:lang w:val="en-GB"/>
        </w:rPr>
        <w:t>to</w:t>
      </w:r>
      <w:r w:rsidR="000942C5" w:rsidRPr="00B32B10">
        <w:rPr>
          <w:lang w:val="en-GB"/>
        </w:rPr>
        <w:t xml:space="preserve"> report</w:t>
      </w:r>
      <w:r w:rsidR="00C24EA9" w:rsidRPr="00B32B10">
        <w:rPr>
          <w:lang w:val="en-GB"/>
        </w:rPr>
        <w:t>ing</w:t>
      </w:r>
      <w:r w:rsidR="000942C5" w:rsidRPr="00B32B10">
        <w:rPr>
          <w:lang w:val="en-GB"/>
        </w:rPr>
        <w:t xml:space="preserve"> industrial accidents, with the scope of providing valuable information to improve process safety worldwide. </w:t>
      </w:r>
    </w:p>
    <w:p w14:paraId="61456D18" w14:textId="77777777" w:rsidR="002477E2" w:rsidRPr="00B32B10" w:rsidRDefault="002477E2" w:rsidP="00B075BA">
      <w:pPr>
        <w:pStyle w:val="CETBodytext"/>
        <w:rPr>
          <w:lang w:val="en-GB"/>
        </w:rPr>
      </w:pPr>
    </w:p>
    <w:p w14:paraId="476B2F2E" w14:textId="52B36035" w:rsidR="00600535" w:rsidRPr="00B32B10" w:rsidRDefault="00600535" w:rsidP="00600535">
      <w:pPr>
        <w:pStyle w:val="CETHeading1"/>
        <w:rPr>
          <w:lang w:val="en-GB"/>
        </w:rPr>
      </w:pPr>
      <w:r w:rsidRPr="00B32B10">
        <w:rPr>
          <w:lang w:val="en-GB"/>
        </w:rPr>
        <w:t>Introduction</w:t>
      </w:r>
    </w:p>
    <w:p w14:paraId="309F3EE7" w14:textId="6810129C" w:rsidR="00257989" w:rsidRPr="00B32B10" w:rsidRDefault="00763F57" w:rsidP="00EA2BA6">
      <w:pPr>
        <w:pStyle w:val="CETBodytext"/>
        <w:rPr>
          <w:lang w:val="en-GB"/>
        </w:rPr>
      </w:pPr>
      <w:r w:rsidRPr="00B32B10">
        <w:rPr>
          <w:lang w:val="en-GB"/>
        </w:rPr>
        <w:t xml:space="preserve">Industrial safety is a dynamic field that requires continuous updates to adapt to new technologies, substances, and production </w:t>
      </w:r>
      <w:r w:rsidR="002B02AB" w:rsidRPr="00B32B10">
        <w:rPr>
          <w:lang w:val="en-GB"/>
        </w:rPr>
        <w:t>methods</w:t>
      </w:r>
      <w:r w:rsidR="00CE784E" w:rsidRPr="00B32B10">
        <w:rPr>
          <w:lang w:val="en-GB"/>
        </w:rPr>
        <w:t xml:space="preserve"> </w:t>
      </w:r>
      <w:r w:rsidR="00CE784E" w:rsidRPr="00B32B10">
        <w:rPr>
          <w:lang w:val="en-GB"/>
        </w:rPr>
        <w:fldChar w:fldCharType="begin"/>
      </w:r>
      <w:r w:rsidR="00CE784E" w:rsidRPr="00B32B10">
        <w:rPr>
          <w:lang w:val="en-GB"/>
        </w:rPr>
        <w:instrText xml:space="preserve"> ADDIN ZOTERO_ITEM CSL_CITATION {"citationID":"qzYKxrnz","properties":{"formattedCitation":"(Abedsoltan et al., 2024; Chiang, 2024; Kletz, 1996)","plainCitation":"(Abedsoltan et al., 2024; Chiang, 2024; Kletz, 1996)","noteIndex":0},"citationItems":[{"id":248,"uris":["http://zotero.org/users/local/mDzd7GNh/items/6GXI2VWP"],"itemData":{"id":248,"type":"article-journal","abstract":"This review explores the evolving landscape of process safety, emphasizing the integration of digitalization and advanced technologies. It assesses the role of the industrial Internet of Things, artificial intelligence, and machine learning (ML) in enhancing safety protocols. The paper examines predictive analytics, sensor technology advancements, and digital twins' contributions to safety optimization. It also discusses the future perspectives of risk management approaches, including proactive safety management systems, quantitative risk assessment techniques, and human reliability analysis. This comprehensive analysis provides insights into future developments and challenges in process safety.","container-title":"Process Safety and Environmental Protection","DOI":"10.1016/j.psep.2024.03.034","ISSN":"0957-5820","journalAbbreviation":"Process Safety and Environmental Protection","page":"684-707","source":"ScienceDirect","title":"Future of process safety: Insights, approaches, and potential developments","title-short":"Future of process safety","volume":"185","author":[{"family":"Abedsoltan","given":"Hossein"},{"family":"Abedsoltan","given":"Amirhesam"},{"family":"Zoghi","given":"Zeinab"}],"issued":{"date-parts":[["2024",5,1]]}}},{"id":247,"uris":["http://zotero.org/users/local/mDzd7GNh/items/ITJSJ6SH"],"itemData":{"id":247,"type":"article-journal","abstract":"Process intensification (PI) traditionally refers to technologies and strategies that are applied in chemical and process engineering domains. It goes above and beyond process optimization through innovatively and strategically reimagining reactor systems to achieve higher efficiency, reduced energy consumption, improved operational safety, and minimized environmental impact. In the perspective, we discuss the potential of how the concepts of PI can be adopted and adapted in the management of soils and crops and in combating climate change to enhance the efficiency, safety, and sustainability of agricultural systems.","container-title":"Chemical Engineering and Processing - Process Intensification","DOI":"10.1016/j.cep.2024.110029","ISSN":"0255-2701","journalAbbreviation":"Chemical Engineering and Processing - Process Intensification","page":"110029","source":"ScienceDirect","title":"Process intensification technologies to enhance agricultural sustainability and safety","volume":"205","author":[{"family":"Chiang","given":"Yi Wai"}],"issued":{"date-parts":[["2024",11,1]]}}},{"id":212,"uris":["http://zotero.org/users/local/mDzd7GNh/items/KWLRNXP6"],"itemData":{"id":212,"type":"article-journal","abstract":"Inherently safer design, that is, avoiding hazards rather than controlling them, has advocated since the explosion at Flixborough in 1974. Progress has been real but nevertheless the concept has not been adopted nearly as rapidly as quantitative risk assessment, introduced into the chemical industry only a few years earlier. The present position is reviewed and the constraints that have to be overcome are outlined. A man takes a mustard seed and sows it in his field. It is the smallest of all seeds, but when it grows up, it is the biggest of all plants. It becomes a tree…—Matthew 13:31–32 It takes longer to familiarize oneself with a region of the mind than with a country…—Graham Greene (Introduction to Brighton Rock)","container-title":"Process Safety Progress","DOI":"10.1002/prs.680150105","ISSN":"1547-5913","issue":"1","language":"en","license":"Copyright © 1996 American Institute of Chemical Engineers","note":"_eprint: https://onlinelibrary.wiley.com/doi/pdf/10.1002/prs.680150105","page":"5-8","source":"Wiley Online Library","title":"Inherently safer design: The growth of an idea","title-short":"Inherently safer design","volume":"15","author":[{"family":"Kletz","given":"Trevor A."}],"issued":{"date-parts":[["1996"]]}}}],"schema":"https://github.com/citation-style-language/schema/raw/master/csl-citation.json"} </w:instrText>
      </w:r>
      <w:r w:rsidR="00CE784E" w:rsidRPr="00B32B10">
        <w:rPr>
          <w:lang w:val="en-GB"/>
        </w:rPr>
        <w:fldChar w:fldCharType="separate"/>
      </w:r>
      <w:r w:rsidR="00CE784E" w:rsidRPr="00B32B10">
        <w:rPr>
          <w:rFonts w:cs="Arial"/>
        </w:rPr>
        <w:t>(Abedsoltan et al., 2024; Chiang, 2024; Kletz, 1996)</w:t>
      </w:r>
      <w:r w:rsidR="00CE784E" w:rsidRPr="00B32B10">
        <w:rPr>
          <w:lang w:val="en-GB"/>
        </w:rPr>
        <w:fldChar w:fldCharType="end"/>
      </w:r>
      <w:r w:rsidR="002B02AB" w:rsidRPr="00B32B10">
        <w:rPr>
          <w:lang w:val="en-GB"/>
        </w:rPr>
        <w:t xml:space="preserve">. Studying past events helps </w:t>
      </w:r>
      <w:r w:rsidR="00257989" w:rsidRPr="00B32B10">
        <w:rPr>
          <w:lang w:val="en-GB"/>
        </w:rPr>
        <w:t>in</w:t>
      </w:r>
      <w:r w:rsidR="002B02AB" w:rsidRPr="00B32B10">
        <w:rPr>
          <w:lang w:val="en-GB"/>
        </w:rPr>
        <w:t xml:space="preserve"> identify</w:t>
      </w:r>
      <w:r w:rsidR="00257989" w:rsidRPr="00B32B10">
        <w:rPr>
          <w:lang w:val="en-GB"/>
        </w:rPr>
        <w:t>ing</w:t>
      </w:r>
      <w:r w:rsidR="002B02AB" w:rsidRPr="00B32B10">
        <w:rPr>
          <w:lang w:val="en-GB"/>
        </w:rPr>
        <w:t xml:space="preserve"> the </w:t>
      </w:r>
      <w:r w:rsidR="00425794" w:rsidRPr="00B32B10">
        <w:rPr>
          <w:lang w:val="en-GB"/>
        </w:rPr>
        <w:t>Root Cause</w:t>
      </w:r>
      <w:r w:rsidR="002B02AB" w:rsidRPr="00B32B10">
        <w:rPr>
          <w:lang w:val="en-GB"/>
        </w:rPr>
        <w:t xml:space="preserve"> of accidents</w:t>
      </w:r>
      <w:r w:rsidR="00B90185" w:rsidRPr="00B32B10">
        <w:rPr>
          <w:lang w:val="en-GB"/>
        </w:rPr>
        <w:t xml:space="preserve"> </w:t>
      </w:r>
      <w:r w:rsidR="00B90185" w:rsidRPr="00B32B10">
        <w:rPr>
          <w:lang w:val="en-GB"/>
        </w:rPr>
        <w:fldChar w:fldCharType="begin"/>
      </w:r>
      <w:r w:rsidR="00B90185" w:rsidRPr="00B32B10">
        <w:rPr>
          <w:lang w:val="en-GB"/>
        </w:rPr>
        <w:instrText xml:space="preserve"> ADDIN ZOTERO_ITEM CSL_CITATION {"citationID":"2rqRzODM","properties":{"formattedCitation":"(Barozzi et al., 2020)","plainCitation":"(Barozzi et al., 2020)","noteIndex":0},"citationItems":[{"id":78,"uris":["http://zotero.org/users/local/mDzd7GNh/items/FU4T28E4"],"itemData":{"id":78,"type":"article-journal","abstract":"Organic dust explosions were and are still today a critical issue in the food, pharmaceutical, and fine chemical industry. Materials such as flour, corn starch, sugar and APIs represent a cause of severe accidents. In this framework, we investigated a modified version of Recursive Operability Analysis&amp;minus;Incidental Sequence Diagrams (ROA&amp;ndash;ISD), called ROA Plus&amp;minus;ISD, specifically tailored to describe industrial processes involving organic combustible dusts. Compared to more classical techniques such as Hazard and Operability (HazOp), ROA&amp;minus;ISD allows for a direct generation of fault trees, providing a useful tool to connect Qualitative with Quantitative Risk Analysis (QRA). ROA Plus&amp;minus;ISD is very similar to ROA&amp;minus;Cause Consequence Diagrams (CCD), which has already proven to be an effective tool to perform both risk assessment on existing plants and reconstructing already occurred accidents, given its logical structure and width of the application fields. In this work, we modified specific parts of the standard ROA&amp;minus;CCD method: (1) the Failure Mode and Operability Analysis (FMEA) database has been structured in order to retrieve the well-known explosion pentagon (for dusts) and all the instruments, devices, apparatuses and controllers typical of industries which process organic dusts; (2) a new comprehensive list of process variables has been compiled. In this way, it is possible to tailor the information required for the generation of the fault trees concerning top events involving mainly dust explosions and fires. This method has been implemented in order to reconstruct the dynamics of the February 2008 Imperial Sugar refinery plant accident (Port Wentworth, GA, USA). Results demonstrated the applicability of the enhanced method by highlighting the criticalities of the process already showed by a previously detailed reconstruction performed by the Chemical Safety Board.","container-title":"International Journal of Environmental Research and Public Health","DOI":"10.3390/ijerph17093078","ISSN":"1660-4601","issue":"9","title":"Application of an Enhanced Version of Recursive Operability Analysis for Combustible Dusts Risk Assessment","volume":"17","author":[{"family":"Barozzi","given":"Marco"},{"family":"Copelli","given":"Sabrina"},{"family":"Scotton","given":"Martina S."},{"family":"Torretta","given":"Vincenzo"}],"issued":{"date-parts":[["2020"]]}}}],"schema":"https://github.com/citation-style-language/schema/raw/master/csl-citation.json"} </w:instrText>
      </w:r>
      <w:r w:rsidR="00B90185" w:rsidRPr="00B32B10">
        <w:rPr>
          <w:lang w:val="en-GB"/>
        </w:rPr>
        <w:fldChar w:fldCharType="separate"/>
      </w:r>
      <w:r w:rsidR="00B90185" w:rsidRPr="00B32B10">
        <w:rPr>
          <w:rFonts w:cs="Arial"/>
        </w:rPr>
        <w:t>(Barozzi et al., 2020)</w:t>
      </w:r>
      <w:r w:rsidR="00B90185" w:rsidRPr="00B32B10">
        <w:rPr>
          <w:lang w:val="en-GB"/>
        </w:rPr>
        <w:fldChar w:fldCharType="end"/>
      </w:r>
      <w:r w:rsidR="00257989" w:rsidRPr="00B32B10">
        <w:rPr>
          <w:lang w:val="en-GB"/>
        </w:rPr>
        <w:t>.</w:t>
      </w:r>
      <w:r w:rsidR="002B02AB" w:rsidRPr="00B32B10">
        <w:rPr>
          <w:lang w:val="en-GB"/>
        </w:rPr>
        <w:t xml:space="preserve"> </w:t>
      </w:r>
      <w:r w:rsidR="00257989" w:rsidRPr="00B32B10">
        <w:rPr>
          <w:lang w:val="en-GB"/>
        </w:rPr>
        <w:t>M</w:t>
      </w:r>
      <w:r w:rsidR="002B02AB" w:rsidRPr="00B32B10">
        <w:rPr>
          <w:lang w:val="en-GB"/>
        </w:rPr>
        <w:t xml:space="preserve">oreover, past accidents provide valuable learning and improvement opportunities by analysing the causes and circumstances or consequences that led to such </w:t>
      </w:r>
      <w:r w:rsidR="00B90185" w:rsidRPr="00B32B10">
        <w:rPr>
          <w:lang w:val="en-GB"/>
        </w:rPr>
        <w:t>events</w:t>
      </w:r>
      <w:r w:rsidR="002B02AB" w:rsidRPr="00B32B10">
        <w:rPr>
          <w:lang w:val="en-GB"/>
        </w:rPr>
        <w:t>.</w:t>
      </w:r>
      <w:r w:rsidR="00257989" w:rsidRPr="00B32B10">
        <w:rPr>
          <w:lang w:val="en-GB"/>
        </w:rPr>
        <w:t xml:space="preserve"> The infamous accident of 1976 in the city of Seveso (Italy) set the base to the develop the namesake European Directive. The explosion of Kunshan (China) in 2014</w:t>
      </w:r>
      <w:r w:rsidR="00CE784E" w:rsidRPr="00B32B10">
        <w:rPr>
          <w:lang w:val="en-GB"/>
        </w:rPr>
        <w:t xml:space="preserve"> </w:t>
      </w:r>
      <w:r w:rsidR="00257989" w:rsidRPr="00B32B10">
        <w:rPr>
          <w:lang w:val="en-GB"/>
        </w:rPr>
        <w:t xml:space="preserve"> </w:t>
      </w:r>
      <w:r w:rsidR="00CE784E" w:rsidRPr="00B32B10">
        <w:rPr>
          <w:lang w:val="en-GB"/>
        </w:rPr>
        <w:t>led to</w:t>
      </w:r>
      <w:r w:rsidR="00257989" w:rsidRPr="00B32B10">
        <w:rPr>
          <w:lang w:val="en-GB"/>
        </w:rPr>
        <w:t xml:space="preserve"> a study </w:t>
      </w:r>
      <w:r w:rsidR="003965F0" w:rsidRPr="00B32B10">
        <w:rPr>
          <w:lang w:val="en-GB"/>
        </w:rPr>
        <w:t>by</w:t>
      </w:r>
      <w:r w:rsidR="00257989" w:rsidRPr="00B32B10">
        <w:rPr>
          <w:lang w:val="en-GB"/>
        </w:rPr>
        <w:t xml:space="preserve"> </w:t>
      </w:r>
      <w:r w:rsidR="00CE784E" w:rsidRPr="00B32B10">
        <w:rPr>
          <w:lang w:val="en-GB"/>
        </w:rPr>
        <w:t xml:space="preserve">Li </w:t>
      </w:r>
      <w:r w:rsidR="00257989" w:rsidRPr="00B32B10">
        <w:rPr>
          <w:lang w:val="en-GB"/>
        </w:rPr>
        <w:t xml:space="preserve">et al. </w:t>
      </w:r>
      <w:r w:rsidR="00CE784E" w:rsidRPr="00B32B10">
        <w:rPr>
          <w:lang w:val="en-GB"/>
        </w:rPr>
        <w:fldChar w:fldCharType="begin"/>
      </w:r>
      <w:r w:rsidR="00CE784E" w:rsidRPr="00B32B10">
        <w:rPr>
          <w:lang w:val="en-GB"/>
        </w:rPr>
        <w:instrText xml:space="preserve"> ADDIN ZOTERO_ITEM CSL_CITATION {"citationID":"niefHwe2","properties":{"formattedCitation":"(Li et al., 2016)","plainCitation":"(Li et al., 2016)","noteIndex":0},"citationItems":[{"id":245,"uris":["http://zotero.org/users/local/mDzd7GNh/items/4ZC9GUTY"],"itemData":{"id":245,"type":"article-journal","abstract":"On August 2, 2014 a catastrophic dust explosion occurred in a large industrial plant for polishing various aluminium-alloy parts in Kunshan, China. The explosion occurred during manual polishing of the surfaces of aluminium-alloy wheel hubs for the car industry. 75 people lost their lives immediately and another 185 were injured. Subsequently, 71 of the seriously injured also died, which increased the total loss of lives to 146. The direct economic loss of was 351 million yuan. This is probably one of the most serious dust explosion catastrophes known apart from some very major coal dust explosion disasters in coal mines. Based on measurements of explosion parameters of dust samples collected on the explosion site and on-site investigations and interviews, it was concluded that a series of consecutive explosions was initiated in one of the external dust filters. Then it propagated into the main building via the dust extraction ducting and further onto the second floor. At the same time the propagating in-house dust flame was sucked into the ducts leading to seven other external dust filters, which also exploded. On the basis of investigations on site after the explosion and subsequent laboratory experiments and data analyses it was concluded that the explosion was most probably initiated by self-ignition of contaminated aluminium-alloy dust in the dust collecting barrel below the external bag filter unit in which the initial primary explosion took place. General ignorance of the potential risk of dust explosions in industries producing fine metal dusts as a low-mass waste by-product is the most probable basic root cause of this catastrophic accident. Therefore, avoiding accumulation of deposits of such dusts indoors by good regular housekeeping and other means is regarded the most effective and practical way of loss prevention due to metal dust explosions in such plants. In addition, explosion isolation between dust collecting systems and workshops appears to be another important measure towards minimizing the consequences of such explosions.","container-title":"Journal of Loss Prevention in the Process Industries","DOI":"10.1016/j.jlp.2015.11.013","ISSN":"0950-4230","journalAbbreviation":"Journal of Loss Prevention in the Process Industries","page":"121-130","source":"ScienceDirect","title":"A catastrophic aluminium-alloy dust explosion in China","volume":"39","author":[{"family":"Li","given":"G."},{"family":"Yang","given":"H. -X."},{"family":"Yuan","given":"C. -M."},{"family":"Eckhoff","given":"R. K."}],"issued":{"date-parts":[["2016",1,1]]}}}],"schema":"https://github.com/citation-style-language/schema/raw/master/csl-citation.json"} </w:instrText>
      </w:r>
      <w:r w:rsidR="00CE784E" w:rsidRPr="00B32B10">
        <w:rPr>
          <w:lang w:val="en-GB"/>
        </w:rPr>
        <w:fldChar w:fldCharType="separate"/>
      </w:r>
      <w:r w:rsidR="00CE784E" w:rsidRPr="00B32B10">
        <w:rPr>
          <w:rFonts w:cs="Arial"/>
        </w:rPr>
        <w:t>(Li et al., 2016)</w:t>
      </w:r>
      <w:r w:rsidR="00CE784E" w:rsidRPr="00B32B10">
        <w:rPr>
          <w:lang w:val="en-GB"/>
        </w:rPr>
        <w:fldChar w:fldCharType="end"/>
      </w:r>
      <w:r w:rsidR="00CE784E" w:rsidRPr="00B32B10">
        <w:rPr>
          <w:lang w:val="en-GB"/>
        </w:rPr>
        <w:t xml:space="preserve"> </w:t>
      </w:r>
      <w:r w:rsidR="00C24EA9" w:rsidRPr="00B32B10">
        <w:rPr>
          <w:lang w:val="en-GB"/>
        </w:rPr>
        <w:t>that</w:t>
      </w:r>
      <w:r w:rsidR="00257989" w:rsidRPr="00B32B10">
        <w:rPr>
          <w:lang w:val="en-GB"/>
        </w:rPr>
        <w:t xml:space="preserve"> discover</w:t>
      </w:r>
      <w:r w:rsidR="00C24EA9" w:rsidRPr="00B32B10">
        <w:rPr>
          <w:lang w:val="en-GB"/>
        </w:rPr>
        <w:t>ed</w:t>
      </w:r>
      <w:r w:rsidR="00257989" w:rsidRPr="00B32B10">
        <w:rPr>
          <w:lang w:val="en-GB"/>
        </w:rPr>
        <w:t xml:space="preserve"> of an exothermic reaction between aluminium dust deposits and water that was never observed before. The Institution of Chemical Engineers (</w:t>
      </w:r>
      <w:proofErr w:type="spellStart"/>
      <w:r w:rsidR="00257989" w:rsidRPr="00B32B10">
        <w:rPr>
          <w:lang w:val="en-GB"/>
        </w:rPr>
        <w:t>IChemE</w:t>
      </w:r>
      <w:proofErr w:type="spellEnd"/>
      <w:r w:rsidR="00257989" w:rsidRPr="00B32B10">
        <w:rPr>
          <w:lang w:val="en-GB"/>
        </w:rPr>
        <w:t>) constantly works to improve the process safety culture with seminars, documents</w:t>
      </w:r>
      <w:r w:rsidR="00C24EA9" w:rsidRPr="00B32B10">
        <w:rPr>
          <w:lang w:val="en-GB"/>
        </w:rPr>
        <w:t>,</w:t>
      </w:r>
      <w:r w:rsidR="00257989" w:rsidRPr="00B32B10">
        <w:rPr>
          <w:lang w:val="en-GB"/>
        </w:rPr>
        <w:t xml:space="preserve"> and reports. Combustible dust accidents in the US analysed by the Chemical Safety Board helped in the definition of novel recommendation</w:t>
      </w:r>
      <w:r w:rsidR="00C24EA9" w:rsidRPr="00B32B10">
        <w:rPr>
          <w:lang w:val="en-GB"/>
        </w:rPr>
        <w:t>s</w:t>
      </w:r>
      <w:r w:rsidR="00257989" w:rsidRPr="00B32B10">
        <w:rPr>
          <w:lang w:val="en-GB"/>
        </w:rPr>
        <w:t xml:space="preserve"> for safe combustible material handling and storage. However, despite the efforts and work done, industrial accidents are still </w:t>
      </w:r>
      <w:r w:rsidR="00D075ED" w:rsidRPr="00B32B10">
        <w:rPr>
          <w:lang w:val="en-GB"/>
        </w:rPr>
        <w:t xml:space="preserve">today </w:t>
      </w:r>
      <w:r w:rsidR="00257989" w:rsidRPr="00B32B10">
        <w:rPr>
          <w:lang w:val="en-GB"/>
        </w:rPr>
        <w:t>a major issue</w:t>
      </w:r>
      <w:r w:rsidR="00B90185" w:rsidRPr="00B32B10">
        <w:rPr>
          <w:lang w:val="en-GB"/>
        </w:rPr>
        <w:t xml:space="preserve"> </w:t>
      </w:r>
      <w:r w:rsidR="00B90185" w:rsidRPr="00B32B10">
        <w:rPr>
          <w:lang w:val="en-GB"/>
        </w:rPr>
        <w:fldChar w:fldCharType="begin"/>
      </w:r>
      <w:r w:rsidR="00B90185" w:rsidRPr="00B32B10">
        <w:rPr>
          <w:lang w:val="en-GB"/>
        </w:rPr>
        <w:instrText xml:space="preserve"> ADDIN ZOTERO_ITEM CSL_CITATION {"citationID":"LnG46KoP","properties":{"formattedCitation":"(Casson Moreno et al., 2019)","plainCitation":"(Casson Moreno et al., 2019)","noteIndex":0},"citationItems":[{"id":253,"uris":["http://zotero.org/users/local/mDzd7GNh/items/S6S2QYT4"],"itemData":{"id":253,"type":"article-journal","abstract":"The number of biodiesel production plants is rapidly growing around the world, and the related “green” technologies are developing to full industrial scale within a brief time. The exploitation of these relatively new technologies with a low operational experience is however leading to an increase in the number of accidents in this industrial sector. To better address and characterise the problem of the high accident rate in the “green” technologies in biodiesel production, an in-depth statistical analysis of past accidents has been performed. The set of records analysed (93 events, from 2003 to 2017) has been selected to depict the most relevant factors affecting the accident rate, e.g. the age of the plant and its status at the time of the accident or unit and substances involved. Correlations between characteristics of the unwanted events, such as scenario and causes, have been evidenced. The analysis of the frequency and severity of past accidents allowed an estimate of the risk figure with respect to major accident hazard for biodiesel industry, unveiling the misconception for which green technologies as biodiesel production are often perceived as safer.","container-title":"Safety Science","DOI":"10.1016/j.ssci.2018.12.014","ISSN":"0925-7535","journalAbbreviation":"Safety Science","page":"490-503","source":"ScienceDirect","title":"Major accident hazard in biodiesel production processes","volume":"113","author":[{"family":"Casson Moreno","given":"Valeria"},{"family":"Danzi","given":"Enrico"},{"family":"Marmo","given":"Luca"},{"family":"Salzano","given":"Ernesto"},{"family":"Cozzani","given":"Valerio"}],"issued":{"date-parts":[["2019",3,1]]}}}],"schema":"https://github.com/citation-style-language/schema/raw/master/csl-citation.json"} </w:instrText>
      </w:r>
      <w:r w:rsidR="00B90185" w:rsidRPr="00B32B10">
        <w:rPr>
          <w:lang w:val="en-GB"/>
        </w:rPr>
        <w:fldChar w:fldCharType="separate"/>
      </w:r>
      <w:r w:rsidR="00B90185" w:rsidRPr="00B32B10">
        <w:rPr>
          <w:rFonts w:cs="Arial"/>
        </w:rPr>
        <w:t>(Casson Moreno et al., 2019)</w:t>
      </w:r>
      <w:r w:rsidR="00B90185" w:rsidRPr="00B32B10">
        <w:rPr>
          <w:lang w:val="en-GB"/>
        </w:rPr>
        <w:fldChar w:fldCharType="end"/>
      </w:r>
      <w:r w:rsidR="00257989" w:rsidRPr="00B32B10">
        <w:rPr>
          <w:lang w:val="en-GB"/>
        </w:rPr>
        <w:t xml:space="preserve">. </w:t>
      </w:r>
    </w:p>
    <w:p w14:paraId="55D1D061" w14:textId="00CC9215" w:rsidR="00EA2BA6" w:rsidRPr="00B32B10" w:rsidRDefault="000942C5" w:rsidP="00EA2BA6">
      <w:pPr>
        <w:pStyle w:val="CETBodytext"/>
        <w:rPr>
          <w:lang w:val="en-GB"/>
        </w:rPr>
      </w:pPr>
      <w:r w:rsidRPr="00B32B10">
        <w:rPr>
          <w:lang w:val="en-GB"/>
        </w:rPr>
        <w:t xml:space="preserve">According to the </w:t>
      </w:r>
      <w:proofErr w:type="spellStart"/>
      <w:r w:rsidRPr="00B32B10">
        <w:rPr>
          <w:lang w:val="en-GB"/>
        </w:rPr>
        <w:t>eMars</w:t>
      </w:r>
      <w:proofErr w:type="spellEnd"/>
      <w:r w:rsidRPr="00B32B10">
        <w:rPr>
          <w:lang w:val="en-GB"/>
        </w:rPr>
        <w:t xml:space="preserve"> database</w:t>
      </w:r>
      <w:r w:rsidR="00257989" w:rsidRPr="00B32B10">
        <w:rPr>
          <w:lang w:val="en-GB"/>
        </w:rPr>
        <w:t xml:space="preserve">, the European Database for Major </w:t>
      </w:r>
      <w:r w:rsidR="00C24EA9" w:rsidRPr="00B32B10">
        <w:rPr>
          <w:lang w:val="en-GB"/>
        </w:rPr>
        <w:t>A</w:t>
      </w:r>
      <w:r w:rsidR="00257989" w:rsidRPr="00B32B10">
        <w:rPr>
          <w:lang w:val="en-GB"/>
        </w:rPr>
        <w:t>ccident</w:t>
      </w:r>
      <w:r w:rsidR="00C24EA9" w:rsidRPr="00B32B10">
        <w:rPr>
          <w:lang w:val="en-GB"/>
        </w:rPr>
        <w:t>s,</w:t>
      </w:r>
      <w:r w:rsidR="00257989" w:rsidRPr="00B32B10">
        <w:rPr>
          <w:lang w:val="en-GB"/>
        </w:rPr>
        <w:t xml:space="preserve"> in companies under the Seves</w:t>
      </w:r>
      <w:r w:rsidR="00CE784E" w:rsidRPr="00B32B10">
        <w:rPr>
          <w:lang w:val="en-GB"/>
        </w:rPr>
        <w:t>o</w:t>
      </w:r>
      <w:r w:rsidR="00257989" w:rsidRPr="00B32B10">
        <w:rPr>
          <w:lang w:val="en-GB"/>
        </w:rPr>
        <w:t xml:space="preserve"> Directive</w:t>
      </w:r>
      <w:r w:rsidRPr="00B32B10">
        <w:rPr>
          <w:lang w:val="en-GB"/>
        </w:rPr>
        <w:t xml:space="preserve"> (as shown in Fig. 1), the total number of accidents (by summing up near misses, major accidents and other events), shows a relatively steady trend in the latter 10 years</w:t>
      </w:r>
      <w:r w:rsidR="00D075ED" w:rsidRPr="00B32B10">
        <w:rPr>
          <w:lang w:val="en-GB"/>
        </w:rPr>
        <w:t xml:space="preserve"> (2013-2023)</w:t>
      </w:r>
      <w:r w:rsidRPr="00B32B10">
        <w:rPr>
          <w:lang w:val="en-GB"/>
        </w:rPr>
        <w:t>, with the total number of yearly accidents in Seveso companies (independently from the tier), between 30 and 52.</w:t>
      </w:r>
      <w:r w:rsidR="00D075ED" w:rsidRPr="00B32B10">
        <w:rPr>
          <w:lang w:val="en-GB"/>
        </w:rPr>
        <w:t xml:space="preserve"> Data are updated </w:t>
      </w:r>
      <w:r w:rsidR="00C24EA9" w:rsidRPr="00B32B10">
        <w:rPr>
          <w:lang w:val="en-GB"/>
        </w:rPr>
        <w:t>on</w:t>
      </w:r>
      <w:r w:rsidR="00D075ED" w:rsidRPr="00B32B10">
        <w:rPr>
          <w:lang w:val="en-GB"/>
        </w:rPr>
        <w:t xml:space="preserve"> 5/12/2023, so the minimum value for 2023 could be not yet definitive.</w:t>
      </w:r>
      <w:r w:rsidR="00F3325A" w:rsidRPr="00B32B10">
        <w:rPr>
          <w:lang w:val="en-GB"/>
        </w:rPr>
        <w:t xml:space="preserve"> </w:t>
      </w:r>
      <w:r w:rsidR="00763F57" w:rsidRPr="00B32B10">
        <w:rPr>
          <w:lang w:val="en-GB"/>
        </w:rPr>
        <w:t xml:space="preserve">The </w:t>
      </w:r>
      <w:proofErr w:type="spellStart"/>
      <w:r w:rsidR="00763F57" w:rsidRPr="00B32B10">
        <w:rPr>
          <w:lang w:val="en-GB"/>
        </w:rPr>
        <w:t>eMars</w:t>
      </w:r>
      <w:proofErr w:type="spellEnd"/>
      <w:r w:rsidR="00763F57" w:rsidRPr="00B32B10">
        <w:rPr>
          <w:lang w:val="en-GB"/>
        </w:rPr>
        <w:t xml:space="preserve"> database was established in accordance with the requirements of the Seveso III Directive (Directive 2012/18/EU), which mandates systematic and publicly available reporting of industrial accidents and near misses.</w:t>
      </w:r>
    </w:p>
    <w:p w14:paraId="7E17F9C7" w14:textId="77777777" w:rsidR="00EA2BA6" w:rsidRPr="00B32B10" w:rsidRDefault="00EA2BA6" w:rsidP="002B02AB">
      <w:pPr>
        <w:pStyle w:val="CETBodytext"/>
        <w:rPr>
          <w:lang w:val="en-GB"/>
        </w:rPr>
      </w:pPr>
    </w:p>
    <w:p w14:paraId="3734849A" w14:textId="77777777" w:rsidR="004755AD" w:rsidRPr="00B32B10" w:rsidRDefault="004755AD" w:rsidP="002B02AB">
      <w:pPr>
        <w:pStyle w:val="CETBodytext"/>
        <w:rPr>
          <w:lang w:val="en-GB"/>
        </w:rPr>
      </w:pPr>
      <w:r w:rsidRPr="00B32B10">
        <w:rPr>
          <w:noProof/>
          <w:lang w:val="en-GB"/>
        </w:rPr>
        <w:lastRenderedPageBreak/>
        <w:drawing>
          <wp:inline distT="0" distB="0" distL="0" distR="0" wp14:anchorId="4701F1F1" wp14:editId="016B1AC8">
            <wp:extent cx="5451568" cy="1357211"/>
            <wp:effectExtent l="0" t="0" r="0" b="0"/>
            <wp:docPr id="10225583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9477" cy="1361670"/>
                    </a:xfrm>
                    <a:prstGeom prst="rect">
                      <a:avLst/>
                    </a:prstGeom>
                    <a:noFill/>
                  </pic:spPr>
                </pic:pic>
              </a:graphicData>
            </a:graphic>
          </wp:inline>
        </w:drawing>
      </w:r>
    </w:p>
    <w:p w14:paraId="1066B41D" w14:textId="26445E85" w:rsidR="004755AD" w:rsidRPr="00B32B10" w:rsidRDefault="004755AD" w:rsidP="002B02AB">
      <w:pPr>
        <w:pStyle w:val="CETBodytext"/>
        <w:rPr>
          <w:rStyle w:val="CETCaptionCarattere"/>
        </w:rPr>
      </w:pPr>
      <w:r w:rsidRPr="00B32B10">
        <w:rPr>
          <w:rStyle w:val="CETCaptionCarattere"/>
        </w:rPr>
        <w:t xml:space="preserve">Figure 1: Total accidents in Seveso industries in Europe, type of accidents and Seveso tier are cumulated (elaborated from </w:t>
      </w:r>
      <w:proofErr w:type="spellStart"/>
      <w:r w:rsidRPr="00B32B10">
        <w:rPr>
          <w:rStyle w:val="CETCaptionCarattere"/>
        </w:rPr>
        <w:t>eMars</w:t>
      </w:r>
      <w:proofErr w:type="spellEnd"/>
      <w:r w:rsidRPr="00B32B10">
        <w:rPr>
          <w:rStyle w:val="CETCaptionCarattere"/>
        </w:rPr>
        <w:t xml:space="preserve"> database).</w:t>
      </w:r>
    </w:p>
    <w:p w14:paraId="7C1017EC" w14:textId="77777777" w:rsidR="004755AD" w:rsidRPr="00B32B10" w:rsidRDefault="004755AD" w:rsidP="002B02AB">
      <w:pPr>
        <w:pStyle w:val="CETBodytext"/>
        <w:rPr>
          <w:rStyle w:val="CETCaptionCarattere"/>
        </w:rPr>
      </w:pPr>
    </w:p>
    <w:p w14:paraId="15B9D2D7" w14:textId="7CCCEA17" w:rsidR="002477E2" w:rsidRPr="00B32B10" w:rsidRDefault="00C24EA9" w:rsidP="004755AD">
      <w:pPr>
        <w:pStyle w:val="CETBodytext"/>
        <w:rPr>
          <w:lang w:val="en-GB"/>
        </w:rPr>
      </w:pPr>
      <w:r w:rsidRPr="00B32B10">
        <w:rPr>
          <w:lang w:val="en-GB"/>
        </w:rPr>
        <w:t>T</w:t>
      </w:r>
      <w:r w:rsidR="00D075ED" w:rsidRPr="00B32B10">
        <w:rPr>
          <w:lang w:val="en-GB"/>
        </w:rPr>
        <w:t xml:space="preserve">he </w:t>
      </w:r>
      <w:r w:rsidR="002477E2" w:rsidRPr="00B32B10">
        <w:rPr>
          <w:lang w:val="en-GB"/>
        </w:rPr>
        <w:t xml:space="preserve">Seveso III Directive </w:t>
      </w:r>
      <w:r w:rsidRPr="00B32B10">
        <w:rPr>
          <w:lang w:val="en-GB"/>
        </w:rPr>
        <w:t>indicates</w:t>
      </w:r>
      <w:r w:rsidR="002477E2" w:rsidRPr="00B32B10">
        <w:rPr>
          <w:lang w:val="en-GB"/>
        </w:rPr>
        <w:t xml:space="preserve"> information that should be provided within the report </w:t>
      </w:r>
      <w:r w:rsidR="00D075ED" w:rsidRPr="00B32B10">
        <w:rPr>
          <w:lang w:val="en-GB"/>
        </w:rPr>
        <w:t>for</w:t>
      </w:r>
      <w:r w:rsidR="002477E2" w:rsidRPr="00B32B10">
        <w:rPr>
          <w:lang w:val="en-GB"/>
        </w:rPr>
        <w:t xml:space="preserve"> the </w:t>
      </w:r>
      <w:r w:rsidR="00D075ED" w:rsidRPr="00B32B10">
        <w:rPr>
          <w:lang w:val="en-GB"/>
        </w:rPr>
        <w:t>C</w:t>
      </w:r>
      <w:r w:rsidR="002477E2" w:rsidRPr="00B32B10">
        <w:rPr>
          <w:lang w:val="en-GB"/>
        </w:rPr>
        <w:t>ommission</w:t>
      </w:r>
      <w:r w:rsidRPr="00B32B10">
        <w:rPr>
          <w:lang w:val="en-GB"/>
        </w:rPr>
        <w:t>.</w:t>
      </w:r>
      <w:r w:rsidR="00D075ED" w:rsidRPr="00B32B10">
        <w:rPr>
          <w:lang w:val="en-GB"/>
        </w:rPr>
        <w:t xml:space="preserve"> </w:t>
      </w:r>
      <w:r w:rsidRPr="00B32B10">
        <w:rPr>
          <w:lang w:val="en-GB"/>
        </w:rPr>
        <w:t>The respective part of the standard</w:t>
      </w:r>
      <w:r w:rsidR="00D075ED" w:rsidRPr="00B32B10">
        <w:rPr>
          <w:lang w:val="en-GB"/>
        </w:rPr>
        <w:t xml:space="preserve"> is here quoted</w:t>
      </w:r>
      <w:r w:rsidR="002477E2" w:rsidRPr="00B32B10">
        <w:rPr>
          <w:lang w:val="en-GB"/>
        </w:rPr>
        <w:t>: “the Member State, the name and address of the authority responsible for the report; the date, time and place of the accident, including the full name of the operator and the address of the establishment involved; a brief description of the circumstances of the accident, including the dangerous substances involved, and the immediate effects on human health and the environment; a brief description of the emergency measures taken and of the immediate precautions necessary to prevent recurrence; the results of their analysis and recommendations.”</w:t>
      </w:r>
      <w:r w:rsidR="00D075ED" w:rsidRPr="00B32B10">
        <w:rPr>
          <w:lang w:val="en-GB"/>
        </w:rPr>
        <w:t xml:space="preserve"> As it is easy to understand, the requirements are not complete for a detailed reconstruction: a reference to the </w:t>
      </w:r>
      <w:r w:rsidR="00425794" w:rsidRPr="00B32B10">
        <w:rPr>
          <w:lang w:val="en-GB"/>
        </w:rPr>
        <w:t>Root Cause</w:t>
      </w:r>
      <w:r w:rsidR="00D075ED" w:rsidRPr="00B32B10">
        <w:rPr>
          <w:lang w:val="en-GB"/>
        </w:rPr>
        <w:t xml:space="preserve"> is missing.</w:t>
      </w:r>
      <w:r w:rsidR="00CE784E" w:rsidRPr="00B32B10">
        <w:rPr>
          <w:lang w:val="en-GB"/>
        </w:rPr>
        <w:t xml:space="preserve"> The </w:t>
      </w:r>
      <w:r w:rsidR="00425794" w:rsidRPr="00B32B10">
        <w:rPr>
          <w:lang w:val="en-GB"/>
        </w:rPr>
        <w:t>Root Cause</w:t>
      </w:r>
      <w:r w:rsidR="00CE784E" w:rsidRPr="00B32B10">
        <w:rPr>
          <w:lang w:val="en-GB"/>
        </w:rPr>
        <w:t xml:space="preserve"> Analysis</w:t>
      </w:r>
      <w:r w:rsidR="005F3724" w:rsidRPr="00B32B10">
        <w:rPr>
          <w:lang w:val="en-GB"/>
        </w:rPr>
        <w:t xml:space="preserve"> (RCA)</w:t>
      </w:r>
      <w:r w:rsidR="00CE784E" w:rsidRPr="00B32B10">
        <w:rPr>
          <w:lang w:val="en-GB"/>
        </w:rPr>
        <w:t xml:space="preserve"> </w:t>
      </w:r>
      <w:r w:rsidR="00CE784E" w:rsidRPr="00B32B10">
        <w:rPr>
          <w:lang w:val="en-GB"/>
        </w:rPr>
        <w:fldChar w:fldCharType="begin"/>
      </w:r>
      <w:r w:rsidR="00CE784E" w:rsidRPr="00B32B10">
        <w:rPr>
          <w:lang w:val="en-GB"/>
        </w:rPr>
        <w:instrText xml:space="preserve"> ADDIN ZOTERO_ITEM CSL_CITATION {"citationID":"y1tImNCm","properties":{"formattedCitation":"(Mbogu and Nicholson, 2024)","plainCitation":"(Mbogu and Nicholson, 2024)","noteIndex":0},"citationItems":[{"id":251,"uris":["http://zotero.org/users/local/mDzd7GNh/items/PDRM2VE9"],"itemData":{"id":251,"type":"article-journal","abstract":"Data-driven approaches to root cause analysis (RCA) have received at- tention recently due to their ability to exploit increasing data availability for more effective root cause identification in complex processes. Advancements in the field of causal inference enable unbiased causal investigations using observational data. This study proposes a data-driven RCA method and a time-to-event (TTE) data simulation procedure built on the structural causal model (SCM) framework. A novel causality-based method is introduced for learning a representation of root cause mechanisms, termed in this work as root cause graphs (RCGs), from observational TTE data. Three case scenar- ios are used to generate TTE datasets for evaluating the proposed method. Finally, the utility of the method is demonstrated by using recovered RCGs to guide the estimation of root cause treatment effects. In the presence of me- diation, RCG-guided models produce superior estimates of root cause total effects compared to models that adjust for all covariates.","container-title":"Computers &amp; Industrial Engineering","DOI":"10.1016/j.cie.2024.109974","ISSN":"0360-8352","journalAbbreviation":"Computers &amp; Industrial Engineering","page":"109974","source":"ScienceDirect","title":"Data-driven root cause analysis via causal discovery using time-to-event data","volume":"190","author":[{"family":"Mbogu","given":"Henry M."},{"family":"Nicholson","given":"Charles D."}],"issued":{"date-parts":[["2024",4,1]]}}}],"schema":"https://github.com/citation-style-language/schema/raw/master/csl-citation.json"} </w:instrText>
      </w:r>
      <w:r w:rsidR="00CE784E" w:rsidRPr="00B32B10">
        <w:rPr>
          <w:lang w:val="en-GB"/>
        </w:rPr>
        <w:fldChar w:fldCharType="separate"/>
      </w:r>
      <w:r w:rsidR="00CE784E" w:rsidRPr="00B32B10">
        <w:rPr>
          <w:rFonts w:cs="Arial"/>
        </w:rPr>
        <w:t>(Mbogu and Nicholson, 2024)</w:t>
      </w:r>
      <w:r w:rsidR="00CE784E" w:rsidRPr="00B32B10">
        <w:rPr>
          <w:lang w:val="en-GB"/>
        </w:rPr>
        <w:fldChar w:fldCharType="end"/>
      </w:r>
      <w:r w:rsidR="00CE784E" w:rsidRPr="00B32B10">
        <w:rPr>
          <w:lang w:val="en-GB"/>
        </w:rPr>
        <w:t xml:space="preserve"> is a well-known tool, </w:t>
      </w:r>
      <w:r w:rsidR="005F3724" w:rsidRPr="00B32B10">
        <w:rPr>
          <w:lang w:val="en-GB"/>
        </w:rPr>
        <w:t>based</w:t>
      </w:r>
      <w:r w:rsidR="00CE784E" w:rsidRPr="00B32B10">
        <w:rPr>
          <w:lang w:val="en-GB"/>
        </w:rPr>
        <w:t xml:space="preserve"> </w:t>
      </w:r>
      <w:r w:rsidR="005F3724" w:rsidRPr="00B32B10">
        <w:rPr>
          <w:lang w:val="en-GB"/>
        </w:rPr>
        <w:t>on structured investigations that are used to identify underlying causes of an accident (within this framework). RCA</w:t>
      </w:r>
      <w:r w:rsidR="00CE784E" w:rsidRPr="00B32B10">
        <w:rPr>
          <w:lang w:val="en-GB"/>
        </w:rPr>
        <w:t xml:space="preserve"> is a powerful tool for process safety, but it requires proper data. </w:t>
      </w:r>
    </w:p>
    <w:p w14:paraId="1659D7DC" w14:textId="77777777" w:rsidR="002477E2" w:rsidRPr="00B32B10" w:rsidRDefault="002477E2" w:rsidP="004755AD">
      <w:pPr>
        <w:pStyle w:val="CETBodytext"/>
        <w:rPr>
          <w:lang w:val="en-GB"/>
        </w:rPr>
      </w:pPr>
    </w:p>
    <w:p w14:paraId="650C1752" w14:textId="390E4C5F" w:rsidR="00D075ED" w:rsidRPr="00B32B10" w:rsidRDefault="00EA2BA6" w:rsidP="00D075ED">
      <w:pPr>
        <w:pStyle w:val="CETBodytext"/>
        <w:rPr>
          <w:lang w:val="en-GB"/>
        </w:rPr>
      </w:pPr>
      <w:r w:rsidRPr="00B32B10">
        <w:rPr>
          <w:lang w:val="en-GB"/>
        </w:rPr>
        <w:t xml:space="preserve">The scope of this paper consists of highlighting the necessity of a more standardized and organized procedure in reporting and reviewing industrial accidents, and investigates the two following questions: how do we organize the information from an accident report? What can we do with such data? </w:t>
      </w:r>
      <w:r w:rsidR="00D075ED" w:rsidRPr="00B32B10">
        <w:rPr>
          <w:lang w:val="en-GB"/>
        </w:rPr>
        <w:t xml:space="preserve">The study analyses 19 industrial accidents, involving hazardous substances such as Ethylene Oxide (EO) and acrylates, chosen randomly from available literature and database. For the first question, the authors propose to carry out a </w:t>
      </w:r>
      <w:r w:rsidR="00425794" w:rsidRPr="00B32B10">
        <w:rPr>
          <w:lang w:val="en-GB"/>
        </w:rPr>
        <w:t>Root Cause</w:t>
      </w:r>
      <w:r w:rsidR="00D075ED" w:rsidRPr="00B32B10">
        <w:rPr>
          <w:lang w:val="en-GB"/>
        </w:rPr>
        <w:t xml:space="preserve"> analysis </w:t>
      </w:r>
      <w:r w:rsidR="00C35280" w:rsidRPr="00B32B10">
        <w:rPr>
          <w:lang w:val="en-GB"/>
        </w:rPr>
        <w:t>coupled with</w:t>
      </w:r>
      <w:r w:rsidR="00C24EA9" w:rsidRPr="00B32B10">
        <w:rPr>
          <w:lang w:val="en-GB"/>
        </w:rPr>
        <w:t xml:space="preserve"> </w:t>
      </w:r>
      <w:r w:rsidR="00D075ED" w:rsidRPr="00B32B10">
        <w:rPr>
          <w:lang w:val="en-GB"/>
        </w:rPr>
        <w:t xml:space="preserve">the identification of the failure of Process Safety Management (PSM), according to the guidelines </w:t>
      </w:r>
      <w:r w:rsidR="00C24EA9" w:rsidRPr="00B32B10">
        <w:rPr>
          <w:lang w:val="en-GB"/>
        </w:rPr>
        <w:t>about</w:t>
      </w:r>
      <w:r w:rsidR="00D075ED" w:rsidRPr="00B32B10">
        <w:rPr>
          <w:lang w:val="en-GB"/>
        </w:rPr>
        <w:t xml:space="preserve"> the</w:t>
      </w:r>
      <w:r w:rsidR="00C24EA9" w:rsidRPr="00B32B10">
        <w:rPr>
          <w:lang w:val="en-GB"/>
        </w:rPr>
        <w:t xml:space="preserve"> constitutive</w:t>
      </w:r>
      <w:r w:rsidR="00D075ED" w:rsidRPr="00B32B10">
        <w:rPr>
          <w:lang w:val="en-GB"/>
        </w:rPr>
        <w:t xml:space="preserve"> elements defined </w:t>
      </w:r>
      <w:r w:rsidR="00C24EA9" w:rsidRPr="00B32B10">
        <w:rPr>
          <w:lang w:val="en-GB"/>
        </w:rPr>
        <w:t>by</w:t>
      </w:r>
      <w:r w:rsidR="004755AD" w:rsidRPr="00B32B10">
        <w:rPr>
          <w:lang w:val="en-GB"/>
        </w:rPr>
        <w:t xml:space="preserve"> the CCPS (Centre for Chemical Process Safety) and </w:t>
      </w:r>
      <w:r w:rsidR="00D075ED" w:rsidRPr="00B32B10">
        <w:rPr>
          <w:lang w:val="en-GB"/>
        </w:rPr>
        <w:t xml:space="preserve">from the OSHA (Occupational Safety and Health Administration), </w:t>
      </w:r>
      <w:r w:rsidR="005F3724" w:rsidRPr="00B32B10">
        <w:rPr>
          <w:lang w:val="en-GB"/>
        </w:rPr>
        <w:t xml:space="preserve">using a </w:t>
      </w:r>
      <w:r w:rsidR="00D075ED" w:rsidRPr="00B32B10">
        <w:rPr>
          <w:lang w:val="en-GB"/>
        </w:rPr>
        <w:t xml:space="preserve">20 elements model. For the second question, each accident was studied, and </w:t>
      </w:r>
      <w:r w:rsidR="005F3724" w:rsidRPr="00B32B10">
        <w:rPr>
          <w:lang w:val="en-GB"/>
        </w:rPr>
        <w:t xml:space="preserve">both </w:t>
      </w:r>
      <w:r w:rsidR="00D075ED" w:rsidRPr="00B32B10">
        <w:rPr>
          <w:lang w:val="en-GB"/>
        </w:rPr>
        <w:t xml:space="preserve">PSM elements </w:t>
      </w:r>
      <w:r w:rsidR="003965F0" w:rsidRPr="00B32B10">
        <w:rPr>
          <w:lang w:val="en-GB"/>
        </w:rPr>
        <w:t xml:space="preserve">that </w:t>
      </w:r>
      <w:r w:rsidR="00D075ED" w:rsidRPr="00B32B10">
        <w:rPr>
          <w:lang w:val="en-GB"/>
        </w:rPr>
        <w:t xml:space="preserve">failed or </w:t>
      </w:r>
      <w:r w:rsidR="003965F0" w:rsidRPr="00B32B10">
        <w:rPr>
          <w:lang w:val="en-GB"/>
        </w:rPr>
        <w:t xml:space="preserve">were </w:t>
      </w:r>
      <w:r w:rsidR="005F3724" w:rsidRPr="00B32B10">
        <w:rPr>
          <w:lang w:val="en-GB"/>
        </w:rPr>
        <w:t>functional</w:t>
      </w:r>
      <w:r w:rsidR="00D075ED" w:rsidRPr="00B32B10">
        <w:rPr>
          <w:lang w:val="en-GB"/>
        </w:rPr>
        <w:t xml:space="preserve"> </w:t>
      </w:r>
      <w:r w:rsidR="003965F0" w:rsidRPr="00B32B10">
        <w:rPr>
          <w:lang w:val="en-GB"/>
        </w:rPr>
        <w:t>were</w:t>
      </w:r>
      <w:r w:rsidR="00D075ED" w:rsidRPr="00B32B10">
        <w:rPr>
          <w:lang w:val="en-GB"/>
        </w:rPr>
        <w:t xml:space="preserve"> evaluated and join</w:t>
      </w:r>
      <w:r w:rsidR="00C24EA9" w:rsidRPr="00B32B10">
        <w:rPr>
          <w:lang w:val="en-GB"/>
        </w:rPr>
        <w:t>ed</w:t>
      </w:r>
      <w:r w:rsidR="00D075ED" w:rsidRPr="00B32B10">
        <w:rPr>
          <w:lang w:val="en-GB"/>
        </w:rPr>
        <w:t xml:space="preserve"> together for a simple statistical analysis. Emphasis was placed on the presence or not of a </w:t>
      </w:r>
      <w:r w:rsidR="00425794" w:rsidRPr="00B32B10">
        <w:rPr>
          <w:lang w:val="en-GB"/>
        </w:rPr>
        <w:t>Root Cause</w:t>
      </w:r>
      <w:r w:rsidR="00D075ED" w:rsidRPr="00B32B10">
        <w:rPr>
          <w:lang w:val="en-GB"/>
        </w:rPr>
        <w:t xml:space="preserve">, </w:t>
      </w:r>
      <w:r w:rsidR="00704FDF" w:rsidRPr="00B32B10">
        <w:rPr>
          <w:lang w:val="en-GB"/>
        </w:rPr>
        <w:t>on the availability of element</w:t>
      </w:r>
      <w:r w:rsidR="00C24EA9" w:rsidRPr="00B32B10">
        <w:rPr>
          <w:lang w:val="en-GB"/>
        </w:rPr>
        <w:t>s</w:t>
      </w:r>
      <w:r w:rsidR="00704FDF" w:rsidRPr="00B32B10">
        <w:rPr>
          <w:lang w:val="en-GB"/>
        </w:rPr>
        <w:t xml:space="preserve"> that worked, and </w:t>
      </w:r>
      <w:r w:rsidR="003965F0" w:rsidRPr="00B32B10">
        <w:rPr>
          <w:lang w:val="en-GB"/>
        </w:rPr>
        <w:t xml:space="preserve">on </w:t>
      </w:r>
      <w:r w:rsidR="00704FDF" w:rsidRPr="00B32B10">
        <w:rPr>
          <w:lang w:val="en-GB"/>
        </w:rPr>
        <w:t>missing information.</w:t>
      </w:r>
    </w:p>
    <w:p w14:paraId="5741900F" w14:textId="7E780A95" w:rsidR="00453E24" w:rsidRPr="00B32B10" w:rsidRDefault="00DC4378" w:rsidP="00453E24">
      <w:pPr>
        <w:pStyle w:val="CETHeading1"/>
      </w:pPr>
      <w:r w:rsidRPr="00B32B10">
        <w:t>Materials and methods</w:t>
      </w:r>
    </w:p>
    <w:p w14:paraId="09406386" w14:textId="63E9E079" w:rsidR="00453E24" w:rsidRPr="00B32B10" w:rsidRDefault="00DC4378" w:rsidP="00453E24">
      <w:pPr>
        <w:pStyle w:val="CETBodytext"/>
      </w:pPr>
      <w:r w:rsidRPr="00B32B10">
        <w:t xml:space="preserve">In order to propose a single method to </w:t>
      </w:r>
      <w:r w:rsidR="00D9068F" w:rsidRPr="00B32B10">
        <w:t>establish the safety elements failed</w:t>
      </w:r>
      <w:r w:rsidRPr="00B32B10">
        <w:t>, both OSHA</w:t>
      </w:r>
      <w:r w:rsidR="00CE784E" w:rsidRPr="00B32B10">
        <w:t xml:space="preserve"> </w:t>
      </w:r>
      <w:r w:rsidRPr="00B32B10">
        <w:t xml:space="preserve"> and CCPS</w:t>
      </w:r>
      <w:r w:rsidR="00CE784E" w:rsidRPr="00B32B10">
        <w:t xml:space="preserve"> </w:t>
      </w:r>
      <w:r w:rsidR="00CE784E" w:rsidRPr="00B32B10">
        <w:fldChar w:fldCharType="begin"/>
      </w:r>
      <w:r w:rsidR="00CE784E" w:rsidRPr="00B32B10">
        <w:instrText xml:space="preserve"> ADDIN ZOTERO_ITEM CSL_CITATION {"citationID":"F6wn1rkB","properties":{"formattedCitation":"(\\uc0\\u8220{}CCPS | Center for Chemical Process Safety,\\uc0\\u8221{} 2012)","plainCitation":"(“CCPS | Center for Chemical Process Safety,” 2012)","noteIndex":0},"citationItems":[{"id":242,"uris":["http://zotero.org/users/local/mDzd7GNh/items/5VKILMVP"],"itemData":{"id":242,"type":"webpage","abstract":"CCPS is a not-for-profit corporate membership organization within AIChE, that identifies and addresses process safety needs in the chemical, pharmaceutical, and petroleum industries.","language":"en","title":"CCPS | Center for Chemical Process Safety","URL":"https://www.aiche.org/ccps","accessed":{"date-parts":[["2024",11,19]]},"issued":{"date-parts":[["2012",2,28]]}}}],"schema":"https://github.com/citation-style-language/schema/raw/master/csl-citation.json"} </w:instrText>
      </w:r>
      <w:r w:rsidR="00CE784E" w:rsidRPr="00B32B10">
        <w:fldChar w:fldCharType="separate"/>
      </w:r>
      <w:r w:rsidR="00CE784E" w:rsidRPr="00B32B10">
        <w:fldChar w:fldCharType="end"/>
      </w:r>
      <w:r w:rsidR="00763F57" w:rsidRPr="00B32B10">
        <w:t>distinct process safety guidelines have been compared and integrated in order to make the study of process safety as comprehensive as possible.</w:t>
      </w:r>
    </w:p>
    <w:p w14:paraId="0636B784" w14:textId="3925C99A" w:rsidR="00453E24" w:rsidRPr="00B32B10" w:rsidRDefault="00DC4378" w:rsidP="00D9068F">
      <w:pPr>
        <w:pStyle w:val="CETheadingx"/>
      </w:pPr>
      <w:r w:rsidRPr="00B32B10">
        <w:t>OSHA and CCPS guidelines</w:t>
      </w:r>
    </w:p>
    <w:p w14:paraId="21981421" w14:textId="77777777" w:rsidR="00153AC7" w:rsidRPr="00B32B10" w:rsidRDefault="00153AC7" w:rsidP="00153AC7">
      <w:pPr>
        <w:pStyle w:val="CETBodytext"/>
        <w:rPr>
          <w:lang w:val="en-GB"/>
        </w:rPr>
      </w:pPr>
      <w:r w:rsidRPr="00B32B10">
        <w:rPr>
          <w:lang w:val="en-GB"/>
        </w:rPr>
        <w:t>There are two main guidelines referred to when implementing a Process Safety Management system: the OSHA guideline and the CCPS guideline. Both are based on key principles that include various elements with the aim of ensuring careful monitoring of process safety. Both identify four main areas:</w:t>
      </w:r>
    </w:p>
    <w:p w14:paraId="6248FDB1" w14:textId="77777777" w:rsidR="00153AC7" w:rsidRPr="00B32B10" w:rsidRDefault="00153AC7" w:rsidP="00153AC7">
      <w:pPr>
        <w:pStyle w:val="CETBodytext"/>
        <w:numPr>
          <w:ilvl w:val="0"/>
          <w:numId w:val="26"/>
        </w:numPr>
        <w:rPr>
          <w:lang w:val="en-GB"/>
        </w:rPr>
      </w:pPr>
      <w:r w:rsidRPr="00B32B10">
        <w:rPr>
          <w:lang w:val="en-GB"/>
        </w:rPr>
        <w:t xml:space="preserve">Commitment to process </w:t>
      </w:r>
      <w:proofErr w:type="gramStart"/>
      <w:r w:rsidRPr="00B32B10">
        <w:rPr>
          <w:lang w:val="en-GB"/>
        </w:rPr>
        <w:t>safety;</w:t>
      </w:r>
      <w:proofErr w:type="gramEnd"/>
    </w:p>
    <w:p w14:paraId="253968FC" w14:textId="77777777" w:rsidR="00153AC7" w:rsidRPr="00B32B10" w:rsidRDefault="00153AC7" w:rsidP="00153AC7">
      <w:pPr>
        <w:pStyle w:val="CETBodytext"/>
        <w:numPr>
          <w:ilvl w:val="0"/>
          <w:numId w:val="26"/>
        </w:numPr>
        <w:rPr>
          <w:lang w:val="en-GB"/>
        </w:rPr>
      </w:pPr>
      <w:r w:rsidRPr="00B32B10">
        <w:rPr>
          <w:lang w:val="en-GB"/>
        </w:rPr>
        <w:t xml:space="preserve">Understanding hazards and </w:t>
      </w:r>
      <w:proofErr w:type="gramStart"/>
      <w:r w:rsidRPr="00B32B10">
        <w:rPr>
          <w:lang w:val="en-GB"/>
        </w:rPr>
        <w:t>risks;</w:t>
      </w:r>
      <w:proofErr w:type="gramEnd"/>
    </w:p>
    <w:p w14:paraId="267D64CA" w14:textId="77777777" w:rsidR="00153AC7" w:rsidRPr="00B32B10" w:rsidRDefault="00153AC7" w:rsidP="00153AC7">
      <w:pPr>
        <w:pStyle w:val="CETBodytext"/>
        <w:numPr>
          <w:ilvl w:val="0"/>
          <w:numId w:val="26"/>
        </w:numPr>
        <w:rPr>
          <w:lang w:val="en-GB"/>
        </w:rPr>
      </w:pPr>
      <w:r w:rsidRPr="00B32B10">
        <w:rPr>
          <w:lang w:val="en-GB"/>
        </w:rPr>
        <w:t xml:space="preserve">Risk </w:t>
      </w:r>
      <w:proofErr w:type="gramStart"/>
      <w:r w:rsidRPr="00B32B10">
        <w:rPr>
          <w:lang w:val="en-GB"/>
        </w:rPr>
        <w:t>management;</w:t>
      </w:r>
      <w:proofErr w:type="gramEnd"/>
    </w:p>
    <w:p w14:paraId="339059AC" w14:textId="77777777" w:rsidR="00153AC7" w:rsidRPr="00B32B10" w:rsidRDefault="00153AC7" w:rsidP="00153AC7">
      <w:pPr>
        <w:pStyle w:val="CETBodytext"/>
        <w:numPr>
          <w:ilvl w:val="0"/>
          <w:numId w:val="26"/>
        </w:numPr>
        <w:rPr>
          <w:lang w:val="en-GB"/>
        </w:rPr>
      </w:pPr>
      <w:r w:rsidRPr="00B32B10">
        <w:rPr>
          <w:lang w:val="en-GB"/>
        </w:rPr>
        <w:t xml:space="preserve">Learning from experience. </w:t>
      </w:r>
    </w:p>
    <w:p w14:paraId="43CCEF7B" w14:textId="77777777" w:rsidR="00153AC7" w:rsidRPr="00B32B10" w:rsidRDefault="00153AC7" w:rsidP="00153AC7">
      <w:pPr>
        <w:pStyle w:val="CETBodytext"/>
      </w:pPr>
    </w:p>
    <w:p w14:paraId="280C0CEA" w14:textId="77777777" w:rsidR="00153AC7" w:rsidRPr="00B32B10" w:rsidRDefault="00153AC7" w:rsidP="00153AC7">
      <w:pPr>
        <w:pStyle w:val="CETBodytext"/>
      </w:pPr>
      <w:r w:rsidRPr="00B32B10">
        <w:t xml:space="preserve">The two distinct process safety guidelines have been compared and integrated to ensure a comprehensive approach to the study of process safety. </w:t>
      </w:r>
    </w:p>
    <w:p w14:paraId="71582E91" w14:textId="52DCBD6C" w:rsidR="00153AC7" w:rsidRPr="00B32B10" w:rsidRDefault="00153AC7" w:rsidP="00153AC7">
      <w:pPr>
        <w:pStyle w:val="CETBodytext"/>
      </w:pPr>
      <w:r w:rsidRPr="00B32B10">
        <w:t xml:space="preserve">Although the CCPS includes 20 elements and OSHA 14, it was considered appropriate to </w:t>
      </w:r>
      <w:r w:rsidR="00D9068F" w:rsidRPr="00B32B10">
        <w:t>harmonize</w:t>
      </w:r>
      <w:r w:rsidRPr="00B32B10">
        <w:t xml:space="preserve"> the research between these elements </w:t>
      </w:r>
      <w:proofErr w:type="gramStart"/>
      <w:r w:rsidRPr="00B32B10">
        <w:t>in order to</w:t>
      </w:r>
      <w:proofErr w:type="gramEnd"/>
      <w:r w:rsidRPr="00B32B10">
        <w:t xml:space="preserve"> emphasize the phases of a risk-based approach to PSM. </w:t>
      </w:r>
    </w:p>
    <w:p w14:paraId="688B63E2" w14:textId="17BB729E" w:rsidR="00153AC7" w:rsidRPr="00B32B10" w:rsidRDefault="00153AC7" w:rsidP="00D9068F">
      <w:pPr>
        <w:pStyle w:val="CETBodytext"/>
      </w:pPr>
      <w:r w:rsidRPr="00B32B10">
        <w:t>Table 1 highlights a comparison that underscores the CCPS approach, which is structured into 2</w:t>
      </w:r>
      <w:r w:rsidR="00D9068F" w:rsidRPr="00B32B10">
        <w:t>1</w:t>
      </w:r>
      <w:r w:rsidRPr="00B32B10">
        <w:t xml:space="preserve"> elements, including six additional ones compared to the OSHA approach</w:t>
      </w:r>
      <w:r w:rsidR="00D9068F" w:rsidRPr="00B32B10">
        <w:t>. The OSHA approach defines six elements that do not find a straight correlation</w:t>
      </w:r>
      <w:r w:rsidRPr="00B32B10">
        <w:t xml:space="preserve">. On the contrary, the OSHA approach includes an element that is not present </w:t>
      </w:r>
      <w:r w:rsidRPr="00B32B10">
        <w:lastRenderedPageBreak/>
        <w:t xml:space="preserve">in the CCPS approach: trade secrets. To facilitate the analysis of the various incidents, a comparison between the two models has been proposed, based on the structure outlined in Table 1. </w:t>
      </w:r>
      <w:r w:rsidR="00D9068F" w:rsidRPr="00B32B10">
        <w:t>In the current study, the first 20 elements have been considered, providing a detailed set of conditions.</w:t>
      </w:r>
    </w:p>
    <w:p w14:paraId="5EFB329A" w14:textId="3BE00DCD" w:rsidR="00505761" w:rsidRPr="00B32B10" w:rsidRDefault="00153AC7" w:rsidP="00505761">
      <w:pPr>
        <w:pStyle w:val="CETTabletitle"/>
      </w:pPr>
      <w:r w:rsidRPr="00B32B10">
        <w:t>Table 1: Overview of the OSHA and CCPS Approaches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70"/>
        <w:gridCol w:w="1980"/>
        <w:gridCol w:w="1750"/>
        <w:gridCol w:w="500"/>
        <w:gridCol w:w="2070"/>
        <w:gridCol w:w="2217"/>
      </w:tblGrid>
      <w:tr w:rsidR="00417798" w:rsidRPr="00B32B10" w14:paraId="3418B23A" w14:textId="77777777" w:rsidTr="001E0A86">
        <w:trPr>
          <w:trHeight w:val="432"/>
        </w:trPr>
        <w:tc>
          <w:tcPr>
            <w:tcW w:w="270" w:type="dxa"/>
            <w:tcBorders>
              <w:top w:val="single" w:sz="12" w:space="0" w:color="008000"/>
              <w:bottom w:val="single" w:sz="6" w:space="0" w:color="008000"/>
            </w:tcBorders>
            <w:shd w:val="clear" w:color="auto" w:fill="FFFFFF"/>
            <w:vAlign w:val="center"/>
          </w:tcPr>
          <w:p w14:paraId="4D4B847F" w14:textId="432138C0" w:rsidR="00417798" w:rsidRPr="00B32B10" w:rsidRDefault="00417798" w:rsidP="00171240">
            <w:pPr>
              <w:pStyle w:val="CETBodytext"/>
              <w:spacing w:line="240" w:lineRule="auto"/>
              <w:jc w:val="center"/>
              <w:rPr>
                <w:lang w:val="en-GB"/>
              </w:rPr>
            </w:pPr>
            <w:r w:rsidRPr="00B32B10">
              <w:rPr>
                <w:lang w:val="en-GB"/>
              </w:rPr>
              <w:t>#</w:t>
            </w:r>
          </w:p>
        </w:tc>
        <w:tc>
          <w:tcPr>
            <w:tcW w:w="1980" w:type="dxa"/>
            <w:tcBorders>
              <w:top w:val="single" w:sz="12" w:space="0" w:color="008000"/>
              <w:bottom w:val="single" w:sz="6" w:space="0" w:color="008000"/>
            </w:tcBorders>
            <w:shd w:val="clear" w:color="auto" w:fill="FFFFFF"/>
            <w:vAlign w:val="center"/>
          </w:tcPr>
          <w:p w14:paraId="6526E842" w14:textId="3956F12B" w:rsidR="00417798" w:rsidRPr="00B32B10" w:rsidRDefault="00153AC7" w:rsidP="00171240">
            <w:pPr>
              <w:pStyle w:val="CETBodytext"/>
              <w:spacing w:line="240" w:lineRule="auto"/>
              <w:jc w:val="center"/>
              <w:rPr>
                <w:lang w:val="en-GB"/>
              </w:rPr>
            </w:pPr>
            <w:r w:rsidRPr="00B32B10">
              <w:rPr>
                <w:lang w:val="en-GB"/>
              </w:rPr>
              <w:t>CCPS</w:t>
            </w:r>
          </w:p>
        </w:tc>
        <w:tc>
          <w:tcPr>
            <w:tcW w:w="1750" w:type="dxa"/>
            <w:tcBorders>
              <w:top w:val="single" w:sz="12" w:space="0" w:color="008000"/>
              <w:bottom w:val="single" w:sz="6" w:space="0" w:color="008000"/>
            </w:tcBorders>
            <w:shd w:val="clear" w:color="auto" w:fill="FFFFFF"/>
            <w:vAlign w:val="center"/>
          </w:tcPr>
          <w:p w14:paraId="20A909F0" w14:textId="311EC67A" w:rsidR="00417798" w:rsidRPr="00B32B10" w:rsidRDefault="00153AC7" w:rsidP="00171240">
            <w:pPr>
              <w:pStyle w:val="CETBodytext"/>
              <w:spacing w:line="240" w:lineRule="auto"/>
              <w:jc w:val="center"/>
              <w:rPr>
                <w:lang w:val="en-GB"/>
              </w:rPr>
            </w:pPr>
            <w:r w:rsidRPr="00B32B10">
              <w:rPr>
                <w:lang w:val="en-GB"/>
              </w:rPr>
              <w:t>OSHA</w:t>
            </w:r>
          </w:p>
        </w:tc>
        <w:tc>
          <w:tcPr>
            <w:tcW w:w="500" w:type="dxa"/>
            <w:tcBorders>
              <w:top w:val="single" w:sz="12" w:space="0" w:color="008000"/>
              <w:bottom w:val="single" w:sz="6" w:space="0" w:color="008000"/>
            </w:tcBorders>
            <w:shd w:val="clear" w:color="auto" w:fill="FFFFFF"/>
            <w:vAlign w:val="center"/>
          </w:tcPr>
          <w:p w14:paraId="0FEF0D7D" w14:textId="5A41A55F" w:rsidR="00417798" w:rsidRPr="00B32B10" w:rsidRDefault="00417798" w:rsidP="00171240">
            <w:pPr>
              <w:pStyle w:val="CETBodytext"/>
              <w:spacing w:line="240" w:lineRule="auto"/>
              <w:ind w:right="-1"/>
              <w:jc w:val="center"/>
              <w:rPr>
                <w:rFonts w:cs="Arial"/>
                <w:szCs w:val="18"/>
                <w:lang w:val="en-GB"/>
              </w:rPr>
            </w:pPr>
            <w:r w:rsidRPr="00B32B10">
              <w:rPr>
                <w:lang w:val="en-GB"/>
              </w:rPr>
              <w:t>#</w:t>
            </w:r>
          </w:p>
        </w:tc>
        <w:tc>
          <w:tcPr>
            <w:tcW w:w="2070" w:type="dxa"/>
            <w:tcBorders>
              <w:top w:val="single" w:sz="12" w:space="0" w:color="008000"/>
              <w:bottom w:val="single" w:sz="6" w:space="0" w:color="008000"/>
            </w:tcBorders>
            <w:shd w:val="clear" w:color="auto" w:fill="FFFFFF"/>
            <w:vAlign w:val="center"/>
          </w:tcPr>
          <w:p w14:paraId="60E52AF5" w14:textId="00AAD152" w:rsidR="00417798" w:rsidRPr="00B32B10" w:rsidRDefault="00153AC7" w:rsidP="00171240">
            <w:pPr>
              <w:pStyle w:val="CETBodytext"/>
              <w:spacing w:line="240" w:lineRule="auto"/>
              <w:ind w:right="-1"/>
              <w:jc w:val="center"/>
              <w:rPr>
                <w:rFonts w:cs="Arial"/>
                <w:szCs w:val="18"/>
                <w:lang w:val="en-GB"/>
              </w:rPr>
            </w:pPr>
            <w:r w:rsidRPr="00B32B10">
              <w:rPr>
                <w:lang w:val="en-GB"/>
              </w:rPr>
              <w:t>CCPS</w:t>
            </w:r>
          </w:p>
        </w:tc>
        <w:tc>
          <w:tcPr>
            <w:tcW w:w="2217" w:type="dxa"/>
            <w:tcBorders>
              <w:top w:val="single" w:sz="12" w:space="0" w:color="008000"/>
              <w:bottom w:val="single" w:sz="6" w:space="0" w:color="008000"/>
            </w:tcBorders>
            <w:shd w:val="clear" w:color="auto" w:fill="FFFFFF"/>
            <w:vAlign w:val="center"/>
          </w:tcPr>
          <w:p w14:paraId="52ADDBD5" w14:textId="589FDE9A" w:rsidR="00417798" w:rsidRPr="00B32B10" w:rsidRDefault="00153AC7" w:rsidP="00171240">
            <w:pPr>
              <w:pStyle w:val="CETBodytext"/>
              <w:spacing w:line="240" w:lineRule="auto"/>
              <w:ind w:right="-1"/>
              <w:jc w:val="center"/>
              <w:rPr>
                <w:rFonts w:cs="Arial"/>
                <w:szCs w:val="18"/>
                <w:lang w:val="en-GB"/>
              </w:rPr>
            </w:pPr>
            <w:r w:rsidRPr="00B32B10">
              <w:rPr>
                <w:lang w:val="en-GB"/>
              </w:rPr>
              <w:t>OSHA</w:t>
            </w:r>
          </w:p>
        </w:tc>
      </w:tr>
      <w:tr w:rsidR="00417798" w:rsidRPr="00B32B10" w14:paraId="4CFA98CA" w14:textId="77777777" w:rsidTr="001E0A86">
        <w:trPr>
          <w:trHeight w:val="432"/>
        </w:trPr>
        <w:tc>
          <w:tcPr>
            <w:tcW w:w="270" w:type="dxa"/>
            <w:shd w:val="clear" w:color="auto" w:fill="FFFFFF"/>
            <w:vAlign w:val="center"/>
          </w:tcPr>
          <w:p w14:paraId="327A2D31" w14:textId="77777777" w:rsidR="00417798" w:rsidRPr="00B32B10" w:rsidRDefault="00417798" w:rsidP="00171240">
            <w:pPr>
              <w:pStyle w:val="CETBodytext"/>
              <w:spacing w:line="240" w:lineRule="auto"/>
              <w:jc w:val="center"/>
              <w:rPr>
                <w:lang w:val="en-GB"/>
              </w:rPr>
            </w:pPr>
            <w:r w:rsidRPr="00B32B10">
              <w:rPr>
                <w:lang w:val="en-GB"/>
              </w:rPr>
              <w:t>1</w:t>
            </w:r>
          </w:p>
        </w:tc>
        <w:tc>
          <w:tcPr>
            <w:tcW w:w="1980" w:type="dxa"/>
            <w:shd w:val="clear" w:color="auto" w:fill="FFFFFF"/>
            <w:vAlign w:val="center"/>
          </w:tcPr>
          <w:p w14:paraId="14248DA4" w14:textId="189E3937" w:rsidR="00417798" w:rsidRPr="00B32B10" w:rsidRDefault="00153AC7" w:rsidP="00153AC7">
            <w:pPr>
              <w:pStyle w:val="CETBodytext"/>
              <w:spacing w:line="240" w:lineRule="auto"/>
            </w:pPr>
            <w:r w:rsidRPr="00B32B10">
              <w:t xml:space="preserve">  </w:t>
            </w:r>
            <w:proofErr w:type="spellStart"/>
            <w:r w:rsidRPr="00B32B10">
              <w:rPr>
                <w:lang w:val="it-IT"/>
              </w:rPr>
              <w:t>Process</w:t>
            </w:r>
            <w:proofErr w:type="spellEnd"/>
            <w:r w:rsidRPr="00B32B10">
              <w:rPr>
                <w:lang w:val="it-IT"/>
              </w:rPr>
              <w:t xml:space="preserve"> </w:t>
            </w:r>
            <w:proofErr w:type="spellStart"/>
            <w:r w:rsidRPr="00B32B10">
              <w:rPr>
                <w:lang w:val="it-IT"/>
              </w:rPr>
              <w:t>Safety</w:t>
            </w:r>
            <w:proofErr w:type="spellEnd"/>
            <w:r w:rsidRPr="00B32B10">
              <w:rPr>
                <w:lang w:val="it-IT"/>
              </w:rPr>
              <w:t xml:space="preserve"> Culture</w:t>
            </w:r>
          </w:p>
        </w:tc>
        <w:tc>
          <w:tcPr>
            <w:tcW w:w="1750" w:type="dxa"/>
            <w:shd w:val="clear" w:color="auto" w:fill="FFFFFF"/>
            <w:vAlign w:val="center"/>
          </w:tcPr>
          <w:p w14:paraId="595A8213" w14:textId="67AAAB33" w:rsidR="00417798" w:rsidRPr="00B32B10" w:rsidRDefault="00D9068F" w:rsidP="00171240">
            <w:pPr>
              <w:pStyle w:val="CETBodytext"/>
              <w:spacing w:line="240" w:lineRule="auto"/>
              <w:jc w:val="center"/>
              <w:rPr>
                <w:lang w:val="it-IT"/>
              </w:rPr>
            </w:pPr>
            <w:proofErr w:type="spellStart"/>
            <w:r w:rsidRPr="00B32B10">
              <w:rPr>
                <w:lang w:val="it-IT"/>
              </w:rPr>
              <w:t>Cannot</w:t>
            </w:r>
            <w:proofErr w:type="spellEnd"/>
            <w:r w:rsidRPr="00B32B10">
              <w:rPr>
                <w:lang w:val="it-IT"/>
              </w:rPr>
              <w:t xml:space="preserve"> be </w:t>
            </w:r>
            <w:proofErr w:type="spellStart"/>
            <w:r w:rsidRPr="00B32B10">
              <w:rPr>
                <w:lang w:val="it-IT"/>
              </w:rPr>
              <w:t>applied</w:t>
            </w:r>
            <w:proofErr w:type="spellEnd"/>
          </w:p>
        </w:tc>
        <w:tc>
          <w:tcPr>
            <w:tcW w:w="500" w:type="dxa"/>
            <w:shd w:val="clear" w:color="auto" w:fill="FFFFFF"/>
            <w:vAlign w:val="center"/>
          </w:tcPr>
          <w:p w14:paraId="003D0745" w14:textId="5F6B67FE" w:rsidR="00417798" w:rsidRPr="00B32B10" w:rsidRDefault="00417798" w:rsidP="00171240">
            <w:pPr>
              <w:pStyle w:val="CETBodytext"/>
              <w:spacing w:line="240" w:lineRule="auto"/>
              <w:ind w:right="-1"/>
              <w:jc w:val="center"/>
              <w:rPr>
                <w:rFonts w:cs="Arial"/>
                <w:szCs w:val="18"/>
                <w:lang w:val="en-GB"/>
              </w:rPr>
            </w:pPr>
            <w:r w:rsidRPr="00B32B10">
              <w:rPr>
                <w:rFonts w:cs="Arial"/>
                <w:szCs w:val="18"/>
                <w:lang w:val="en-GB"/>
              </w:rPr>
              <w:t>11</w:t>
            </w:r>
          </w:p>
        </w:tc>
        <w:tc>
          <w:tcPr>
            <w:tcW w:w="2070" w:type="dxa"/>
            <w:shd w:val="clear" w:color="auto" w:fill="FFFFFF"/>
            <w:vAlign w:val="center"/>
          </w:tcPr>
          <w:p w14:paraId="404C98EA" w14:textId="5C515F9F" w:rsidR="00417798" w:rsidRPr="00B32B10" w:rsidRDefault="00417798" w:rsidP="00171240">
            <w:pPr>
              <w:pStyle w:val="CETBodytext"/>
              <w:spacing w:line="240" w:lineRule="auto"/>
              <w:ind w:right="-1"/>
              <w:jc w:val="center"/>
              <w:rPr>
                <w:rFonts w:cs="Arial"/>
                <w:szCs w:val="18"/>
                <w:lang w:val="it-IT"/>
              </w:rPr>
            </w:pPr>
            <w:r w:rsidRPr="00B32B10">
              <w:rPr>
                <w:rFonts w:cs="Arial"/>
                <w:szCs w:val="18"/>
                <w:lang w:val="it-IT"/>
              </w:rPr>
              <w:t>Contractor Management</w:t>
            </w:r>
          </w:p>
        </w:tc>
        <w:tc>
          <w:tcPr>
            <w:tcW w:w="2217" w:type="dxa"/>
            <w:shd w:val="clear" w:color="auto" w:fill="FFFFFF"/>
            <w:vAlign w:val="center"/>
          </w:tcPr>
          <w:p w14:paraId="55932159" w14:textId="708FA3E5" w:rsidR="00417798" w:rsidRPr="00B32B10" w:rsidRDefault="00417798" w:rsidP="00171240">
            <w:pPr>
              <w:pStyle w:val="CETBodytext"/>
              <w:spacing w:line="240" w:lineRule="auto"/>
              <w:ind w:right="-1"/>
              <w:jc w:val="center"/>
              <w:rPr>
                <w:rFonts w:cs="Arial"/>
                <w:szCs w:val="18"/>
                <w:lang w:val="en-GB"/>
              </w:rPr>
            </w:pPr>
            <w:r w:rsidRPr="00B32B10">
              <w:t>Contrac</w:t>
            </w:r>
            <w:r w:rsidR="00153AC7" w:rsidRPr="00B32B10">
              <w:t>tors</w:t>
            </w:r>
          </w:p>
        </w:tc>
      </w:tr>
      <w:tr w:rsidR="00417798" w:rsidRPr="00B32B10" w14:paraId="50CCB3B0" w14:textId="77777777" w:rsidTr="001E0A86">
        <w:trPr>
          <w:trHeight w:val="432"/>
        </w:trPr>
        <w:tc>
          <w:tcPr>
            <w:tcW w:w="270" w:type="dxa"/>
            <w:shd w:val="clear" w:color="auto" w:fill="FFFFFF"/>
            <w:vAlign w:val="center"/>
          </w:tcPr>
          <w:p w14:paraId="44C46469" w14:textId="77777777" w:rsidR="00417798" w:rsidRPr="00B32B10" w:rsidRDefault="00417798" w:rsidP="00171240">
            <w:pPr>
              <w:pStyle w:val="CETBodytext"/>
              <w:spacing w:line="240" w:lineRule="auto"/>
              <w:ind w:right="-1"/>
              <w:jc w:val="center"/>
              <w:rPr>
                <w:rFonts w:cs="Arial"/>
                <w:szCs w:val="18"/>
                <w:lang w:val="en-GB"/>
              </w:rPr>
            </w:pPr>
            <w:r w:rsidRPr="00B32B10">
              <w:rPr>
                <w:rFonts w:cs="Arial"/>
                <w:szCs w:val="18"/>
                <w:lang w:val="en-GB"/>
              </w:rPr>
              <w:t>2</w:t>
            </w:r>
          </w:p>
        </w:tc>
        <w:tc>
          <w:tcPr>
            <w:tcW w:w="1980" w:type="dxa"/>
            <w:shd w:val="clear" w:color="auto" w:fill="FFFFFF"/>
            <w:vAlign w:val="center"/>
          </w:tcPr>
          <w:p w14:paraId="3D4CE09E" w14:textId="644508E0" w:rsidR="00417798" w:rsidRPr="00B32B10" w:rsidRDefault="00153AC7" w:rsidP="00171240">
            <w:pPr>
              <w:pStyle w:val="CETBodytext"/>
              <w:spacing w:line="240" w:lineRule="auto"/>
              <w:ind w:right="-1"/>
              <w:jc w:val="center"/>
              <w:rPr>
                <w:rFonts w:cs="Arial"/>
                <w:szCs w:val="18"/>
                <w:lang w:val="it-IT"/>
              </w:rPr>
            </w:pPr>
            <w:r w:rsidRPr="00B32B10">
              <w:t>Compliance with Standards</w:t>
            </w:r>
          </w:p>
        </w:tc>
        <w:tc>
          <w:tcPr>
            <w:tcW w:w="1750" w:type="dxa"/>
            <w:shd w:val="clear" w:color="auto" w:fill="FFFFFF"/>
            <w:vAlign w:val="center"/>
          </w:tcPr>
          <w:p w14:paraId="4951EA62" w14:textId="0B155079" w:rsidR="00417798" w:rsidRPr="00B32B10" w:rsidRDefault="00153AC7" w:rsidP="00171240">
            <w:pPr>
              <w:pStyle w:val="CETBodytext"/>
              <w:spacing w:line="240" w:lineRule="auto"/>
              <w:ind w:right="-1"/>
              <w:jc w:val="center"/>
              <w:rPr>
                <w:rFonts w:cs="Arial"/>
                <w:szCs w:val="18"/>
                <w:lang w:val="it-IT"/>
              </w:rPr>
            </w:pPr>
            <w:proofErr w:type="spellStart"/>
            <w:r w:rsidRPr="00B32B10">
              <w:rPr>
                <w:lang w:val="it-IT"/>
              </w:rPr>
              <w:t>Process</w:t>
            </w:r>
            <w:proofErr w:type="spellEnd"/>
            <w:r w:rsidRPr="00B32B10">
              <w:rPr>
                <w:lang w:val="it-IT"/>
              </w:rPr>
              <w:t xml:space="preserve"> </w:t>
            </w:r>
            <w:proofErr w:type="spellStart"/>
            <w:r w:rsidRPr="00B32B10">
              <w:rPr>
                <w:lang w:val="it-IT"/>
              </w:rPr>
              <w:t>Safety</w:t>
            </w:r>
            <w:proofErr w:type="spellEnd"/>
            <w:r w:rsidRPr="00B32B10">
              <w:rPr>
                <w:lang w:val="it-IT"/>
              </w:rPr>
              <w:t xml:space="preserve"> Information</w:t>
            </w:r>
          </w:p>
        </w:tc>
        <w:tc>
          <w:tcPr>
            <w:tcW w:w="500" w:type="dxa"/>
            <w:shd w:val="clear" w:color="auto" w:fill="FFFFFF"/>
            <w:vAlign w:val="center"/>
          </w:tcPr>
          <w:p w14:paraId="66999B66" w14:textId="1AC20A2D" w:rsidR="00417798" w:rsidRPr="00B32B10" w:rsidRDefault="00417798" w:rsidP="00171240">
            <w:pPr>
              <w:pStyle w:val="CETBodytext"/>
              <w:spacing w:line="240" w:lineRule="auto"/>
              <w:ind w:right="-1"/>
              <w:jc w:val="center"/>
              <w:rPr>
                <w:rFonts w:cs="Arial"/>
                <w:szCs w:val="18"/>
                <w:lang w:val="en-GB"/>
              </w:rPr>
            </w:pPr>
            <w:r w:rsidRPr="00B32B10">
              <w:rPr>
                <w:rFonts w:cs="Arial"/>
                <w:szCs w:val="18"/>
                <w:lang w:val="en-GB"/>
              </w:rPr>
              <w:t>12</w:t>
            </w:r>
          </w:p>
        </w:tc>
        <w:tc>
          <w:tcPr>
            <w:tcW w:w="2070" w:type="dxa"/>
            <w:shd w:val="clear" w:color="auto" w:fill="FFFFFF"/>
            <w:vAlign w:val="center"/>
          </w:tcPr>
          <w:p w14:paraId="2DEB842D" w14:textId="78140A54" w:rsidR="00417798" w:rsidRPr="00B32B10" w:rsidRDefault="00153AC7" w:rsidP="00171240">
            <w:pPr>
              <w:pStyle w:val="CETBodytext"/>
              <w:spacing w:line="240" w:lineRule="auto"/>
              <w:ind w:right="-1"/>
              <w:jc w:val="center"/>
              <w:rPr>
                <w:rFonts w:cs="Arial"/>
                <w:szCs w:val="18"/>
                <w:lang w:val="it-IT"/>
              </w:rPr>
            </w:pPr>
            <w:r w:rsidRPr="00B32B10">
              <w:rPr>
                <w:lang w:val="it-IT"/>
              </w:rPr>
              <w:t>Training and Performance Assurance</w:t>
            </w:r>
          </w:p>
        </w:tc>
        <w:tc>
          <w:tcPr>
            <w:tcW w:w="2217" w:type="dxa"/>
            <w:shd w:val="clear" w:color="auto" w:fill="FFFFFF"/>
            <w:vAlign w:val="center"/>
          </w:tcPr>
          <w:p w14:paraId="3F3A904F" w14:textId="33DD2CCE" w:rsidR="00417798" w:rsidRPr="00B32B10" w:rsidRDefault="00417798" w:rsidP="00171240">
            <w:pPr>
              <w:pStyle w:val="CETBodytext"/>
              <w:spacing w:line="240" w:lineRule="auto"/>
              <w:ind w:right="-1"/>
              <w:jc w:val="center"/>
              <w:rPr>
                <w:rFonts w:cs="Arial"/>
                <w:szCs w:val="18"/>
                <w:lang w:val="it-IT"/>
              </w:rPr>
            </w:pPr>
            <w:r w:rsidRPr="00B32B10">
              <w:rPr>
                <w:lang w:val="it-IT"/>
              </w:rPr>
              <w:t xml:space="preserve">Training </w:t>
            </w:r>
          </w:p>
        </w:tc>
      </w:tr>
      <w:tr w:rsidR="00417798" w:rsidRPr="00B32B10" w14:paraId="0E23F7D6" w14:textId="77777777" w:rsidTr="001E0A86">
        <w:trPr>
          <w:trHeight w:val="432"/>
        </w:trPr>
        <w:tc>
          <w:tcPr>
            <w:tcW w:w="270" w:type="dxa"/>
            <w:shd w:val="clear" w:color="auto" w:fill="FFFFFF"/>
            <w:vAlign w:val="center"/>
          </w:tcPr>
          <w:p w14:paraId="58165741" w14:textId="77777777" w:rsidR="00417798" w:rsidRPr="00B32B10" w:rsidRDefault="00417798" w:rsidP="00171240">
            <w:pPr>
              <w:pStyle w:val="CETBodytext"/>
              <w:spacing w:line="240" w:lineRule="auto"/>
              <w:ind w:right="-1"/>
              <w:jc w:val="center"/>
              <w:rPr>
                <w:rFonts w:cs="Arial"/>
                <w:szCs w:val="18"/>
                <w:lang w:val="en-GB"/>
              </w:rPr>
            </w:pPr>
            <w:r w:rsidRPr="00B32B10">
              <w:rPr>
                <w:rFonts w:cs="Arial"/>
                <w:szCs w:val="18"/>
                <w:lang w:val="en-GB"/>
              </w:rPr>
              <w:t>3</w:t>
            </w:r>
          </w:p>
        </w:tc>
        <w:tc>
          <w:tcPr>
            <w:tcW w:w="1980" w:type="dxa"/>
            <w:shd w:val="clear" w:color="auto" w:fill="FFFFFF"/>
            <w:vAlign w:val="center"/>
          </w:tcPr>
          <w:p w14:paraId="6C1E3D2A" w14:textId="0B30E500" w:rsidR="00417798" w:rsidRPr="00B32B10" w:rsidRDefault="00153AC7" w:rsidP="00171240">
            <w:pPr>
              <w:pStyle w:val="CETBodytext"/>
              <w:spacing w:line="240" w:lineRule="auto"/>
              <w:ind w:right="-1"/>
              <w:jc w:val="center"/>
              <w:rPr>
                <w:rFonts w:cs="Arial"/>
                <w:szCs w:val="18"/>
                <w:lang w:val="it-IT"/>
              </w:rPr>
            </w:pPr>
            <w:proofErr w:type="spellStart"/>
            <w:r w:rsidRPr="00B32B10">
              <w:rPr>
                <w:lang w:val="it-IT"/>
              </w:rPr>
              <w:t>Process</w:t>
            </w:r>
            <w:proofErr w:type="spellEnd"/>
            <w:r w:rsidRPr="00B32B10">
              <w:rPr>
                <w:lang w:val="it-IT"/>
              </w:rPr>
              <w:t xml:space="preserve"> </w:t>
            </w:r>
            <w:proofErr w:type="spellStart"/>
            <w:r w:rsidRPr="00B32B10">
              <w:rPr>
                <w:lang w:val="it-IT"/>
              </w:rPr>
              <w:t>Safety</w:t>
            </w:r>
            <w:proofErr w:type="spellEnd"/>
            <w:r w:rsidRPr="00B32B10">
              <w:rPr>
                <w:lang w:val="it-IT"/>
              </w:rPr>
              <w:t xml:space="preserve"> </w:t>
            </w:r>
            <w:proofErr w:type="spellStart"/>
            <w:r w:rsidRPr="00B32B10">
              <w:rPr>
                <w:lang w:val="it-IT"/>
              </w:rPr>
              <w:t>Competency</w:t>
            </w:r>
            <w:proofErr w:type="spellEnd"/>
          </w:p>
        </w:tc>
        <w:tc>
          <w:tcPr>
            <w:tcW w:w="1750" w:type="dxa"/>
            <w:shd w:val="clear" w:color="auto" w:fill="FFFFFF"/>
            <w:vAlign w:val="center"/>
          </w:tcPr>
          <w:p w14:paraId="5F1D6B51" w14:textId="6B530E5E" w:rsidR="00417798" w:rsidRPr="00B32B10" w:rsidRDefault="00D9068F" w:rsidP="00171240">
            <w:pPr>
              <w:pStyle w:val="CETBodytext"/>
              <w:spacing w:line="240" w:lineRule="auto"/>
              <w:ind w:right="-1"/>
              <w:jc w:val="center"/>
              <w:rPr>
                <w:rFonts w:cs="Arial"/>
                <w:szCs w:val="18"/>
                <w:lang w:val="en-GB"/>
              </w:rPr>
            </w:pPr>
            <w:proofErr w:type="spellStart"/>
            <w:r w:rsidRPr="00B32B10">
              <w:rPr>
                <w:lang w:val="it-IT"/>
              </w:rPr>
              <w:t>Cannot</w:t>
            </w:r>
            <w:proofErr w:type="spellEnd"/>
            <w:r w:rsidRPr="00B32B10">
              <w:rPr>
                <w:lang w:val="it-IT"/>
              </w:rPr>
              <w:t xml:space="preserve"> be </w:t>
            </w:r>
            <w:proofErr w:type="spellStart"/>
            <w:r w:rsidRPr="00B32B10">
              <w:rPr>
                <w:lang w:val="it-IT"/>
              </w:rPr>
              <w:t>applied</w:t>
            </w:r>
            <w:proofErr w:type="spellEnd"/>
          </w:p>
        </w:tc>
        <w:tc>
          <w:tcPr>
            <w:tcW w:w="500" w:type="dxa"/>
            <w:shd w:val="clear" w:color="auto" w:fill="FFFFFF"/>
            <w:vAlign w:val="center"/>
          </w:tcPr>
          <w:p w14:paraId="06AAF465" w14:textId="48503153" w:rsidR="00417798" w:rsidRPr="00B32B10" w:rsidRDefault="00417798" w:rsidP="00171240">
            <w:pPr>
              <w:pStyle w:val="CETBodytext"/>
              <w:spacing w:line="240" w:lineRule="auto"/>
              <w:ind w:right="-1"/>
              <w:jc w:val="center"/>
              <w:rPr>
                <w:rFonts w:cs="Arial"/>
                <w:szCs w:val="18"/>
                <w:lang w:val="en-GB"/>
              </w:rPr>
            </w:pPr>
            <w:r w:rsidRPr="00B32B10">
              <w:rPr>
                <w:rFonts w:cs="Arial"/>
                <w:szCs w:val="18"/>
                <w:lang w:val="en-GB"/>
              </w:rPr>
              <w:t>13</w:t>
            </w:r>
          </w:p>
        </w:tc>
        <w:tc>
          <w:tcPr>
            <w:tcW w:w="2070" w:type="dxa"/>
            <w:shd w:val="clear" w:color="auto" w:fill="FFFFFF"/>
            <w:vAlign w:val="center"/>
          </w:tcPr>
          <w:p w14:paraId="676E84BB" w14:textId="6DD4799E" w:rsidR="00417798" w:rsidRPr="00B32B10" w:rsidRDefault="00417798" w:rsidP="00171240">
            <w:pPr>
              <w:pStyle w:val="CETBodytext"/>
              <w:spacing w:line="240" w:lineRule="auto"/>
              <w:ind w:right="-1"/>
              <w:jc w:val="center"/>
              <w:rPr>
                <w:rFonts w:cs="Arial"/>
                <w:szCs w:val="18"/>
                <w:lang w:val="en-GB"/>
              </w:rPr>
            </w:pPr>
            <w:r w:rsidRPr="00B32B10">
              <w:t>Management of Change</w:t>
            </w:r>
          </w:p>
        </w:tc>
        <w:tc>
          <w:tcPr>
            <w:tcW w:w="2217" w:type="dxa"/>
            <w:shd w:val="clear" w:color="auto" w:fill="FFFFFF"/>
            <w:vAlign w:val="center"/>
          </w:tcPr>
          <w:p w14:paraId="15E6E310" w14:textId="2037C529" w:rsidR="00417798" w:rsidRPr="00B32B10" w:rsidRDefault="00417798" w:rsidP="00171240">
            <w:pPr>
              <w:pStyle w:val="CETBodytext"/>
              <w:spacing w:line="240" w:lineRule="auto"/>
              <w:ind w:right="-1"/>
              <w:jc w:val="center"/>
              <w:rPr>
                <w:rFonts w:cs="Arial"/>
                <w:szCs w:val="18"/>
                <w:lang w:val="en-GB"/>
              </w:rPr>
            </w:pPr>
            <w:r w:rsidRPr="00B32B10">
              <w:t>Management of Change</w:t>
            </w:r>
            <w:r w:rsidR="00153AC7" w:rsidRPr="00B32B10">
              <w:t xml:space="preserve"> (MOC)</w:t>
            </w:r>
          </w:p>
        </w:tc>
      </w:tr>
      <w:tr w:rsidR="00417798" w:rsidRPr="00B32B10" w14:paraId="0E6B6548" w14:textId="77777777" w:rsidTr="001E0A86">
        <w:trPr>
          <w:trHeight w:val="432"/>
        </w:trPr>
        <w:tc>
          <w:tcPr>
            <w:tcW w:w="270" w:type="dxa"/>
            <w:shd w:val="clear" w:color="auto" w:fill="FFFFFF"/>
            <w:vAlign w:val="center"/>
          </w:tcPr>
          <w:p w14:paraId="14E77CA0" w14:textId="77777777" w:rsidR="00417798" w:rsidRPr="00B32B10" w:rsidRDefault="00417798" w:rsidP="00171240">
            <w:pPr>
              <w:pStyle w:val="CETBodytext"/>
              <w:spacing w:line="240" w:lineRule="auto"/>
              <w:ind w:right="-1"/>
              <w:jc w:val="center"/>
              <w:rPr>
                <w:rFonts w:cs="Arial"/>
                <w:szCs w:val="18"/>
                <w:lang w:val="en-GB"/>
              </w:rPr>
            </w:pPr>
            <w:r w:rsidRPr="00B32B10">
              <w:rPr>
                <w:rFonts w:cs="Arial"/>
                <w:szCs w:val="18"/>
                <w:lang w:val="en-GB"/>
              </w:rPr>
              <w:t>4</w:t>
            </w:r>
          </w:p>
        </w:tc>
        <w:tc>
          <w:tcPr>
            <w:tcW w:w="1980" w:type="dxa"/>
            <w:shd w:val="clear" w:color="auto" w:fill="FFFFFF"/>
            <w:vAlign w:val="center"/>
          </w:tcPr>
          <w:p w14:paraId="0FA4BC3A" w14:textId="7B536167" w:rsidR="00417798" w:rsidRPr="00B32B10" w:rsidRDefault="00153AC7" w:rsidP="00171240">
            <w:pPr>
              <w:pStyle w:val="CETBodytext"/>
              <w:spacing w:line="240" w:lineRule="auto"/>
              <w:ind w:right="-1"/>
              <w:jc w:val="center"/>
              <w:rPr>
                <w:rFonts w:cs="Arial"/>
                <w:szCs w:val="18"/>
                <w:lang w:val="it-IT"/>
              </w:rPr>
            </w:pPr>
            <w:proofErr w:type="spellStart"/>
            <w:r w:rsidRPr="00B32B10">
              <w:rPr>
                <w:lang w:val="it-IT"/>
              </w:rPr>
              <w:t>Workforce</w:t>
            </w:r>
            <w:proofErr w:type="spellEnd"/>
            <w:r w:rsidRPr="00B32B10">
              <w:rPr>
                <w:lang w:val="it-IT"/>
              </w:rPr>
              <w:t xml:space="preserve"> </w:t>
            </w:r>
            <w:proofErr w:type="spellStart"/>
            <w:r w:rsidRPr="00B32B10">
              <w:rPr>
                <w:lang w:val="it-IT"/>
              </w:rPr>
              <w:t>Involvement</w:t>
            </w:r>
            <w:proofErr w:type="spellEnd"/>
          </w:p>
        </w:tc>
        <w:tc>
          <w:tcPr>
            <w:tcW w:w="1750" w:type="dxa"/>
            <w:shd w:val="clear" w:color="auto" w:fill="FFFFFF"/>
            <w:vAlign w:val="center"/>
          </w:tcPr>
          <w:p w14:paraId="3DD5B617" w14:textId="50961C81" w:rsidR="00417798" w:rsidRPr="00B32B10" w:rsidRDefault="00153AC7" w:rsidP="00171240">
            <w:pPr>
              <w:pStyle w:val="CETBodytext"/>
              <w:spacing w:line="240" w:lineRule="auto"/>
              <w:ind w:right="-1"/>
              <w:jc w:val="center"/>
              <w:rPr>
                <w:rFonts w:cs="Arial"/>
                <w:szCs w:val="18"/>
                <w:lang w:val="it-IT"/>
              </w:rPr>
            </w:pPr>
            <w:proofErr w:type="spellStart"/>
            <w:r w:rsidRPr="00B32B10">
              <w:rPr>
                <w:lang w:val="it-IT"/>
              </w:rPr>
              <w:t>Employee</w:t>
            </w:r>
            <w:proofErr w:type="spellEnd"/>
            <w:r w:rsidRPr="00B32B10">
              <w:rPr>
                <w:lang w:val="it-IT"/>
              </w:rPr>
              <w:t xml:space="preserve"> </w:t>
            </w:r>
            <w:proofErr w:type="spellStart"/>
            <w:r w:rsidRPr="00B32B10">
              <w:rPr>
                <w:lang w:val="it-IT"/>
              </w:rPr>
              <w:t>participation</w:t>
            </w:r>
            <w:proofErr w:type="spellEnd"/>
          </w:p>
        </w:tc>
        <w:tc>
          <w:tcPr>
            <w:tcW w:w="500" w:type="dxa"/>
            <w:shd w:val="clear" w:color="auto" w:fill="FFFFFF"/>
            <w:vAlign w:val="center"/>
          </w:tcPr>
          <w:p w14:paraId="4AB772F6" w14:textId="47CD832B" w:rsidR="00417798" w:rsidRPr="00B32B10" w:rsidRDefault="00417798" w:rsidP="00171240">
            <w:pPr>
              <w:pStyle w:val="CETBodytext"/>
              <w:spacing w:line="240" w:lineRule="auto"/>
              <w:ind w:right="-1"/>
              <w:jc w:val="center"/>
              <w:rPr>
                <w:rFonts w:cs="Arial"/>
                <w:szCs w:val="18"/>
                <w:lang w:val="en-GB"/>
              </w:rPr>
            </w:pPr>
            <w:r w:rsidRPr="00B32B10">
              <w:rPr>
                <w:rFonts w:cs="Arial"/>
                <w:szCs w:val="18"/>
                <w:lang w:val="en-GB"/>
              </w:rPr>
              <w:t>14</w:t>
            </w:r>
          </w:p>
        </w:tc>
        <w:tc>
          <w:tcPr>
            <w:tcW w:w="2070" w:type="dxa"/>
            <w:shd w:val="clear" w:color="auto" w:fill="FFFFFF"/>
            <w:vAlign w:val="center"/>
          </w:tcPr>
          <w:p w14:paraId="7AC222B4" w14:textId="1DC4BE24" w:rsidR="00417798" w:rsidRPr="00B32B10" w:rsidRDefault="00153AC7" w:rsidP="00171240">
            <w:pPr>
              <w:pStyle w:val="CETBodytext"/>
              <w:spacing w:line="240" w:lineRule="auto"/>
              <w:ind w:right="-1"/>
              <w:jc w:val="center"/>
              <w:rPr>
                <w:rFonts w:cs="Arial"/>
                <w:szCs w:val="18"/>
                <w:lang w:val="en-GB"/>
              </w:rPr>
            </w:pPr>
            <w:r w:rsidRPr="00B32B10">
              <w:t>Operational Readiness</w:t>
            </w:r>
          </w:p>
        </w:tc>
        <w:tc>
          <w:tcPr>
            <w:tcW w:w="2217" w:type="dxa"/>
            <w:shd w:val="clear" w:color="auto" w:fill="FFFFFF"/>
            <w:vAlign w:val="center"/>
          </w:tcPr>
          <w:p w14:paraId="04BA3D58" w14:textId="2B93297E" w:rsidR="00417798" w:rsidRPr="00B32B10" w:rsidRDefault="00153AC7" w:rsidP="00171240">
            <w:pPr>
              <w:pStyle w:val="CETBodytext"/>
              <w:spacing w:line="240" w:lineRule="auto"/>
              <w:ind w:right="-1"/>
              <w:jc w:val="center"/>
              <w:rPr>
                <w:rFonts w:cs="Arial"/>
                <w:szCs w:val="18"/>
                <w:lang w:val="en-GB"/>
              </w:rPr>
            </w:pPr>
            <w:r w:rsidRPr="00B32B10">
              <w:rPr>
                <w:rFonts w:cs="Arial"/>
                <w:szCs w:val="18"/>
                <w:lang w:val="en-GB"/>
              </w:rPr>
              <w:t>Pre-Startup Safety Preview</w:t>
            </w:r>
          </w:p>
        </w:tc>
      </w:tr>
      <w:tr w:rsidR="00417798" w:rsidRPr="00B32B10" w14:paraId="1EBF15B2" w14:textId="77777777" w:rsidTr="001E0A86">
        <w:trPr>
          <w:trHeight w:val="432"/>
        </w:trPr>
        <w:tc>
          <w:tcPr>
            <w:tcW w:w="270" w:type="dxa"/>
            <w:shd w:val="clear" w:color="auto" w:fill="FFFFFF"/>
            <w:vAlign w:val="center"/>
          </w:tcPr>
          <w:p w14:paraId="49193959" w14:textId="77777777" w:rsidR="00417798" w:rsidRPr="00B32B10" w:rsidRDefault="00417798" w:rsidP="00171240">
            <w:pPr>
              <w:pStyle w:val="CETBodytext"/>
              <w:spacing w:line="240" w:lineRule="auto"/>
              <w:ind w:right="-1"/>
              <w:jc w:val="center"/>
              <w:rPr>
                <w:rFonts w:cs="Arial"/>
                <w:szCs w:val="18"/>
                <w:lang w:val="en-GB"/>
              </w:rPr>
            </w:pPr>
            <w:r w:rsidRPr="00B32B10">
              <w:rPr>
                <w:rFonts w:cs="Arial"/>
                <w:szCs w:val="18"/>
                <w:lang w:val="en-GB"/>
              </w:rPr>
              <w:t>5</w:t>
            </w:r>
          </w:p>
        </w:tc>
        <w:tc>
          <w:tcPr>
            <w:tcW w:w="1980" w:type="dxa"/>
            <w:shd w:val="clear" w:color="auto" w:fill="FFFFFF"/>
            <w:vAlign w:val="center"/>
          </w:tcPr>
          <w:p w14:paraId="67B9F308" w14:textId="6CC7D506" w:rsidR="00417798" w:rsidRPr="00B32B10" w:rsidRDefault="00153AC7" w:rsidP="00171240">
            <w:pPr>
              <w:pStyle w:val="CETBodytext"/>
              <w:spacing w:line="240" w:lineRule="auto"/>
              <w:ind w:right="-1"/>
              <w:jc w:val="center"/>
              <w:rPr>
                <w:rFonts w:cs="Arial"/>
                <w:szCs w:val="18"/>
                <w:lang w:val="it-IT"/>
              </w:rPr>
            </w:pPr>
            <w:r w:rsidRPr="00B32B10">
              <w:rPr>
                <w:lang w:val="it-IT"/>
              </w:rPr>
              <w:t xml:space="preserve">Stakeholder </w:t>
            </w:r>
            <w:proofErr w:type="spellStart"/>
            <w:r w:rsidRPr="00B32B10">
              <w:rPr>
                <w:lang w:val="it-IT"/>
              </w:rPr>
              <w:t>Outreach</w:t>
            </w:r>
            <w:proofErr w:type="spellEnd"/>
          </w:p>
        </w:tc>
        <w:tc>
          <w:tcPr>
            <w:tcW w:w="1750" w:type="dxa"/>
            <w:shd w:val="clear" w:color="auto" w:fill="FFFFFF"/>
            <w:vAlign w:val="center"/>
          </w:tcPr>
          <w:p w14:paraId="0DB17E32" w14:textId="45A5C6BF" w:rsidR="00417798" w:rsidRPr="00B32B10" w:rsidRDefault="00D9068F" w:rsidP="00171240">
            <w:pPr>
              <w:pStyle w:val="CETBodytext"/>
              <w:spacing w:line="240" w:lineRule="auto"/>
              <w:ind w:right="-1"/>
              <w:jc w:val="center"/>
              <w:rPr>
                <w:rFonts w:cs="Arial"/>
                <w:szCs w:val="18"/>
                <w:lang w:val="it-IT"/>
              </w:rPr>
            </w:pPr>
            <w:proofErr w:type="spellStart"/>
            <w:r w:rsidRPr="00B32B10">
              <w:rPr>
                <w:lang w:val="it-IT"/>
              </w:rPr>
              <w:t>Cannot</w:t>
            </w:r>
            <w:proofErr w:type="spellEnd"/>
            <w:r w:rsidRPr="00B32B10">
              <w:rPr>
                <w:lang w:val="it-IT"/>
              </w:rPr>
              <w:t xml:space="preserve"> be </w:t>
            </w:r>
            <w:proofErr w:type="spellStart"/>
            <w:r w:rsidRPr="00B32B10">
              <w:rPr>
                <w:lang w:val="it-IT"/>
              </w:rPr>
              <w:t>applied</w:t>
            </w:r>
            <w:proofErr w:type="spellEnd"/>
          </w:p>
        </w:tc>
        <w:tc>
          <w:tcPr>
            <w:tcW w:w="500" w:type="dxa"/>
            <w:shd w:val="clear" w:color="auto" w:fill="FFFFFF"/>
            <w:vAlign w:val="center"/>
          </w:tcPr>
          <w:p w14:paraId="6D430AF8" w14:textId="794C82C7" w:rsidR="00417798" w:rsidRPr="00B32B10" w:rsidRDefault="00417798" w:rsidP="00171240">
            <w:pPr>
              <w:pStyle w:val="CETBodytext"/>
              <w:spacing w:line="240" w:lineRule="auto"/>
              <w:ind w:right="-1"/>
              <w:jc w:val="center"/>
              <w:rPr>
                <w:rFonts w:cs="Arial"/>
                <w:szCs w:val="18"/>
                <w:lang w:val="en-GB"/>
              </w:rPr>
            </w:pPr>
            <w:r w:rsidRPr="00B32B10">
              <w:rPr>
                <w:rFonts w:cs="Arial"/>
                <w:szCs w:val="18"/>
                <w:lang w:val="en-GB"/>
              </w:rPr>
              <w:t>15</w:t>
            </w:r>
          </w:p>
        </w:tc>
        <w:tc>
          <w:tcPr>
            <w:tcW w:w="2070" w:type="dxa"/>
            <w:shd w:val="clear" w:color="auto" w:fill="FFFFFF"/>
            <w:vAlign w:val="center"/>
          </w:tcPr>
          <w:p w14:paraId="4008BEE2" w14:textId="7A3EC116" w:rsidR="00417798" w:rsidRPr="00B32B10" w:rsidRDefault="00153AC7" w:rsidP="00171240">
            <w:pPr>
              <w:pStyle w:val="CETBodytext"/>
              <w:spacing w:line="240" w:lineRule="auto"/>
              <w:ind w:right="-1"/>
              <w:jc w:val="center"/>
              <w:rPr>
                <w:rFonts w:cs="Arial"/>
                <w:szCs w:val="18"/>
                <w:lang w:val="en-GB"/>
              </w:rPr>
            </w:pPr>
            <w:r w:rsidRPr="00B32B10">
              <w:t>Conduct of Operations</w:t>
            </w:r>
          </w:p>
        </w:tc>
        <w:tc>
          <w:tcPr>
            <w:tcW w:w="2217" w:type="dxa"/>
            <w:shd w:val="clear" w:color="auto" w:fill="FFFFFF"/>
            <w:vAlign w:val="center"/>
          </w:tcPr>
          <w:p w14:paraId="2A8FC86F" w14:textId="52A1528E" w:rsidR="00417798" w:rsidRPr="00B32B10" w:rsidRDefault="00D9068F" w:rsidP="00171240">
            <w:pPr>
              <w:pStyle w:val="CETBodytext"/>
              <w:spacing w:line="240" w:lineRule="auto"/>
              <w:ind w:right="-1"/>
              <w:jc w:val="center"/>
              <w:rPr>
                <w:rFonts w:cs="Arial"/>
                <w:szCs w:val="18"/>
                <w:lang w:val="en-GB"/>
              </w:rPr>
            </w:pPr>
            <w:proofErr w:type="spellStart"/>
            <w:r w:rsidRPr="00B32B10">
              <w:rPr>
                <w:lang w:val="it-IT"/>
              </w:rPr>
              <w:t>Cannot</w:t>
            </w:r>
            <w:proofErr w:type="spellEnd"/>
            <w:r w:rsidRPr="00B32B10">
              <w:rPr>
                <w:lang w:val="it-IT"/>
              </w:rPr>
              <w:t xml:space="preserve"> be </w:t>
            </w:r>
            <w:proofErr w:type="spellStart"/>
            <w:r w:rsidRPr="00B32B10">
              <w:rPr>
                <w:lang w:val="it-IT"/>
              </w:rPr>
              <w:t>applied</w:t>
            </w:r>
            <w:proofErr w:type="spellEnd"/>
          </w:p>
        </w:tc>
      </w:tr>
      <w:tr w:rsidR="00417798" w:rsidRPr="00B32B10" w14:paraId="335CEB33" w14:textId="77777777" w:rsidTr="001E0A86">
        <w:trPr>
          <w:trHeight w:val="432"/>
        </w:trPr>
        <w:tc>
          <w:tcPr>
            <w:tcW w:w="270" w:type="dxa"/>
            <w:shd w:val="clear" w:color="auto" w:fill="FFFFFF"/>
            <w:vAlign w:val="center"/>
          </w:tcPr>
          <w:p w14:paraId="23B01F1D" w14:textId="77777777" w:rsidR="00417798" w:rsidRPr="00B32B10" w:rsidRDefault="00417798" w:rsidP="00171240">
            <w:pPr>
              <w:pStyle w:val="CETBodytext"/>
              <w:spacing w:line="240" w:lineRule="auto"/>
              <w:ind w:right="-1"/>
              <w:jc w:val="center"/>
              <w:rPr>
                <w:rFonts w:cs="Arial"/>
                <w:szCs w:val="18"/>
                <w:lang w:val="en-GB"/>
              </w:rPr>
            </w:pPr>
            <w:r w:rsidRPr="00B32B10">
              <w:rPr>
                <w:rFonts w:cs="Arial"/>
                <w:szCs w:val="18"/>
                <w:lang w:val="en-GB"/>
              </w:rPr>
              <w:t>6</w:t>
            </w:r>
          </w:p>
        </w:tc>
        <w:tc>
          <w:tcPr>
            <w:tcW w:w="1980" w:type="dxa"/>
            <w:shd w:val="clear" w:color="auto" w:fill="FFFFFF"/>
            <w:vAlign w:val="center"/>
          </w:tcPr>
          <w:p w14:paraId="36A66005" w14:textId="30AC4AAD" w:rsidR="00417798" w:rsidRPr="00B32B10" w:rsidRDefault="00153AC7" w:rsidP="00171240">
            <w:pPr>
              <w:pStyle w:val="CETBodytext"/>
              <w:spacing w:line="240" w:lineRule="auto"/>
              <w:ind w:right="-1"/>
              <w:jc w:val="center"/>
              <w:rPr>
                <w:rFonts w:cs="Arial"/>
                <w:szCs w:val="18"/>
                <w:lang w:val="it-IT"/>
              </w:rPr>
            </w:pPr>
            <w:proofErr w:type="spellStart"/>
            <w:r w:rsidRPr="00B32B10">
              <w:rPr>
                <w:lang w:val="it-IT"/>
              </w:rPr>
              <w:t>Process</w:t>
            </w:r>
            <w:proofErr w:type="spellEnd"/>
            <w:r w:rsidRPr="00B32B10">
              <w:rPr>
                <w:lang w:val="it-IT"/>
              </w:rPr>
              <w:t xml:space="preserve"> Knowledge Management</w:t>
            </w:r>
          </w:p>
        </w:tc>
        <w:tc>
          <w:tcPr>
            <w:tcW w:w="1750" w:type="dxa"/>
            <w:shd w:val="clear" w:color="auto" w:fill="FFFFFF"/>
            <w:vAlign w:val="center"/>
          </w:tcPr>
          <w:p w14:paraId="27BE7A68" w14:textId="78C65F50" w:rsidR="00417798" w:rsidRPr="00B32B10" w:rsidRDefault="00153AC7" w:rsidP="00171240">
            <w:pPr>
              <w:pStyle w:val="CETBodytext"/>
              <w:spacing w:line="240" w:lineRule="auto"/>
              <w:ind w:right="-1"/>
              <w:jc w:val="center"/>
              <w:rPr>
                <w:rFonts w:cs="Arial"/>
                <w:szCs w:val="18"/>
                <w:lang w:val="it-IT"/>
              </w:rPr>
            </w:pPr>
            <w:proofErr w:type="spellStart"/>
            <w:r w:rsidRPr="00B32B10">
              <w:rPr>
                <w:lang w:val="it-IT"/>
              </w:rPr>
              <w:t>Process</w:t>
            </w:r>
            <w:proofErr w:type="spellEnd"/>
            <w:r w:rsidRPr="00B32B10">
              <w:rPr>
                <w:lang w:val="it-IT"/>
              </w:rPr>
              <w:t xml:space="preserve"> </w:t>
            </w:r>
            <w:proofErr w:type="spellStart"/>
            <w:r w:rsidRPr="00B32B10">
              <w:rPr>
                <w:lang w:val="it-IT"/>
              </w:rPr>
              <w:t>Safety</w:t>
            </w:r>
            <w:proofErr w:type="spellEnd"/>
            <w:r w:rsidRPr="00B32B10">
              <w:rPr>
                <w:lang w:val="it-IT"/>
              </w:rPr>
              <w:t xml:space="preserve"> Information</w:t>
            </w:r>
          </w:p>
        </w:tc>
        <w:tc>
          <w:tcPr>
            <w:tcW w:w="500" w:type="dxa"/>
            <w:shd w:val="clear" w:color="auto" w:fill="FFFFFF"/>
            <w:vAlign w:val="center"/>
          </w:tcPr>
          <w:p w14:paraId="516AB269" w14:textId="396FA0CA" w:rsidR="00417798" w:rsidRPr="00B32B10" w:rsidRDefault="00417798" w:rsidP="00171240">
            <w:pPr>
              <w:pStyle w:val="CETBodytext"/>
              <w:spacing w:line="240" w:lineRule="auto"/>
              <w:ind w:right="-1"/>
              <w:jc w:val="center"/>
              <w:rPr>
                <w:rFonts w:cs="Arial"/>
                <w:szCs w:val="18"/>
                <w:lang w:val="en-GB"/>
              </w:rPr>
            </w:pPr>
            <w:r w:rsidRPr="00B32B10">
              <w:rPr>
                <w:rFonts w:cs="Arial"/>
                <w:szCs w:val="18"/>
                <w:lang w:val="en-GB"/>
              </w:rPr>
              <w:t>16</w:t>
            </w:r>
          </w:p>
        </w:tc>
        <w:tc>
          <w:tcPr>
            <w:tcW w:w="2070" w:type="dxa"/>
            <w:shd w:val="clear" w:color="auto" w:fill="FFFFFF"/>
            <w:vAlign w:val="center"/>
          </w:tcPr>
          <w:p w14:paraId="054B3CB1" w14:textId="2AA02EBC" w:rsidR="00417798" w:rsidRPr="00B32B10" w:rsidRDefault="00153AC7" w:rsidP="00171240">
            <w:pPr>
              <w:pStyle w:val="CETBodytext"/>
              <w:spacing w:line="240" w:lineRule="auto"/>
              <w:ind w:right="-1"/>
              <w:jc w:val="center"/>
              <w:rPr>
                <w:rFonts w:cs="Arial"/>
                <w:szCs w:val="18"/>
                <w:lang w:val="en-GB"/>
              </w:rPr>
            </w:pPr>
            <w:r w:rsidRPr="00B32B10">
              <w:t>Emergency Management</w:t>
            </w:r>
            <w:r w:rsidRPr="00B32B10">
              <w:rPr>
                <w:rFonts w:cs="Arial"/>
                <w:szCs w:val="18"/>
                <w:lang w:val="en-GB"/>
              </w:rPr>
              <w:t xml:space="preserve"> </w:t>
            </w:r>
          </w:p>
        </w:tc>
        <w:tc>
          <w:tcPr>
            <w:tcW w:w="2217" w:type="dxa"/>
            <w:shd w:val="clear" w:color="auto" w:fill="FFFFFF"/>
            <w:vAlign w:val="center"/>
          </w:tcPr>
          <w:p w14:paraId="3263FDE9" w14:textId="5E2D9D1D" w:rsidR="00417798" w:rsidRPr="00B32B10" w:rsidRDefault="00153AC7" w:rsidP="00171240">
            <w:pPr>
              <w:pStyle w:val="CETBodytext"/>
              <w:spacing w:line="240" w:lineRule="auto"/>
              <w:ind w:right="-1"/>
              <w:jc w:val="center"/>
            </w:pPr>
            <w:r w:rsidRPr="00B32B10">
              <w:rPr>
                <w:rFonts w:cs="Arial"/>
                <w:szCs w:val="18"/>
                <w:lang w:val="en-GB"/>
              </w:rPr>
              <w:t>Emergency Planning and Response</w:t>
            </w:r>
          </w:p>
        </w:tc>
      </w:tr>
      <w:tr w:rsidR="00417798" w:rsidRPr="00B32B10" w14:paraId="31685153" w14:textId="77777777" w:rsidTr="001E0A86">
        <w:trPr>
          <w:trHeight w:val="432"/>
        </w:trPr>
        <w:tc>
          <w:tcPr>
            <w:tcW w:w="270" w:type="dxa"/>
            <w:shd w:val="clear" w:color="auto" w:fill="FFFFFF"/>
            <w:vAlign w:val="center"/>
          </w:tcPr>
          <w:p w14:paraId="0EB7C16C" w14:textId="77777777" w:rsidR="00417798" w:rsidRPr="00B32B10" w:rsidRDefault="00417798" w:rsidP="00171240">
            <w:pPr>
              <w:pStyle w:val="CETBodytext"/>
              <w:spacing w:line="240" w:lineRule="auto"/>
              <w:ind w:right="-1"/>
              <w:jc w:val="center"/>
              <w:rPr>
                <w:rFonts w:cs="Arial"/>
                <w:szCs w:val="18"/>
                <w:lang w:val="en-GB"/>
              </w:rPr>
            </w:pPr>
            <w:r w:rsidRPr="00B32B10">
              <w:rPr>
                <w:rFonts w:cs="Arial"/>
                <w:szCs w:val="18"/>
                <w:lang w:val="en-GB"/>
              </w:rPr>
              <w:t>7</w:t>
            </w:r>
          </w:p>
        </w:tc>
        <w:tc>
          <w:tcPr>
            <w:tcW w:w="1980" w:type="dxa"/>
            <w:shd w:val="clear" w:color="auto" w:fill="FFFFFF"/>
            <w:vAlign w:val="center"/>
          </w:tcPr>
          <w:p w14:paraId="3A84010F" w14:textId="56066FA1" w:rsidR="00417798" w:rsidRPr="00B32B10" w:rsidRDefault="00153AC7" w:rsidP="00171240">
            <w:pPr>
              <w:pStyle w:val="CETBodytext"/>
              <w:spacing w:line="240" w:lineRule="auto"/>
              <w:ind w:right="-1"/>
              <w:jc w:val="center"/>
              <w:rPr>
                <w:rFonts w:cs="Arial"/>
                <w:szCs w:val="18"/>
                <w:lang w:val="en-GB"/>
              </w:rPr>
            </w:pPr>
            <w:r w:rsidRPr="00B32B10">
              <w:t xml:space="preserve">Hazard Identification &amp; Risk </w:t>
            </w:r>
            <w:proofErr w:type="spellStart"/>
            <w:r w:rsidRPr="00B32B10">
              <w:t>Anaysis</w:t>
            </w:r>
            <w:proofErr w:type="spellEnd"/>
          </w:p>
        </w:tc>
        <w:tc>
          <w:tcPr>
            <w:tcW w:w="1750" w:type="dxa"/>
            <w:shd w:val="clear" w:color="auto" w:fill="FFFFFF"/>
            <w:vAlign w:val="center"/>
          </w:tcPr>
          <w:p w14:paraId="75297875" w14:textId="04246625" w:rsidR="00417798" w:rsidRPr="00B32B10" w:rsidRDefault="00417798" w:rsidP="00171240">
            <w:pPr>
              <w:pStyle w:val="CETBodytext"/>
              <w:spacing w:line="240" w:lineRule="auto"/>
              <w:ind w:right="-1"/>
              <w:jc w:val="center"/>
              <w:rPr>
                <w:rFonts w:cs="Arial"/>
                <w:szCs w:val="18"/>
                <w:lang w:val="it-IT"/>
              </w:rPr>
            </w:pPr>
            <w:proofErr w:type="spellStart"/>
            <w:r w:rsidRPr="00B32B10">
              <w:rPr>
                <w:lang w:val="it-IT"/>
              </w:rPr>
              <w:t>Process</w:t>
            </w:r>
            <w:proofErr w:type="spellEnd"/>
            <w:r w:rsidRPr="00B32B10">
              <w:rPr>
                <w:lang w:val="it-IT"/>
              </w:rPr>
              <w:t xml:space="preserve"> </w:t>
            </w:r>
            <w:r w:rsidR="00153AC7" w:rsidRPr="00B32B10">
              <w:rPr>
                <w:lang w:val="it-IT"/>
              </w:rPr>
              <w:t xml:space="preserve">hazard </w:t>
            </w:r>
            <w:proofErr w:type="spellStart"/>
            <w:r w:rsidR="00153AC7" w:rsidRPr="00B32B10">
              <w:rPr>
                <w:lang w:val="it-IT"/>
              </w:rPr>
              <w:t>analysis</w:t>
            </w:r>
            <w:proofErr w:type="spellEnd"/>
          </w:p>
        </w:tc>
        <w:tc>
          <w:tcPr>
            <w:tcW w:w="500" w:type="dxa"/>
            <w:shd w:val="clear" w:color="auto" w:fill="FFFFFF"/>
            <w:vAlign w:val="center"/>
          </w:tcPr>
          <w:p w14:paraId="52FF22CE" w14:textId="3E52AB17" w:rsidR="00417798" w:rsidRPr="00B32B10" w:rsidRDefault="00417798" w:rsidP="00171240">
            <w:pPr>
              <w:pStyle w:val="CETBodytext"/>
              <w:spacing w:line="240" w:lineRule="auto"/>
              <w:ind w:right="-1"/>
              <w:jc w:val="center"/>
              <w:rPr>
                <w:rFonts w:cs="Arial"/>
                <w:szCs w:val="18"/>
                <w:lang w:val="it-IT"/>
              </w:rPr>
            </w:pPr>
            <w:r w:rsidRPr="00B32B10">
              <w:rPr>
                <w:rFonts w:cs="Arial"/>
                <w:szCs w:val="18"/>
                <w:lang w:val="it-IT"/>
              </w:rPr>
              <w:t>17</w:t>
            </w:r>
          </w:p>
        </w:tc>
        <w:tc>
          <w:tcPr>
            <w:tcW w:w="2070" w:type="dxa"/>
            <w:shd w:val="clear" w:color="auto" w:fill="FFFFFF"/>
            <w:vAlign w:val="center"/>
          </w:tcPr>
          <w:p w14:paraId="20E70DE2" w14:textId="06D9A4ED" w:rsidR="00417798" w:rsidRPr="00B32B10" w:rsidRDefault="00417798" w:rsidP="00171240">
            <w:pPr>
              <w:pStyle w:val="CETBodytext"/>
              <w:spacing w:line="240" w:lineRule="auto"/>
              <w:ind w:right="-1"/>
              <w:jc w:val="center"/>
              <w:rPr>
                <w:rFonts w:cs="Arial"/>
                <w:szCs w:val="18"/>
                <w:lang w:val="en-GB"/>
              </w:rPr>
            </w:pPr>
            <w:r w:rsidRPr="00B32B10">
              <w:rPr>
                <w:rFonts w:cs="Arial"/>
                <w:szCs w:val="18"/>
                <w:lang w:val="en-GB"/>
              </w:rPr>
              <w:t>Incident Investigation</w:t>
            </w:r>
          </w:p>
        </w:tc>
        <w:tc>
          <w:tcPr>
            <w:tcW w:w="2217" w:type="dxa"/>
            <w:shd w:val="clear" w:color="auto" w:fill="FFFFFF"/>
            <w:vAlign w:val="center"/>
          </w:tcPr>
          <w:p w14:paraId="5B0C50CC" w14:textId="6140C8A2" w:rsidR="00417798" w:rsidRPr="00B32B10" w:rsidRDefault="00417798" w:rsidP="00171240">
            <w:pPr>
              <w:pStyle w:val="CETBodytext"/>
              <w:spacing w:line="240" w:lineRule="auto"/>
              <w:ind w:right="-1"/>
              <w:jc w:val="center"/>
              <w:rPr>
                <w:rFonts w:cs="Arial"/>
                <w:szCs w:val="18"/>
                <w:lang w:val="it-IT"/>
              </w:rPr>
            </w:pPr>
            <w:proofErr w:type="spellStart"/>
            <w:r w:rsidRPr="00B32B10">
              <w:rPr>
                <w:lang w:val="it-IT"/>
              </w:rPr>
              <w:t>Incident</w:t>
            </w:r>
            <w:proofErr w:type="spellEnd"/>
            <w:r w:rsidRPr="00B32B10">
              <w:rPr>
                <w:lang w:val="it-IT"/>
              </w:rPr>
              <w:t xml:space="preserve"> </w:t>
            </w:r>
            <w:proofErr w:type="spellStart"/>
            <w:r w:rsidRPr="00B32B10">
              <w:rPr>
                <w:lang w:val="it-IT"/>
              </w:rPr>
              <w:t>Investigation</w:t>
            </w:r>
            <w:proofErr w:type="spellEnd"/>
          </w:p>
        </w:tc>
      </w:tr>
      <w:tr w:rsidR="00417798" w:rsidRPr="00B32B10" w14:paraId="0642B11B" w14:textId="77777777" w:rsidTr="001E0A86">
        <w:trPr>
          <w:trHeight w:val="432"/>
        </w:trPr>
        <w:tc>
          <w:tcPr>
            <w:tcW w:w="270" w:type="dxa"/>
            <w:shd w:val="clear" w:color="auto" w:fill="FFFFFF"/>
            <w:vAlign w:val="center"/>
          </w:tcPr>
          <w:p w14:paraId="0A04A829" w14:textId="77777777" w:rsidR="00417798" w:rsidRPr="00B32B10" w:rsidRDefault="00417798" w:rsidP="00171240">
            <w:pPr>
              <w:pStyle w:val="CETBodytext"/>
              <w:spacing w:line="240" w:lineRule="auto"/>
              <w:ind w:right="-1"/>
              <w:jc w:val="center"/>
              <w:rPr>
                <w:rFonts w:cs="Arial"/>
                <w:szCs w:val="18"/>
                <w:lang w:val="en-GB"/>
              </w:rPr>
            </w:pPr>
            <w:r w:rsidRPr="00B32B10">
              <w:rPr>
                <w:rFonts w:cs="Arial"/>
                <w:szCs w:val="18"/>
                <w:lang w:val="en-GB"/>
              </w:rPr>
              <w:t>8</w:t>
            </w:r>
          </w:p>
        </w:tc>
        <w:tc>
          <w:tcPr>
            <w:tcW w:w="1980" w:type="dxa"/>
            <w:shd w:val="clear" w:color="auto" w:fill="FFFFFF"/>
            <w:vAlign w:val="center"/>
          </w:tcPr>
          <w:p w14:paraId="6FB3D98D" w14:textId="602CB217" w:rsidR="00417798" w:rsidRPr="00B32B10" w:rsidRDefault="00171240" w:rsidP="00171240">
            <w:pPr>
              <w:pStyle w:val="CETBodytext"/>
              <w:spacing w:line="240" w:lineRule="auto"/>
              <w:ind w:right="-1"/>
              <w:jc w:val="center"/>
              <w:rPr>
                <w:rFonts w:cs="Arial"/>
                <w:szCs w:val="18"/>
                <w:lang w:val="it-IT"/>
              </w:rPr>
            </w:pPr>
            <w:r w:rsidRPr="00B32B10">
              <w:rPr>
                <w:lang w:val="it-IT"/>
              </w:rPr>
              <w:t xml:space="preserve">Operating </w:t>
            </w:r>
            <w:proofErr w:type="spellStart"/>
            <w:r w:rsidR="001E0A86" w:rsidRPr="00B32B10">
              <w:rPr>
                <w:lang w:val="it-IT"/>
              </w:rPr>
              <w:t>P</w:t>
            </w:r>
            <w:r w:rsidRPr="00B32B10">
              <w:rPr>
                <w:lang w:val="it-IT"/>
              </w:rPr>
              <w:t>rocedures</w:t>
            </w:r>
            <w:proofErr w:type="spellEnd"/>
            <w:r w:rsidRPr="00B32B10">
              <w:rPr>
                <w:lang w:val="it-IT"/>
              </w:rPr>
              <w:t xml:space="preserve"> </w:t>
            </w:r>
          </w:p>
        </w:tc>
        <w:tc>
          <w:tcPr>
            <w:tcW w:w="1750" w:type="dxa"/>
            <w:shd w:val="clear" w:color="auto" w:fill="FFFFFF"/>
            <w:vAlign w:val="center"/>
          </w:tcPr>
          <w:p w14:paraId="61ADD9F3" w14:textId="1CE62605" w:rsidR="00417798" w:rsidRPr="00B32B10" w:rsidRDefault="00171240" w:rsidP="00171240">
            <w:pPr>
              <w:pStyle w:val="CETBodytext"/>
              <w:spacing w:line="240" w:lineRule="auto"/>
              <w:ind w:right="-1"/>
              <w:jc w:val="center"/>
              <w:rPr>
                <w:rFonts w:cs="Arial"/>
                <w:szCs w:val="18"/>
              </w:rPr>
            </w:pPr>
            <w:r w:rsidRPr="00B32B10">
              <w:t>Operating procedures</w:t>
            </w:r>
          </w:p>
        </w:tc>
        <w:tc>
          <w:tcPr>
            <w:tcW w:w="500" w:type="dxa"/>
            <w:shd w:val="clear" w:color="auto" w:fill="FFFFFF"/>
            <w:vAlign w:val="center"/>
          </w:tcPr>
          <w:p w14:paraId="658F367C" w14:textId="69241B2D" w:rsidR="00417798" w:rsidRPr="00B32B10" w:rsidRDefault="00417798" w:rsidP="00171240">
            <w:pPr>
              <w:pStyle w:val="CETBodytext"/>
              <w:spacing w:line="240" w:lineRule="auto"/>
              <w:ind w:right="-1"/>
              <w:jc w:val="center"/>
              <w:rPr>
                <w:rFonts w:cs="Arial"/>
                <w:szCs w:val="18"/>
                <w:lang w:val="it-IT"/>
              </w:rPr>
            </w:pPr>
            <w:r w:rsidRPr="00B32B10">
              <w:rPr>
                <w:rFonts w:cs="Arial"/>
                <w:szCs w:val="18"/>
                <w:lang w:val="it-IT"/>
              </w:rPr>
              <w:t>18</w:t>
            </w:r>
          </w:p>
        </w:tc>
        <w:tc>
          <w:tcPr>
            <w:tcW w:w="2070" w:type="dxa"/>
            <w:shd w:val="clear" w:color="auto" w:fill="FFFFFF"/>
            <w:vAlign w:val="center"/>
          </w:tcPr>
          <w:p w14:paraId="422A32E0" w14:textId="5146A224" w:rsidR="00417798" w:rsidRPr="00B32B10" w:rsidRDefault="00153AC7" w:rsidP="00171240">
            <w:pPr>
              <w:pStyle w:val="CETBodytext"/>
              <w:spacing w:line="240" w:lineRule="auto"/>
              <w:ind w:right="-1"/>
              <w:jc w:val="center"/>
              <w:rPr>
                <w:rFonts w:cs="Arial"/>
                <w:szCs w:val="18"/>
                <w:lang w:val="en-GB"/>
              </w:rPr>
            </w:pPr>
            <w:r w:rsidRPr="00B32B10">
              <w:t>Measurement and Metrics</w:t>
            </w:r>
          </w:p>
        </w:tc>
        <w:tc>
          <w:tcPr>
            <w:tcW w:w="2217" w:type="dxa"/>
            <w:shd w:val="clear" w:color="auto" w:fill="FFFFFF"/>
            <w:vAlign w:val="center"/>
          </w:tcPr>
          <w:p w14:paraId="67EE9091" w14:textId="01F854C6" w:rsidR="00417798" w:rsidRPr="00B32B10" w:rsidRDefault="00D9068F" w:rsidP="00171240">
            <w:pPr>
              <w:pStyle w:val="CETBodytext"/>
              <w:spacing w:line="240" w:lineRule="auto"/>
              <w:ind w:right="-1"/>
              <w:jc w:val="center"/>
              <w:rPr>
                <w:rFonts w:cs="Arial"/>
                <w:szCs w:val="18"/>
                <w:lang w:val="en-GB"/>
              </w:rPr>
            </w:pPr>
            <w:proofErr w:type="spellStart"/>
            <w:r w:rsidRPr="00B32B10">
              <w:rPr>
                <w:lang w:val="it-IT"/>
              </w:rPr>
              <w:t>Cannot</w:t>
            </w:r>
            <w:proofErr w:type="spellEnd"/>
            <w:r w:rsidRPr="00B32B10">
              <w:rPr>
                <w:lang w:val="it-IT"/>
              </w:rPr>
              <w:t xml:space="preserve"> be </w:t>
            </w:r>
            <w:proofErr w:type="spellStart"/>
            <w:r w:rsidRPr="00B32B10">
              <w:rPr>
                <w:lang w:val="it-IT"/>
              </w:rPr>
              <w:t>applied</w:t>
            </w:r>
            <w:proofErr w:type="spellEnd"/>
          </w:p>
        </w:tc>
      </w:tr>
      <w:tr w:rsidR="00417798" w:rsidRPr="00B32B10" w14:paraId="3B41F8A5" w14:textId="77777777" w:rsidTr="001E0A86">
        <w:trPr>
          <w:trHeight w:val="432"/>
        </w:trPr>
        <w:tc>
          <w:tcPr>
            <w:tcW w:w="270" w:type="dxa"/>
            <w:shd w:val="clear" w:color="auto" w:fill="FFFFFF"/>
            <w:vAlign w:val="center"/>
          </w:tcPr>
          <w:p w14:paraId="479118B9" w14:textId="77777777" w:rsidR="00417798" w:rsidRPr="00B32B10" w:rsidRDefault="00417798" w:rsidP="00171240">
            <w:pPr>
              <w:pStyle w:val="CETBodytext"/>
              <w:spacing w:line="240" w:lineRule="auto"/>
              <w:ind w:right="-1"/>
              <w:jc w:val="center"/>
              <w:rPr>
                <w:rFonts w:cs="Arial"/>
                <w:szCs w:val="18"/>
                <w:lang w:val="en-GB"/>
              </w:rPr>
            </w:pPr>
            <w:r w:rsidRPr="00B32B10">
              <w:rPr>
                <w:rFonts w:cs="Arial"/>
                <w:szCs w:val="18"/>
                <w:lang w:val="en-GB"/>
              </w:rPr>
              <w:t>9</w:t>
            </w:r>
          </w:p>
        </w:tc>
        <w:tc>
          <w:tcPr>
            <w:tcW w:w="1980" w:type="dxa"/>
            <w:shd w:val="clear" w:color="auto" w:fill="FFFFFF"/>
            <w:vAlign w:val="center"/>
          </w:tcPr>
          <w:p w14:paraId="246E48BA" w14:textId="74E873E3" w:rsidR="001E0A86" w:rsidRPr="00B32B10" w:rsidRDefault="00153AC7" w:rsidP="00171240">
            <w:pPr>
              <w:pStyle w:val="CETBodytext"/>
              <w:spacing w:line="240" w:lineRule="auto"/>
              <w:ind w:right="-1"/>
              <w:jc w:val="center"/>
              <w:rPr>
                <w:rFonts w:cs="Arial"/>
                <w:szCs w:val="18"/>
                <w:lang w:val="en-GB"/>
              </w:rPr>
            </w:pPr>
            <w:r w:rsidRPr="00B32B10">
              <w:rPr>
                <w:lang w:val="it-IT"/>
              </w:rPr>
              <w:t>Safe Work P</w:t>
            </w:r>
            <w:r w:rsidR="00B54112" w:rsidRPr="00B32B10">
              <w:rPr>
                <w:lang w:val="it-IT"/>
              </w:rPr>
              <w:t>ractices</w:t>
            </w:r>
          </w:p>
        </w:tc>
        <w:tc>
          <w:tcPr>
            <w:tcW w:w="1750" w:type="dxa"/>
            <w:shd w:val="clear" w:color="auto" w:fill="FFFFFF"/>
            <w:vAlign w:val="center"/>
          </w:tcPr>
          <w:p w14:paraId="35E8C10B" w14:textId="005DB9A6" w:rsidR="00417798" w:rsidRPr="00B32B10" w:rsidRDefault="00B54112" w:rsidP="00171240">
            <w:pPr>
              <w:pStyle w:val="CETBodytext"/>
              <w:spacing w:line="240" w:lineRule="auto"/>
              <w:ind w:right="-1"/>
              <w:jc w:val="center"/>
              <w:rPr>
                <w:rFonts w:cs="Arial"/>
                <w:szCs w:val="18"/>
              </w:rPr>
            </w:pPr>
            <w:r w:rsidRPr="00B32B10">
              <w:t xml:space="preserve">Operating procedures </w:t>
            </w:r>
            <w:r w:rsidR="00153AC7" w:rsidRPr="00B32B10">
              <w:t>Hot work permit</w:t>
            </w:r>
          </w:p>
        </w:tc>
        <w:tc>
          <w:tcPr>
            <w:tcW w:w="500" w:type="dxa"/>
            <w:shd w:val="clear" w:color="auto" w:fill="FFFFFF"/>
            <w:vAlign w:val="center"/>
          </w:tcPr>
          <w:p w14:paraId="3D4282B0" w14:textId="37D60266" w:rsidR="00417798" w:rsidRPr="00B32B10" w:rsidRDefault="00417798" w:rsidP="00171240">
            <w:pPr>
              <w:pStyle w:val="CETBodytext"/>
              <w:spacing w:line="240" w:lineRule="auto"/>
              <w:ind w:right="-1"/>
              <w:jc w:val="center"/>
              <w:rPr>
                <w:rFonts w:cs="Arial"/>
                <w:szCs w:val="18"/>
                <w:lang w:val="it-IT"/>
              </w:rPr>
            </w:pPr>
            <w:r w:rsidRPr="00B32B10">
              <w:rPr>
                <w:rFonts w:cs="Arial"/>
                <w:szCs w:val="18"/>
                <w:lang w:val="it-IT"/>
              </w:rPr>
              <w:t>19</w:t>
            </w:r>
          </w:p>
        </w:tc>
        <w:tc>
          <w:tcPr>
            <w:tcW w:w="2070" w:type="dxa"/>
            <w:shd w:val="clear" w:color="auto" w:fill="FFFFFF"/>
            <w:vAlign w:val="center"/>
          </w:tcPr>
          <w:p w14:paraId="3B9C5C8D" w14:textId="2B6A7134" w:rsidR="00417798" w:rsidRPr="00B32B10" w:rsidRDefault="00153AC7" w:rsidP="00171240">
            <w:pPr>
              <w:pStyle w:val="CETBodytext"/>
              <w:spacing w:line="240" w:lineRule="auto"/>
              <w:ind w:right="-1"/>
              <w:jc w:val="center"/>
              <w:rPr>
                <w:rFonts w:cs="Arial"/>
                <w:szCs w:val="18"/>
                <w:lang w:val="it-IT"/>
              </w:rPr>
            </w:pPr>
            <w:r w:rsidRPr="00B32B10">
              <w:t>Auditing</w:t>
            </w:r>
            <w:r w:rsidRPr="00B32B10">
              <w:rPr>
                <w:lang w:val="it-IT"/>
              </w:rPr>
              <w:t xml:space="preserve"> </w:t>
            </w:r>
          </w:p>
        </w:tc>
        <w:tc>
          <w:tcPr>
            <w:tcW w:w="2217" w:type="dxa"/>
            <w:shd w:val="clear" w:color="auto" w:fill="FFFFFF"/>
            <w:vAlign w:val="center"/>
          </w:tcPr>
          <w:p w14:paraId="7897530D" w14:textId="2D85ABF6" w:rsidR="00417798" w:rsidRPr="00B32B10" w:rsidRDefault="00153AC7" w:rsidP="00171240">
            <w:pPr>
              <w:pStyle w:val="CETBodytext"/>
              <w:spacing w:line="240" w:lineRule="auto"/>
              <w:ind w:right="-1"/>
              <w:jc w:val="center"/>
              <w:rPr>
                <w:rFonts w:cs="Arial"/>
                <w:szCs w:val="18"/>
                <w:lang w:val="en-GB"/>
              </w:rPr>
            </w:pPr>
            <w:r w:rsidRPr="00B32B10">
              <w:rPr>
                <w:lang w:val="it-IT"/>
              </w:rPr>
              <w:t>Compliance Audits</w:t>
            </w:r>
          </w:p>
        </w:tc>
      </w:tr>
      <w:tr w:rsidR="00417798" w:rsidRPr="00B32B10" w14:paraId="6DC70178" w14:textId="77777777" w:rsidTr="001E0A86">
        <w:trPr>
          <w:trHeight w:val="432"/>
        </w:trPr>
        <w:tc>
          <w:tcPr>
            <w:tcW w:w="270" w:type="dxa"/>
            <w:shd w:val="clear" w:color="auto" w:fill="FFFFFF"/>
            <w:vAlign w:val="center"/>
          </w:tcPr>
          <w:p w14:paraId="6CECAD47" w14:textId="77777777" w:rsidR="00417798" w:rsidRPr="00B32B10" w:rsidRDefault="00417798" w:rsidP="00171240">
            <w:pPr>
              <w:pStyle w:val="CETBodytext"/>
              <w:spacing w:line="240" w:lineRule="auto"/>
              <w:ind w:right="-1"/>
              <w:jc w:val="center"/>
              <w:rPr>
                <w:rFonts w:cs="Arial"/>
                <w:szCs w:val="18"/>
                <w:lang w:val="en-GB"/>
              </w:rPr>
            </w:pPr>
            <w:r w:rsidRPr="00B32B10">
              <w:rPr>
                <w:rFonts w:cs="Arial"/>
                <w:szCs w:val="18"/>
                <w:lang w:val="en-GB"/>
              </w:rPr>
              <w:t>10</w:t>
            </w:r>
          </w:p>
        </w:tc>
        <w:tc>
          <w:tcPr>
            <w:tcW w:w="1980" w:type="dxa"/>
            <w:shd w:val="clear" w:color="auto" w:fill="FFFFFF"/>
            <w:vAlign w:val="center"/>
          </w:tcPr>
          <w:p w14:paraId="4EC066BE" w14:textId="087622A1" w:rsidR="00417798" w:rsidRPr="00B32B10" w:rsidRDefault="00153AC7" w:rsidP="00171240">
            <w:pPr>
              <w:pStyle w:val="CETBodytext"/>
              <w:spacing w:line="240" w:lineRule="auto"/>
              <w:ind w:right="-1"/>
              <w:jc w:val="center"/>
              <w:rPr>
                <w:rFonts w:cs="Arial"/>
                <w:szCs w:val="18"/>
                <w:lang w:val="en-GB"/>
              </w:rPr>
            </w:pPr>
            <w:r w:rsidRPr="00B32B10">
              <w:rPr>
                <w:rFonts w:cs="Arial"/>
                <w:szCs w:val="18"/>
                <w:lang w:val="en-GB"/>
              </w:rPr>
              <w:t>Asset Integrity and Reliability</w:t>
            </w:r>
          </w:p>
        </w:tc>
        <w:tc>
          <w:tcPr>
            <w:tcW w:w="1750" w:type="dxa"/>
            <w:shd w:val="clear" w:color="auto" w:fill="FFFFFF"/>
            <w:vAlign w:val="center"/>
          </w:tcPr>
          <w:p w14:paraId="46325ADE" w14:textId="2B8DDF18" w:rsidR="00417798" w:rsidRPr="00B32B10" w:rsidRDefault="00153AC7" w:rsidP="00171240">
            <w:pPr>
              <w:pStyle w:val="CETBodytext"/>
              <w:spacing w:line="240" w:lineRule="auto"/>
              <w:ind w:right="-1"/>
              <w:jc w:val="center"/>
              <w:rPr>
                <w:rFonts w:cs="Arial"/>
                <w:szCs w:val="18"/>
                <w:lang w:val="en-GB"/>
              </w:rPr>
            </w:pPr>
            <w:r w:rsidRPr="00B32B10">
              <w:rPr>
                <w:rFonts w:cs="Arial"/>
                <w:szCs w:val="18"/>
                <w:lang w:val="en-GB"/>
              </w:rPr>
              <w:t>Mechanical</w:t>
            </w:r>
            <w:r w:rsidR="00417798" w:rsidRPr="00B32B10">
              <w:rPr>
                <w:rFonts w:cs="Arial"/>
                <w:szCs w:val="18"/>
                <w:lang w:val="en-GB"/>
              </w:rPr>
              <w:t xml:space="preserve"> Integrity</w:t>
            </w:r>
          </w:p>
        </w:tc>
        <w:tc>
          <w:tcPr>
            <w:tcW w:w="500" w:type="dxa"/>
            <w:shd w:val="clear" w:color="auto" w:fill="FFFFFF"/>
            <w:vAlign w:val="center"/>
          </w:tcPr>
          <w:p w14:paraId="14D4DA4E" w14:textId="741DA412" w:rsidR="00417798" w:rsidRPr="00B32B10" w:rsidRDefault="00417798" w:rsidP="00171240">
            <w:pPr>
              <w:pStyle w:val="CETBodytext"/>
              <w:spacing w:line="240" w:lineRule="auto"/>
              <w:ind w:right="-1"/>
              <w:jc w:val="center"/>
              <w:rPr>
                <w:rFonts w:cs="Arial"/>
                <w:szCs w:val="18"/>
                <w:lang w:val="en-GB"/>
              </w:rPr>
            </w:pPr>
            <w:r w:rsidRPr="00B32B10">
              <w:rPr>
                <w:rFonts w:cs="Arial"/>
                <w:szCs w:val="18"/>
                <w:lang w:val="en-GB"/>
              </w:rPr>
              <w:t>20</w:t>
            </w:r>
          </w:p>
        </w:tc>
        <w:tc>
          <w:tcPr>
            <w:tcW w:w="2070" w:type="dxa"/>
            <w:shd w:val="clear" w:color="auto" w:fill="FFFFFF"/>
            <w:vAlign w:val="center"/>
          </w:tcPr>
          <w:p w14:paraId="44C7AC24" w14:textId="42705F21" w:rsidR="00417798" w:rsidRPr="00B32B10" w:rsidRDefault="00153AC7" w:rsidP="00171240">
            <w:pPr>
              <w:pStyle w:val="CETBodytext"/>
              <w:spacing w:line="240" w:lineRule="auto"/>
              <w:ind w:right="-1"/>
              <w:jc w:val="center"/>
              <w:rPr>
                <w:rFonts w:cs="Arial"/>
                <w:szCs w:val="18"/>
                <w:lang w:val="en-GB"/>
              </w:rPr>
            </w:pPr>
            <w:r w:rsidRPr="00B32B10">
              <w:t>Management Review and Continuous Improvement</w:t>
            </w:r>
            <w:r w:rsidRPr="00B32B10">
              <w:rPr>
                <w:rFonts w:cs="Arial"/>
                <w:szCs w:val="18"/>
                <w:lang w:val="en-GB"/>
              </w:rPr>
              <w:t xml:space="preserve"> </w:t>
            </w:r>
          </w:p>
        </w:tc>
        <w:tc>
          <w:tcPr>
            <w:tcW w:w="2217" w:type="dxa"/>
            <w:shd w:val="clear" w:color="auto" w:fill="FFFFFF"/>
            <w:vAlign w:val="center"/>
          </w:tcPr>
          <w:p w14:paraId="3B23B7B2" w14:textId="75F295EB" w:rsidR="00417798" w:rsidRPr="00B32B10" w:rsidRDefault="00D9068F" w:rsidP="00171240">
            <w:pPr>
              <w:pStyle w:val="CETBodytext"/>
              <w:spacing w:line="240" w:lineRule="auto"/>
              <w:ind w:right="-1"/>
              <w:jc w:val="center"/>
              <w:rPr>
                <w:rFonts w:cs="Arial"/>
                <w:szCs w:val="18"/>
                <w:lang w:val="en-GB"/>
              </w:rPr>
            </w:pPr>
            <w:proofErr w:type="spellStart"/>
            <w:r w:rsidRPr="00B32B10">
              <w:rPr>
                <w:lang w:val="it-IT"/>
              </w:rPr>
              <w:t>Cannot</w:t>
            </w:r>
            <w:proofErr w:type="spellEnd"/>
            <w:r w:rsidRPr="00B32B10">
              <w:rPr>
                <w:lang w:val="it-IT"/>
              </w:rPr>
              <w:t xml:space="preserve"> be </w:t>
            </w:r>
            <w:proofErr w:type="spellStart"/>
            <w:r w:rsidRPr="00B32B10">
              <w:rPr>
                <w:lang w:val="it-IT"/>
              </w:rPr>
              <w:t>applied</w:t>
            </w:r>
            <w:proofErr w:type="spellEnd"/>
          </w:p>
        </w:tc>
      </w:tr>
      <w:tr w:rsidR="00153AC7" w:rsidRPr="00B32B10" w14:paraId="20658171" w14:textId="77777777" w:rsidTr="001E0A86">
        <w:trPr>
          <w:trHeight w:val="432"/>
        </w:trPr>
        <w:tc>
          <w:tcPr>
            <w:tcW w:w="270" w:type="dxa"/>
            <w:shd w:val="clear" w:color="auto" w:fill="FFFFFF"/>
            <w:vAlign w:val="center"/>
          </w:tcPr>
          <w:p w14:paraId="6C387528" w14:textId="77777777" w:rsidR="00153AC7" w:rsidRPr="00B32B10" w:rsidRDefault="00153AC7" w:rsidP="00171240">
            <w:pPr>
              <w:pStyle w:val="CETBodytext"/>
              <w:spacing w:line="240" w:lineRule="auto"/>
              <w:ind w:right="-1"/>
              <w:jc w:val="center"/>
              <w:rPr>
                <w:rFonts w:cs="Arial"/>
                <w:szCs w:val="18"/>
                <w:lang w:val="en-GB"/>
              </w:rPr>
            </w:pPr>
          </w:p>
        </w:tc>
        <w:tc>
          <w:tcPr>
            <w:tcW w:w="1980" w:type="dxa"/>
            <w:shd w:val="clear" w:color="auto" w:fill="FFFFFF"/>
            <w:vAlign w:val="center"/>
          </w:tcPr>
          <w:p w14:paraId="4CF3649C" w14:textId="77777777" w:rsidR="00153AC7" w:rsidRPr="00B32B10" w:rsidRDefault="00153AC7" w:rsidP="00171240">
            <w:pPr>
              <w:pStyle w:val="CETBodytext"/>
              <w:spacing w:line="240" w:lineRule="auto"/>
              <w:ind w:right="-1"/>
              <w:jc w:val="center"/>
              <w:rPr>
                <w:rFonts w:cs="Arial"/>
                <w:szCs w:val="18"/>
                <w:lang w:val="en-GB"/>
              </w:rPr>
            </w:pPr>
          </w:p>
        </w:tc>
        <w:tc>
          <w:tcPr>
            <w:tcW w:w="1750" w:type="dxa"/>
            <w:shd w:val="clear" w:color="auto" w:fill="FFFFFF"/>
            <w:vAlign w:val="center"/>
          </w:tcPr>
          <w:p w14:paraId="30678FDC" w14:textId="77777777" w:rsidR="00153AC7" w:rsidRPr="00B32B10" w:rsidRDefault="00153AC7" w:rsidP="00171240">
            <w:pPr>
              <w:pStyle w:val="CETBodytext"/>
              <w:spacing w:line="240" w:lineRule="auto"/>
              <w:ind w:right="-1"/>
              <w:jc w:val="center"/>
              <w:rPr>
                <w:rFonts w:cs="Arial"/>
                <w:szCs w:val="18"/>
                <w:lang w:val="en-GB"/>
              </w:rPr>
            </w:pPr>
          </w:p>
        </w:tc>
        <w:tc>
          <w:tcPr>
            <w:tcW w:w="500" w:type="dxa"/>
            <w:shd w:val="clear" w:color="auto" w:fill="FFFFFF"/>
            <w:vAlign w:val="center"/>
          </w:tcPr>
          <w:p w14:paraId="1006C6F0" w14:textId="33AA3795" w:rsidR="00153AC7" w:rsidRPr="00B32B10" w:rsidRDefault="00D9068F" w:rsidP="00171240">
            <w:pPr>
              <w:pStyle w:val="CETBodytext"/>
              <w:spacing w:line="240" w:lineRule="auto"/>
              <w:ind w:right="-1"/>
              <w:jc w:val="center"/>
              <w:rPr>
                <w:rFonts w:cs="Arial"/>
                <w:szCs w:val="18"/>
                <w:lang w:val="en-GB"/>
              </w:rPr>
            </w:pPr>
            <w:r w:rsidRPr="00B32B10">
              <w:rPr>
                <w:rFonts w:cs="Arial"/>
                <w:szCs w:val="18"/>
                <w:lang w:val="en-GB"/>
              </w:rPr>
              <w:t>21</w:t>
            </w:r>
          </w:p>
        </w:tc>
        <w:tc>
          <w:tcPr>
            <w:tcW w:w="2070" w:type="dxa"/>
            <w:shd w:val="clear" w:color="auto" w:fill="FFFFFF"/>
            <w:vAlign w:val="center"/>
          </w:tcPr>
          <w:p w14:paraId="6F0A9AC2" w14:textId="7B9705EE" w:rsidR="00153AC7" w:rsidRPr="00B32B10" w:rsidRDefault="00D9068F" w:rsidP="00171240">
            <w:pPr>
              <w:pStyle w:val="CETBodytext"/>
              <w:spacing w:line="240" w:lineRule="auto"/>
              <w:ind w:right="-1"/>
              <w:jc w:val="center"/>
            </w:pPr>
            <w:proofErr w:type="spellStart"/>
            <w:r w:rsidRPr="00B32B10">
              <w:rPr>
                <w:lang w:val="it-IT"/>
              </w:rPr>
              <w:t>Cannot</w:t>
            </w:r>
            <w:proofErr w:type="spellEnd"/>
            <w:r w:rsidRPr="00B32B10">
              <w:rPr>
                <w:lang w:val="it-IT"/>
              </w:rPr>
              <w:t xml:space="preserve"> be </w:t>
            </w:r>
            <w:proofErr w:type="spellStart"/>
            <w:r w:rsidRPr="00B32B10">
              <w:rPr>
                <w:lang w:val="it-IT"/>
              </w:rPr>
              <w:t>applied</w:t>
            </w:r>
            <w:proofErr w:type="spellEnd"/>
          </w:p>
        </w:tc>
        <w:tc>
          <w:tcPr>
            <w:tcW w:w="2217" w:type="dxa"/>
            <w:shd w:val="clear" w:color="auto" w:fill="FFFFFF"/>
            <w:vAlign w:val="center"/>
          </w:tcPr>
          <w:p w14:paraId="04DFFFD0" w14:textId="0957C76A" w:rsidR="00153AC7" w:rsidRPr="00B32B10" w:rsidRDefault="00153AC7" w:rsidP="00171240">
            <w:pPr>
              <w:pStyle w:val="CETBodytext"/>
              <w:spacing w:line="240" w:lineRule="auto"/>
              <w:ind w:right="-1"/>
              <w:jc w:val="center"/>
              <w:rPr>
                <w:lang w:val="it-IT"/>
              </w:rPr>
            </w:pPr>
            <w:r w:rsidRPr="00B32B10">
              <w:rPr>
                <w:lang w:val="it-IT"/>
              </w:rPr>
              <w:t>Trade secrets</w:t>
            </w:r>
          </w:p>
        </w:tc>
      </w:tr>
    </w:tbl>
    <w:p w14:paraId="6A9FD219" w14:textId="6025A2EA" w:rsidR="00406364" w:rsidRPr="00B32B10" w:rsidRDefault="00406364" w:rsidP="00F3325A">
      <w:pPr>
        <w:pStyle w:val="CETBodytext"/>
      </w:pPr>
    </w:p>
    <w:p w14:paraId="18BAFA6F" w14:textId="28228CA0" w:rsidR="00453E24" w:rsidRPr="00B32B10" w:rsidRDefault="00DC4378" w:rsidP="00D9068F">
      <w:pPr>
        <w:pStyle w:val="CETheadingx"/>
      </w:pPr>
      <w:r w:rsidRPr="00B32B10">
        <w:t>Accidents database</w:t>
      </w:r>
    </w:p>
    <w:p w14:paraId="514D8CB4" w14:textId="798F6797" w:rsidR="001E6311" w:rsidRPr="00B32B10" w:rsidRDefault="001E6311" w:rsidP="001E6311">
      <w:pPr>
        <w:pStyle w:val="CETBodytext"/>
        <w:numPr>
          <w:ilvl w:val="0"/>
          <w:numId w:val="1"/>
        </w:numPr>
      </w:pPr>
      <w:r w:rsidRPr="00B32B10">
        <w:t>Table 2 provides a short summary of the 19 accidents studied.</w:t>
      </w:r>
    </w:p>
    <w:p w14:paraId="01585EBF" w14:textId="3BFC1CB7" w:rsidR="00CC44BD" w:rsidRPr="00B32B10" w:rsidRDefault="00CC44BD" w:rsidP="00CC44BD">
      <w:pPr>
        <w:pStyle w:val="CETTabletitle"/>
      </w:pPr>
      <w:r w:rsidRPr="00B32B10">
        <w:t xml:space="preserve">Table </w:t>
      </w:r>
      <w:r w:rsidR="00F3325A" w:rsidRPr="00B32B10">
        <w:t>2</w:t>
      </w:r>
      <w:r w:rsidRPr="00B32B10">
        <w:t xml:space="preserve">: </w:t>
      </w:r>
      <w:r w:rsidR="00F3325A" w:rsidRPr="00B32B10">
        <w:t>Summary of analysed accidents</w:t>
      </w:r>
    </w:p>
    <w:tbl>
      <w:tblPr>
        <w:tblW w:w="5011" w:type="pct"/>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1"/>
        <w:gridCol w:w="1002"/>
        <w:gridCol w:w="2971"/>
        <w:gridCol w:w="554"/>
        <w:gridCol w:w="201"/>
        <w:gridCol w:w="1014"/>
        <w:gridCol w:w="2402"/>
        <w:gridCol w:w="461"/>
      </w:tblGrid>
      <w:tr w:rsidR="00F03235" w:rsidRPr="00B32B10" w14:paraId="45BD207C" w14:textId="32E5809A" w:rsidTr="00F03235">
        <w:trPr>
          <w:jc w:val="center"/>
        </w:trPr>
        <w:tc>
          <w:tcPr>
            <w:tcW w:w="114" w:type="pct"/>
            <w:tcBorders>
              <w:top w:val="single" w:sz="12" w:space="0" w:color="008000"/>
              <w:bottom w:val="single" w:sz="6" w:space="0" w:color="008000"/>
            </w:tcBorders>
            <w:shd w:val="clear" w:color="auto" w:fill="FFFFFF"/>
            <w:vAlign w:val="center"/>
          </w:tcPr>
          <w:p w14:paraId="36377292" w14:textId="733E14E8" w:rsidR="00CC44BD" w:rsidRPr="00B32B10" w:rsidRDefault="00CC44BD" w:rsidP="00F03235">
            <w:pPr>
              <w:pStyle w:val="CETBodytext"/>
              <w:jc w:val="center"/>
              <w:rPr>
                <w:lang w:val="en-GB"/>
              </w:rPr>
            </w:pPr>
            <w:r w:rsidRPr="00B32B10">
              <w:rPr>
                <w:lang w:val="en-GB"/>
              </w:rPr>
              <w:t>#</w:t>
            </w:r>
          </w:p>
        </w:tc>
        <w:tc>
          <w:tcPr>
            <w:tcW w:w="597" w:type="pct"/>
            <w:tcBorders>
              <w:top w:val="single" w:sz="12" w:space="0" w:color="008000"/>
              <w:bottom w:val="single" w:sz="6" w:space="0" w:color="008000"/>
            </w:tcBorders>
            <w:shd w:val="clear" w:color="auto" w:fill="FFFFFF"/>
            <w:vAlign w:val="center"/>
          </w:tcPr>
          <w:p w14:paraId="083312D3" w14:textId="2F33C37C" w:rsidR="00CC44BD" w:rsidRPr="00B32B10" w:rsidRDefault="00CC44BD" w:rsidP="00F03235">
            <w:pPr>
              <w:pStyle w:val="CETBodytext"/>
              <w:jc w:val="center"/>
              <w:rPr>
                <w:lang w:val="en-GB"/>
              </w:rPr>
            </w:pPr>
            <w:r w:rsidRPr="00B32B10">
              <w:rPr>
                <w:lang w:val="en-GB"/>
              </w:rPr>
              <w:t>Main chemical</w:t>
            </w:r>
          </w:p>
        </w:tc>
        <w:tc>
          <w:tcPr>
            <w:tcW w:w="1714" w:type="pct"/>
            <w:tcBorders>
              <w:top w:val="single" w:sz="12" w:space="0" w:color="008000"/>
              <w:bottom w:val="single" w:sz="6" w:space="0" w:color="008000"/>
            </w:tcBorders>
            <w:shd w:val="clear" w:color="auto" w:fill="FFFFFF"/>
            <w:vAlign w:val="center"/>
          </w:tcPr>
          <w:p w14:paraId="2A65E80B" w14:textId="02B70AD6" w:rsidR="00CC44BD" w:rsidRPr="00B32B10" w:rsidRDefault="00CC44BD" w:rsidP="00F03235">
            <w:pPr>
              <w:pStyle w:val="CETBodytext"/>
              <w:jc w:val="center"/>
              <w:rPr>
                <w:lang w:val="en-GB"/>
              </w:rPr>
            </w:pPr>
            <w:r w:rsidRPr="00B32B10">
              <w:rPr>
                <w:lang w:val="en-GB"/>
              </w:rPr>
              <w:t>Location</w:t>
            </w:r>
            <w:r w:rsidR="00955DCA" w:rsidRPr="00B32B10">
              <w:rPr>
                <w:lang w:val="en-GB"/>
              </w:rPr>
              <w:t>-type of accident</w:t>
            </w:r>
          </w:p>
        </w:tc>
        <w:tc>
          <w:tcPr>
            <w:tcW w:w="342" w:type="pct"/>
            <w:tcBorders>
              <w:top w:val="single" w:sz="12" w:space="0" w:color="008000"/>
              <w:bottom w:val="single" w:sz="6" w:space="0" w:color="008000"/>
            </w:tcBorders>
            <w:shd w:val="clear" w:color="auto" w:fill="FFFFFF"/>
            <w:vAlign w:val="center"/>
          </w:tcPr>
          <w:p w14:paraId="2283BB19" w14:textId="57F57440" w:rsidR="00CC44BD" w:rsidRPr="00B32B10" w:rsidRDefault="00CC44BD" w:rsidP="00F03235">
            <w:pPr>
              <w:pStyle w:val="CETBodytext"/>
              <w:ind w:right="-1"/>
              <w:jc w:val="center"/>
              <w:rPr>
                <w:rFonts w:cs="Arial"/>
                <w:szCs w:val="18"/>
                <w:lang w:val="en-GB"/>
              </w:rPr>
            </w:pPr>
            <w:r w:rsidRPr="00B32B10">
              <w:rPr>
                <w:rFonts w:cs="Arial"/>
                <w:szCs w:val="18"/>
                <w:lang w:val="en-GB"/>
              </w:rPr>
              <w:t>Year</w:t>
            </w:r>
          </w:p>
        </w:tc>
        <w:tc>
          <w:tcPr>
            <w:tcW w:w="11" w:type="pct"/>
            <w:tcBorders>
              <w:top w:val="single" w:sz="12" w:space="0" w:color="008000"/>
              <w:bottom w:val="single" w:sz="6" w:space="0" w:color="008000"/>
            </w:tcBorders>
            <w:shd w:val="clear" w:color="auto" w:fill="FFFFFF"/>
            <w:vAlign w:val="center"/>
          </w:tcPr>
          <w:p w14:paraId="32AD8467" w14:textId="2FB50BDB" w:rsidR="00CC44BD" w:rsidRPr="00B32B10" w:rsidRDefault="00CC44BD" w:rsidP="00F03235">
            <w:pPr>
              <w:pStyle w:val="CETBodytext"/>
              <w:ind w:right="-1"/>
              <w:jc w:val="center"/>
              <w:rPr>
                <w:rFonts w:cs="Arial"/>
                <w:szCs w:val="18"/>
                <w:lang w:val="en-GB"/>
              </w:rPr>
            </w:pPr>
            <w:r w:rsidRPr="00B32B10">
              <w:rPr>
                <w:rFonts w:cs="Arial"/>
                <w:szCs w:val="18"/>
                <w:lang w:val="en-GB"/>
              </w:rPr>
              <w:t>#</w:t>
            </w:r>
          </w:p>
        </w:tc>
        <w:tc>
          <w:tcPr>
            <w:tcW w:w="603" w:type="pct"/>
            <w:tcBorders>
              <w:top w:val="single" w:sz="12" w:space="0" w:color="008000"/>
              <w:bottom w:val="single" w:sz="6" w:space="0" w:color="008000"/>
            </w:tcBorders>
            <w:shd w:val="clear" w:color="auto" w:fill="FFFFFF"/>
            <w:vAlign w:val="center"/>
          </w:tcPr>
          <w:p w14:paraId="6A80F657" w14:textId="4F94A8E6" w:rsidR="00CC44BD" w:rsidRPr="00B32B10" w:rsidRDefault="00CC44BD" w:rsidP="00F03235">
            <w:pPr>
              <w:pStyle w:val="CETBodytext"/>
              <w:ind w:right="-1"/>
              <w:jc w:val="center"/>
              <w:rPr>
                <w:rFonts w:cs="Arial"/>
                <w:szCs w:val="18"/>
                <w:lang w:val="en-GB"/>
              </w:rPr>
            </w:pPr>
            <w:r w:rsidRPr="00B32B10">
              <w:rPr>
                <w:lang w:val="en-GB"/>
              </w:rPr>
              <w:t>Main chemical</w:t>
            </w:r>
          </w:p>
        </w:tc>
        <w:tc>
          <w:tcPr>
            <w:tcW w:w="1391" w:type="pct"/>
            <w:tcBorders>
              <w:top w:val="single" w:sz="12" w:space="0" w:color="008000"/>
              <w:bottom w:val="single" w:sz="6" w:space="0" w:color="008000"/>
            </w:tcBorders>
            <w:shd w:val="clear" w:color="auto" w:fill="FFFFFF"/>
            <w:vAlign w:val="center"/>
          </w:tcPr>
          <w:p w14:paraId="3945F65E" w14:textId="6D1F248B" w:rsidR="00CC44BD" w:rsidRPr="00B32B10" w:rsidRDefault="00955DCA" w:rsidP="00F03235">
            <w:pPr>
              <w:pStyle w:val="CETBodytext"/>
              <w:ind w:right="-1"/>
              <w:jc w:val="center"/>
              <w:rPr>
                <w:rFonts w:cs="Arial"/>
                <w:szCs w:val="18"/>
                <w:lang w:val="en-GB"/>
              </w:rPr>
            </w:pPr>
            <w:r w:rsidRPr="00B32B10">
              <w:rPr>
                <w:lang w:val="en-GB"/>
              </w:rPr>
              <w:t>Location-type of accident</w:t>
            </w:r>
          </w:p>
        </w:tc>
        <w:tc>
          <w:tcPr>
            <w:tcW w:w="228" w:type="pct"/>
            <w:tcBorders>
              <w:top w:val="single" w:sz="12" w:space="0" w:color="008000"/>
              <w:bottom w:val="single" w:sz="6" w:space="0" w:color="008000"/>
            </w:tcBorders>
            <w:shd w:val="clear" w:color="auto" w:fill="FFFFFF"/>
            <w:vAlign w:val="center"/>
          </w:tcPr>
          <w:p w14:paraId="298353DC" w14:textId="6889EFE2" w:rsidR="00CC44BD" w:rsidRPr="00B32B10" w:rsidRDefault="00CC44BD" w:rsidP="00F03235">
            <w:pPr>
              <w:pStyle w:val="CETBodytext"/>
              <w:ind w:right="-1"/>
              <w:jc w:val="center"/>
              <w:rPr>
                <w:rFonts w:cs="Arial"/>
                <w:szCs w:val="18"/>
                <w:lang w:val="en-GB"/>
              </w:rPr>
            </w:pPr>
            <w:r w:rsidRPr="00B32B10">
              <w:rPr>
                <w:rFonts w:cs="Arial"/>
                <w:szCs w:val="18"/>
                <w:lang w:val="en-GB"/>
              </w:rPr>
              <w:t>Year</w:t>
            </w:r>
          </w:p>
        </w:tc>
      </w:tr>
      <w:tr w:rsidR="00F03235" w:rsidRPr="00B32B10" w14:paraId="093D6862" w14:textId="2E34F671" w:rsidTr="00F03235">
        <w:trPr>
          <w:jc w:val="center"/>
        </w:trPr>
        <w:tc>
          <w:tcPr>
            <w:tcW w:w="114" w:type="pct"/>
            <w:shd w:val="clear" w:color="auto" w:fill="FFFFFF"/>
            <w:vAlign w:val="center"/>
          </w:tcPr>
          <w:p w14:paraId="03941050" w14:textId="09378558" w:rsidR="00CC44BD" w:rsidRPr="00B32B10" w:rsidRDefault="00CC44BD" w:rsidP="00F03235">
            <w:pPr>
              <w:pStyle w:val="CETBodytext"/>
              <w:jc w:val="center"/>
              <w:rPr>
                <w:lang w:val="en-GB"/>
              </w:rPr>
            </w:pPr>
            <w:r w:rsidRPr="00B32B10">
              <w:rPr>
                <w:lang w:val="en-GB"/>
              </w:rPr>
              <w:t>1</w:t>
            </w:r>
          </w:p>
        </w:tc>
        <w:tc>
          <w:tcPr>
            <w:tcW w:w="597" w:type="pct"/>
            <w:shd w:val="clear" w:color="auto" w:fill="FFFFFF"/>
            <w:vAlign w:val="center"/>
          </w:tcPr>
          <w:p w14:paraId="624289AD" w14:textId="5025DB68" w:rsidR="00CC44BD" w:rsidRPr="00B32B10" w:rsidRDefault="00CC44BD" w:rsidP="00F03235">
            <w:pPr>
              <w:pStyle w:val="CETBodytext"/>
              <w:jc w:val="center"/>
              <w:rPr>
                <w:lang w:val="en-GB"/>
              </w:rPr>
            </w:pPr>
            <w:proofErr w:type="spellStart"/>
            <w:r w:rsidRPr="00B32B10">
              <w:rPr>
                <w:lang w:val="en-GB"/>
              </w:rPr>
              <w:t>Buthyl</w:t>
            </w:r>
            <w:proofErr w:type="spellEnd"/>
            <w:r w:rsidRPr="00B32B10">
              <w:rPr>
                <w:lang w:val="en-GB"/>
              </w:rPr>
              <w:t xml:space="preserve"> acrylate</w:t>
            </w:r>
          </w:p>
        </w:tc>
        <w:tc>
          <w:tcPr>
            <w:tcW w:w="1714" w:type="pct"/>
            <w:shd w:val="clear" w:color="auto" w:fill="FFFFFF"/>
            <w:vAlign w:val="center"/>
          </w:tcPr>
          <w:p w14:paraId="2DA8B007" w14:textId="15205F51" w:rsidR="00CC44BD" w:rsidRPr="00B32B10" w:rsidRDefault="00CC44BD" w:rsidP="00F03235">
            <w:pPr>
              <w:pStyle w:val="CETBodytext"/>
              <w:jc w:val="center"/>
              <w:rPr>
                <w:lang w:val="en-GB"/>
              </w:rPr>
            </w:pPr>
            <w:proofErr w:type="spellStart"/>
            <w:r w:rsidRPr="00B32B10">
              <w:rPr>
                <w:lang w:val="en-GB"/>
              </w:rPr>
              <w:t>Synthron</w:t>
            </w:r>
            <w:proofErr w:type="spellEnd"/>
            <w:r w:rsidRPr="00B32B10">
              <w:rPr>
                <w:lang w:val="en-GB"/>
              </w:rPr>
              <w:t>, LLC, Morganton (North Carolina, US)</w:t>
            </w:r>
          </w:p>
        </w:tc>
        <w:tc>
          <w:tcPr>
            <w:tcW w:w="342" w:type="pct"/>
            <w:shd w:val="clear" w:color="auto" w:fill="FFFFFF"/>
            <w:vAlign w:val="center"/>
          </w:tcPr>
          <w:p w14:paraId="3B75D1E3" w14:textId="043515F5" w:rsidR="00CC44BD" w:rsidRPr="00B32B10" w:rsidRDefault="00CC44BD" w:rsidP="00F03235">
            <w:pPr>
              <w:pStyle w:val="CETBodytext"/>
              <w:ind w:right="-1"/>
              <w:jc w:val="center"/>
              <w:rPr>
                <w:rFonts w:cs="Arial"/>
                <w:szCs w:val="18"/>
                <w:lang w:val="en-GB"/>
              </w:rPr>
            </w:pPr>
            <w:r w:rsidRPr="00B32B10">
              <w:rPr>
                <w:rFonts w:cs="Arial"/>
                <w:szCs w:val="18"/>
                <w:lang w:val="en-GB"/>
              </w:rPr>
              <w:t>2007</w:t>
            </w:r>
          </w:p>
        </w:tc>
        <w:tc>
          <w:tcPr>
            <w:tcW w:w="11" w:type="pct"/>
            <w:shd w:val="clear" w:color="auto" w:fill="FFFFFF"/>
            <w:vAlign w:val="center"/>
          </w:tcPr>
          <w:p w14:paraId="3201C709" w14:textId="38752A87" w:rsidR="00CC44BD" w:rsidRPr="00B32B10" w:rsidRDefault="00CC44BD" w:rsidP="00F03235">
            <w:pPr>
              <w:pStyle w:val="CETBodytext"/>
              <w:ind w:right="-1"/>
              <w:jc w:val="center"/>
              <w:rPr>
                <w:rFonts w:cs="Arial"/>
                <w:szCs w:val="18"/>
                <w:lang w:val="en-GB"/>
              </w:rPr>
            </w:pPr>
            <w:r w:rsidRPr="00B32B10">
              <w:rPr>
                <w:rFonts w:cs="Arial"/>
                <w:szCs w:val="18"/>
                <w:lang w:val="en-GB"/>
              </w:rPr>
              <w:t>11</w:t>
            </w:r>
          </w:p>
        </w:tc>
        <w:tc>
          <w:tcPr>
            <w:tcW w:w="603" w:type="pct"/>
            <w:shd w:val="clear" w:color="auto" w:fill="FFFFFF"/>
            <w:vAlign w:val="center"/>
          </w:tcPr>
          <w:p w14:paraId="2ED0ADA4" w14:textId="13A58B0D" w:rsidR="00CC44BD" w:rsidRPr="00B32B10" w:rsidRDefault="00F03235" w:rsidP="00F03235">
            <w:pPr>
              <w:pStyle w:val="CETBodytext"/>
              <w:ind w:right="-1"/>
              <w:jc w:val="center"/>
              <w:rPr>
                <w:rFonts w:cs="Arial"/>
                <w:szCs w:val="18"/>
                <w:lang w:val="en-GB"/>
              </w:rPr>
            </w:pPr>
            <w:r w:rsidRPr="00B32B10">
              <w:rPr>
                <w:rFonts w:cs="Arial"/>
                <w:szCs w:val="18"/>
                <w:lang w:val="en-GB"/>
              </w:rPr>
              <w:t>EO</w:t>
            </w:r>
          </w:p>
        </w:tc>
        <w:tc>
          <w:tcPr>
            <w:tcW w:w="1391" w:type="pct"/>
            <w:shd w:val="clear" w:color="auto" w:fill="FFFFFF"/>
            <w:vAlign w:val="center"/>
          </w:tcPr>
          <w:p w14:paraId="18DCD8CC" w14:textId="3005DAD0" w:rsidR="00CC44BD" w:rsidRPr="00B32B10" w:rsidRDefault="00F03235" w:rsidP="00F03235">
            <w:pPr>
              <w:pStyle w:val="CETBodytext"/>
              <w:ind w:right="-1"/>
              <w:jc w:val="center"/>
              <w:rPr>
                <w:rFonts w:cs="Arial"/>
                <w:szCs w:val="18"/>
                <w:lang w:val="en-GB"/>
              </w:rPr>
            </w:pPr>
            <w:r w:rsidRPr="00B32B10">
              <w:rPr>
                <w:rFonts w:cs="Arial"/>
                <w:szCs w:val="18"/>
                <w:lang w:val="en-GB"/>
              </w:rPr>
              <w:t>Distillation unit explosion</w:t>
            </w:r>
            <w:r w:rsidR="00B150CB" w:rsidRPr="00B32B10">
              <w:rPr>
                <w:rFonts w:cs="Arial"/>
                <w:szCs w:val="18"/>
                <w:lang w:val="en-GB"/>
              </w:rPr>
              <w:t xml:space="preserve"> </w:t>
            </w:r>
            <w:r w:rsidRPr="00B32B10">
              <w:rPr>
                <w:rFonts w:cs="Arial"/>
                <w:szCs w:val="18"/>
                <w:lang w:val="en-GB"/>
              </w:rPr>
              <w:t>(EU)</w:t>
            </w:r>
          </w:p>
        </w:tc>
        <w:tc>
          <w:tcPr>
            <w:tcW w:w="228" w:type="pct"/>
            <w:shd w:val="clear" w:color="auto" w:fill="FFFFFF"/>
            <w:vAlign w:val="center"/>
          </w:tcPr>
          <w:p w14:paraId="40DF0685" w14:textId="2B750853" w:rsidR="00CC44BD" w:rsidRPr="00B32B10" w:rsidRDefault="00F03235" w:rsidP="00F03235">
            <w:pPr>
              <w:pStyle w:val="CETBodytext"/>
              <w:ind w:right="-1"/>
              <w:jc w:val="center"/>
              <w:rPr>
                <w:rFonts w:cs="Arial"/>
                <w:szCs w:val="18"/>
                <w:lang w:val="en-GB"/>
              </w:rPr>
            </w:pPr>
            <w:r w:rsidRPr="00B32B10">
              <w:rPr>
                <w:rFonts w:cs="Arial"/>
                <w:szCs w:val="18"/>
                <w:lang w:val="en-GB"/>
              </w:rPr>
              <w:t>1989</w:t>
            </w:r>
          </w:p>
        </w:tc>
      </w:tr>
      <w:tr w:rsidR="00F03235" w:rsidRPr="00B32B10" w14:paraId="70556C2F" w14:textId="470A025E" w:rsidTr="00F03235">
        <w:trPr>
          <w:jc w:val="center"/>
        </w:trPr>
        <w:tc>
          <w:tcPr>
            <w:tcW w:w="114" w:type="pct"/>
            <w:shd w:val="clear" w:color="auto" w:fill="FFFFFF"/>
            <w:vAlign w:val="center"/>
          </w:tcPr>
          <w:p w14:paraId="13DA2F5A" w14:textId="32032F5A" w:rsidR="00CC44BD" w:rsidRPr="00B32B10" w:rsidRDefault="00CC44BD" w:rsidP="00F03235">
            <w:pPr>
              <w:pStyle w:val="CETBodytext"/>
              <w:ind w:right="-1"/>
              <w:jc w:val="center"/>
              <w:rPr>
                <w:rFonts w:cs="Arial"/>
                <w:szCs w:val="18"/>
                <w:lang w:val="en-GB"/>
              </w:rPr>
            </w:pPr>
            <w:r w:rsidRPr="00B32B10">
              <w:rPr>
                <w:rFonts w:cs="Arial"/>
                <w:szCs w:val="18"/>
                <w:lang w:val="en-GB"/>
              </w:rPr>
              <w:t>2</w:t>
            </w:r>
          </w:p>
        </w:tc>
        <w:tc>
          <w:tcPr>
            <w:tcW w:w="597" w:type="pct"/>
            <w:shd w:val="clear" w:color="auto" w:fill="FFFFFF"/>
            <w:vAlign w:val="center"/>
          </w:tcPr>
          <w:p w14:paraId="34574891" w14:textId="2E356A52" w:rsidR="00CC44BD" w:rsidRPr="00B32B10" w:rsidRDefault="00CC44BD" w:rsidP="00F03235">
            <w:pPr>
              <w:pStyle w:val="CETBodytext"/>
              <w:ind w:right="-1"/>
              <w:jc w:val="center"/>
              <w:rPr>
                <w:rFonts w:cs="Arial"/>
                <w:szCs w:val="18"/>
                <w:lang w:val="en-GB"/>
              </w:rPr>
            </w:pPr>
            <w:r w:rsidRPr="00B32B10">
              <w:rPr>
                <w:rFonts w:cs="Arial"/>
                <w:szCs w:val="18"/>
                <w:lang w:val="en-GB"/>
              </w:rPr>
              <w:t>Acrylic acid</w:t>
            </w:r>
          </w:p>
        </w:tc>
        <w:tc>
          <w:tcPr>
            <w:tcW w:w="1714" w:type="pct"/>
            <w:shd w:val="clear" w:color="auto" w:fill="FFFFFF"/>
            <w:vAlign w:val="center"/>
          </w:tcPr>
          <w:p w14:paraId="1387B759" w14:textId="5D6FDA01" w:rsidR="00CC44BD" w:rsidRPr="00B32B10" w:rsidRDefault="00CC44BD" w:rsidP="00F03235">
            <w:pPr>
              <w:pStyle w:val="CETBodytext"/>
              <w:ind w:right="-1"/>
              <w:jc w:val="center"/>
              <w:rPr>
                <w:rFonts w:cs="Arial"/>
                <w:szCs w:val="18"/>
                <w:lang w:val="en-GB"/>
              </w:rPr>
            </w:pPr>
            <w:r w:rsidRPr="00B32B10">
              <w:rPr>
                <w:rFonts w:cs="Arial"/>
                <w:szCs w:val="18"/>
                <w:lang w:val="en-GB"/>
              </w:rPr>
              <w:t>Himeji, Nippon Shokubai (JPN)</w:t>
            </w:r>
          </w:p>
        </w:tc>
        <w:tc>
          <w:tcPr>
            <w:tcW w:w="342" w:type="pct"/>
            <w:shd w:val="clear" w:color="auto" w:fill="FFFFFF"/>
            <w:vAlign w:val="center"/>
          </w:tcPr>
          <w:p w14:paraId="58918E8C" w14:textId="1AB1CBDC" w:rsidR="00CC44BD" w:rsidRPr="00B32B10" w:rsidRDefault="00CC44BD" w:rsidP="00F03235">
            <w:pPr>
              <w:pStyle w:val="CETBodytext"/>
              <w:ind w:right="-1"/>
              <w:jc w:val="center"/>
              <w:rPr>
                <w:rFonts w:cs="Arial"/>
                <w:szCs w:val="18"/>
                <w:lang w:val="en-GB"/>
              </w:rPr>
            </w:pPr>
            <w:r w:rsidRPr="00B32B10">
              <w:rPr>
                <w:rFonts w:cs="Arial"/>
                <w:szCs w:val="18"/>
                <w:lang w:val="en-GB"/>
              </w:rPr>
              <w:t>2012</w:t>
            </w:r>
          </w:p>
        </w:tc>
        <w:tc>
          <w:tcPr>
            <w:tcW w:w="11" w:type="pct"/>
            <w:shd w:val="clear" w:color="auto" w:fill="FFFFFF"/>
            <w:vAlign w:val="center"/>
          </w:tcPr>
          <w:p w14:paraId="63167A0F" w14:textId="09EE64FC" w:rsidR="00CC44BD" w:rsidRPr="00B32B10" w:rsidRDefault="00CC44BD" w:rsidP="00F03235">
            <w:pPr>
              <w:pStyle w:val="CETBodytext"/>
              <w:ind w:right="-1"/>
              <w:jc w:val="center"/>
              <w:rPr>
                <w:rFonts w:cs="Arial"/>
                <w:szCs w:val="18"/>
                <w:lang w:val="en-GB"/>
              </w:rPr>
            </w:pPr>
            <w:r w:rsidRPr="00B32B10">
              <w:rPr>
                <w:rFonts w:cs="Arial"/>
                <w:szCs w:val="18"/>
                <w:lang w:val="en-GB"/>
              </w:rPr>
              <w:t>12</w:t>
            </w:r>
          </w:p>
        </w:tc>
        <w:tc>
          <w:tcPr>
            <w:tcW w:w="603" w:type="pct"/>
            <w:shd w:val="clear" w:color="auto" w:fill="FFFFFF"/>
            <w:vAlign w:val="center"/>
          </w:tcPr>
          <w:p w14:paraId="691B580F" w14:textId="761CA1C4" w:rsidR="00CC44BD" w:rsidRPr="00B32B10" w:rsidRDefault="00F03235" w:rsidP="00F03235">
            <w:pPr>
              <w:pStyle w:val="CETBodytext"/>
              <w:ind w:right="-1"/>
              <w:jc w:val="center"/>
              <w:rPr>
                <w:rFonts w:cs="Arial"/>
                <w:szCs w:val="18"/>
                <w:lang w:val="en-GB"/>
              </w:rPr>
            </w:pPr>
            <w:r w:rsidRPr="00B32B10">
              <w:rPr>
                <w:rFonts w:cs="Arial"/>
                <w:szCs w:val="18"/>
                <w:lang w:val="en-GB"/>
              </w:rPr>
              <w:t>EO</w:t>
            </w:r>
          </w:p>
        </w:tc>
        <w:tc>
          <w:tcPr>
            <w:tcW w:w="1391" w:type="pct"/>
            <w:shd w:val="clear" w:color="auto" w:fill="FFFFFF"/>
            <w:vAlign w:val="center"/>
          </w:tcPr>
          <w:p w14:paraId="1F58B0C5" w14:textId="46B63F48" w:rsidR="00CC44BD" w:rsidRPr="00B32B10" w:rsidRDefault="00F03235" w:rsidP="00F03235">
            <w:pPr>
              <w:pStyle w:val="CETBodytext"/>
              <w:ind w:right="-1"/>
              <w:jc w:val="center"/>
              <w:rPr>
                <w:rFonts w:cs="Arial"/>
                <w:szCs w:val="18"/>
                <w:lang w:val="en-GB"/>
              </w:rPr>
            </w:pPr>
            <w:r w:rsidRPr="00B32B10">
              <w:rPr>
                <w:rFonts w:cs="Arial"/>
                <w:szCs w:val="18"/>
                <w:lang w:val="en-GB"/>
              </w:rPr>
              <w:t>Purification unit explosion (EU)</w:t>
            </w:r>
          </w:p>
        </w:tc>
        <w:tc>
          <w:tcPr>
            <w:tcW w:w="228" w:type="pct"/>
            <w:shd w:val="clear" w:color="auto" w:fill="FFFFFF"/>
            <w:vAlign w:val="center"/>
          </w:tcPr>
          <w:p w14:paraId="6609B91F" w14:textId="09E00E9B" w:rsidR="00CC44BD" w:rsidRPr="00B32B10" w:rsidRDefault="00F03235" w:rsidP="00F03235">
            <w:pPr>
              <w:pStyle w:val="CETBodytext"/>
              <w:ind w:right="-1"/>
              <w:jc w:val="center"/>
              <w:rPr>
                <w:rFonts w:cs="Arial"/>
                <w:szCs w:val="18"/>
                <w:lang w:val="en-GB"/>
              </w:rPr>
            </w:pPr>
            <w:r w:rsidRPr="00B32B10">
              <w:rPr>
                <w:rFonts w:cs="Arial"/>
                <w:szCs w:val="18"/>
                <w:lang w:val="en-GB"/>
              </w:rPr>
              <w:t>1987</w:t>
            </w:r>
          </w:p>
        </w:tc>
      </w:tr>
      <w:tr w:rsidR="00F03235" w:rsidRPr="00B32B10" w14:paraId="05470D55" w14:textId="1E0FC676" w:rsidTr="00F03235">
        <w:trPr>
          <w:jc w:val="center"/>
        </w:trPr>
        <w:tc>
          <w:tcPr>
            <w:tcW w:w="114" w:type="pct"/>
            <w:shd w:val="clear" w:color="auto" w:fill="FFFFFF"/>
            <w:vAlign w:val="center"/>
          </w:tcPr>
          <w:p w14:paraId="0E76D3F5" w14:textId="261CF15D" w:rsidR="00CC44BD" w:rsidRPr="00B32B10" w:rsidRDefault="00CC44BD" w:rsidP="00F03235">
            <w:pPr>
              <w:pStyle w:val="CETBodytext"/>
              <w:ind w:right="-1"/>
              <w:jc w:val="center"/>
              <w:rPr>
                <w:rFonts w:cs="Arial"/>
                <w:szCs w:val="18"/>
                <w:lang w:val="en-GB"/>
              </w:rPr>
            </w:pPr>
            <w:r w:rsidRPr="00B32B10">
              <w:rPr>
                <w:rFonts w:cs="Arial"/>
                <w:szCs w:val="18"/>
                <w:lang w:val="en-GB"/>
              </w:rPr>
              <w:t>3</w:t>
            </w:r>
          </w:p>
        </w:tc>
        <w:tc>
          <w:tcPr>
            <w:tcW w:w="597" w:type="pct"/>
            <w:shd w:val="clear" w:color="auto" w:fill="FFFFFF"/>
            <w:vAlign w:val="center"/>
          </w:tcPr>
          <w:p w14:paraId="7FAE1227" w14:textId="0B12ACAC" w:rsidR="00CC44BD" w:rsidRPr="00B32B10" w:rsidRDefault="00CC44BD" w:rsidP="00F03235">
            <w:pPr>
              <w:pStyle w:val="CETBodytext"/>
              <w:ind w:right="-1"/>
              <w:jc w:val="center"/>
              <w:rPr>
                <w:rFonts w:cs="Arial"/>
                <w:szCs w:val="18"/>
                <w:lang w:val="en-GB"/>
              </w:rPr>
            </w:pPr>
            <w:r w:rsidRPr="00B32B10">
              <w:rPr>
                <w:rFonts w:cs="Arial"/>
                <w:szCs w:val="18"/>
                <w:lang w:val="en-GB"/>
              </w:rPr>
              <w:t>Acrylic acid</w:t>
            </w:r>
          </w:p>
        </w:tc>
        <w:tc>
          <w:tcPr>
            <w:tcW w:w="1714" w:type="pct"/>
            <w:shd w:val="clear" w:color="auto" w:fill="FFFFFF"/>
            <w:vAlign w:val="center"/>
          </w:tcPr>
          <w:p w14:paraId="53FB4C31" w14:textId="7C4C6507" w:rsidR="00CC44BD" w:rsidRPr="00B32B10" w:rsidRDefault="00CC44BD" w:rsidP="00F03235">
            <w:pPr>
              <w:pStyle w:val="CETBodytext"/>
              <w:ind w:right="-1"/>
              <w:jc w:val="center"/>
              <w:rPr>
                <w:rFonts w:cs="Arial"/>
                <w:szCs w:val="18"/>
                <w:lang w:val="en-GB"/>
              </w:rPr>
            </w:pPr>
            <w:r w:rsidRPr="00B32B10">
              <w:rPr>
                <w:rFonts w:cs="Arial"/>
                <w:szCs w:val="18"/>
                <w:lang w:val="en-GB"/>
              </w:rPr>
              <w:t>Wacker-</w:t>
            </w:r>
            <w:proofErr w:type="spellStart"/>
            <w:r w:rsidRPr="00B32B10">
              <w:rPr>
                <w:rFonts w:cs="Arial"/>
                <w:szCs w:val="18"/>
                <w:lang w:val="en-GB"/>
              </w:rPr>
              <w:t>Chemie</w:t>
            </w:r>
            <w:proofErr w:type="spellEnd"/>
            <w:r w:rsidR="0039078B" w:rsidRPr="00B32B10">
              <w:rPr>
                <w:rFonts w:cs="Arial"/>
                <w:szCs w:val="18"/>
                <w:lang w:val="en-GB"/>
              </w:rPr>
              <w:t xml:space="preserve"> (DE)</w:t>
            </w:r>
          </w:p>
        </w:tc>
        <w:tc>
          <w:tcPr>
            <w:tcW w:w="342" w:type="pct"/>
            <w:shd w:val="clear" w:color="auto" w:fill="FFFFFF"/>
            <w:vAlign w:val="center"/>
          </w:tcPr>
          <w:p w14:paraId="6AA6CE89" w14:textId="35B80F22" w:rsidR="00CC44BD" w:rsidRPr="00B32B10" w:rsidRDefault="0039078B" w:rsidP="00F03235">
            <w:pPr>
              <w:pStyle w:val="CETBodytext"/>
              <w:ind w:right="-1"/>
              <w:jc w:val="center"/>
              <w:rPr>
                <w:rFonts w:cs="Arial"/>
                <w:szCs w:val="18"/>
                <w:lang w:val="en-GB"/>
              </w:rPr>
            </w:pPr>
            <w:r w:rsidRPr="00B32B10">
              <w:rPr>
                <w:rFonts w:cs="Arial"/>
                <w:szCs w:val="18"/>
                <w:lang w:val="en-GB"/>
              </w:rPr>
              <w:t>1994</w:t>
            </w:r>
          </w:p>
        </w:tc>
        <w:tc>
          <w:tcPr>
            <w:tcW w:w="11" w:type="pct"/>
            <w:shd w:val="clear" w:color="auto" w:fill="FFFFFF"/>
            <w:vAlign w:val="center"/>
          </w:tcPr>
          <w:p w14:paraId="1C4E5CB3" w14:textId="603BE2CB" w:rsidR="00CC44BD" w:rsidRPr="00B32B10" w:rsidRDefault="00CC44BD" w:rsidP="00F03235">
            <w:pPr>
              <w:pStyle w:val="CETBodytext"/>
              <w:ind w:right="-1"/>
              <w:jc w:val="center"/>
              <w:rPr>
                <w:rFonts w:cs="Arial"/>
                <w:szCs w:val="18"/>
                <w:lang w:val="en-GB"/>
              </w:rPr>
            </w:pPr>
            <w:r w:rsidRPr="00B32B10">
              <w:rPr>
                <w:rFonts w:cs="Arial"/>
                <w:szCs w:val="18"/>
                <w:lang w:val="en-GB"/>
              </w:rPr>
              <w:t>13</w:t>
            </w:r>
          </w:p>
        </w:tc>
        <w:tc>
          <w:tcPr>
            <w:tcW w:w="603" w:type="pct"/>
            <w:shd w:val="clear" w:color="auto" w:fill="FFFFFF"/>
            <w:vAlign w:val="center"/>
          </w:tcPr>
          <w:p w14:paraId="10C79B5C" w14:textId="3EEFF630" w:rsidR="00CC44BD" w:rsidRPr="00B32B10" w:rsidRDefault="00F03235" w:rsidP="00F03235">
            <w:pPr>
              <w:pStyle w:val="CETBodytext"/>
              <w:ind w:right="-1"/>
              <w:jc w:val="center"/>
              <w:rPr>
                <w:rFonts w:cs="Arial"/>
                <w:szCs w:val="18"/>
                <w:lang w:val="en-GB"/>
              </w:rPr>
            </w:pPr>
            <w:r w:rsidRPr="00B32B10">
              <w:rPr>
                <w:rFonts w:cs="Arial"/>
                <w:szCs w:val="18"/>
                <w:lang w:val="en-GB"/>
              </w:rPr>
              <w:t>EO</w:t>
            </w:r>
          </w:p>
        </w:tc>
        <w:tc>
          <w:tcPr>
            <w:tcW w:w="1391" w:type="pct"/>
            <w:shd w:val="clear" w:color="auto" w:fill="FFFFFF"/>
            <w:vAlign w:val="center"/>
          </w:tcPr>
          <w:p w14:paraId="265BC66D" w14:textId="51E57B2B" w:rsidR="00CC44BD" w:rsidRPr="00B32B10" w:rsidRDefault="00F03235" w:rsidP="00F03235">
            <w:pPr>
              <w:pStyle w:val="CETBodytext"/>
              <w:ind w:right="-1"/>
              <w:jc w:val="center"/>
              <w:rPr>
                <w:rFonts w:cs="Arial"/>
                <w:szCs w:val="18"/>
                <w:lang w:val="en-GB"/>
              </w:rPr>
            </w:pPr>
            <w:r w:rsidRPr="00B32B10">
              <w:rPr>
                <w:rFonts w:cs="Arial"/>
                <w:szCs w:val="18"/>
                <w:lang w:val="en-GB"/>
              </w:rPr>
              <w:t>Decomposition in blocked pump (US)</w:t>
            </w:r>
          </w:p>
        </w:tc>
        <w:tc>
          <w:tcPr>
            <w:tcW w:w="228" w:type="pct"/>
            <w:shd w:val="clear" w:color="auto" w:fill="FFFFFF"/>
            <w:vAlign w:val="center"/>
          </w:tcPr>
          <w:p w14:paraId="5E3D5B6E" w14:textId="08A249E8" w:rsidR="00CC44BD" w:rsidRPr="00B32B10" w:rsidRDefault="00F03235" w:rsidP="00F03235">
            <w:pPr>
              <w:pStyle w:val="CETBodytext"/>
              <w:ind w:right="-1"/>
              <w:jc w:val="center"/>
              <w:rPr>
                <w:rFonts w:cs="Arial"/>
                <w:szCs w:val="18"/>
                <w:lang w:val="en-GB"/>
              </w:rPr>
            </w:pPr>
            <w:r w:rsidRPr="00B32B10">
              <w:rPr>
                <w:rFonts w:cs="Arial"/>
                <w:szCs w:val="18"/>
                <w:lang w:val="en-GB"/>
              </w:rPr>
              <w:t>1962-2007</w:t>
            </w:r>
          </w:p>
        </w:tc>
      </w:tr>
      <w:tr w:rsidR="00F03235" w:rsidRPr="00B32B10" w14:paraId="791E9A93" w14:textId="72E97E7F" w:rsidTr="00F03235">
        <w:trPr>
          <w:jc w:val="center"/>
        </w:trPr>
        <w:tc>
          <w:tcPr>
            <w:tcW w:w="114" w:type="pct"/>
            <w:shd w:val="clear" w:color="auto" w:fill="FFFFFF"/>
            <w:vAlign w:val="center"/>
          </w:tcPr>
          <w:p w14:paraId="3CD33E24" w14:textId="3F644F48" w:rsidR="00CC44BD" w:rsidRPr="00B32B10" w:rsidRDefault="00CC44BD" w:rsidP="00F03235">
            <w:pPr>
              <w:pStyle w:val="CETBodytext"/>
              <w:ind w:right="-1"/>
              <w:jc w:val="center"/>
              <w:rPr>
                <w:rFonts w:cs="Arial"/>
                <w:szCs w:val="18"/>
                <w:lang w:val="en-GB"/>
              </w:rPr>
            </w:pPr>
            <w:r w:rsidRPr="00B32B10">
              <w:rPr>
                <w:rFonts w:cs="Arial"/>
                <w:szCs w:val="18"/>
                <w:lang w:val="en-GB"/>
              </w:rPr>
              <w:t>4</w:t>
            </w:r>
          </w:p>
        </w:tc>
        <w:tc>
          <w:tcPr>
            <w:tcW w:w="597" w:type="pct"/>
            <w:shd w:val="clear" w:color="auto" w:fill="FFFFFF"/>
            <w:vAlign w:val="center"/>
          </w:tcPr>
          <w:p w14:paraId="0F03B376" w14:textId="3F1ACD24" w:rsidR="00CC44BD" w:rsidRPr="00B32B10" w:rsidRDefault="0039078B" w:rsidP="00F03235">
            <w:pPr>
              <w:pStyle w:val="CETBodytext"/>
              <w:ind w:right="-1"/>
              <w:jc w:val="center"/>
              <w:rPr>
                <w:rFonts w:cs="Arial"/>
                <w:szCs w:val="18"/>
                <w:lang w:val="en-GB"/>
              </w:rPr>
            </w:pPr>
            <w:r w:rsidRPr="00B32B10">
              <w:rPr>
                <w:rFonts w:cs="Arial"/>
                <w:szCs w:val="18"/>
                <w:lang w:val="en-GB"/>
              </w:rPr>
              <w:t>Acrylic acid</w:t>
            </w:r>
          </w:p>
        </w:tc>
        <w:tc>
          <w:tcPr>
            <w:tcW w:w="1714" w:type="pct"/>
            <w:shd w:val="clear" w:color="auto" w:fill="FFFFFF"/>
            <w:vAlign w:val="center"/>
          </w:tcPr>
          <w:p w14:paraId="1C087B2E" w14:textId="332546A4" w:rsidR="00CC44BD" w:rsidRPr="00B32B10" w:rsidRDefault="0039078B" w:rsidP="00F03235">
            <w:pPr>
              <w:pStyle w:val="CETBodytext"/>
              <w:ind w:right="-1"/>
              <w:jc w:val="center"/>
              <w:rPr>
                <w:rFonts w:cs="Arial"/>
                <w:szCs w:val="18"/>
                <w:lang w:val="en-GB"/>
              </w:rPr>
            </w:pPr>
            <w:r w:rsidRPr="00B32B10">
              <w:rPr>
                <w:rFonts w:cs="Arial"/>
                <w:szCs w:val="18"/>
                <w:lang w:val="en-GB"/>
              </w:rPr>
              <w:t>Kakogawa, Hyogo (JPN)</w:t>
            </w:r>
          </w:p>
        </w:tc>
        <w:tc>
          <w:tcPr>
            <w:tcW w:w="342" w:type="pct"/>
            <w:shd w:val="clear" w:color="auto" w:fill="FFFFFF"/>
            <w:vAlign w:val="center"/>
          </w:tcPr>
          <w:p w14:paraId="0C6A47DD" w14:textId="41507010" w:rsidR="00CC44BD" w:rsidRPr="00B32B10" w:rsidRDefault="0039078B" w:rsidP="00F03235">
            <w:pPr>
              <w:pStyle w:val="CETBodytext"/>
              <w:ind w:right="-1"/>
              <w:jc w:val="center"/>
              <w:rPr>
                <w:rFonts w:cs="Arial"/>
                <w:szCs w:val="18"/>
                <w:lang w:val="en-GB"/>
              </w:rPr>
            </w:pPr>
            <w:r w:rsidRPr="00B32B10">
              <w:rPr>
                <w:rFonts w:cs="Arial"/>
                <w:szCs w:val="18"/>
                <w:lang w:val="en-GB"/>
              </w:rPr>
              <w:t>1998</w:t>
            </w:r>
          </w:p>
        </w:tc>
        <w:tc>
          <w:tcPr>
            <w:tcW w:w="11" w:type="pct"/>
            <w:shd w:val="clear" w:color="auto" w:fill="FFFFFF"/>
            <w:vAlign w:val="center"/>
          </w:tcPr>
          <w:p w14:paraId="6453ACF2" w14:textId="4D51AD16" w:rsidR="00CC44BD" w:rsidRPr="00B32B10" w:rsidRDefault="00CC44BD" w:rsidP="00F03235">
            <w:pPr>
              <w:pStyle w:val="CETBodytext"/>
              <w:ind w:right="-1"/>
              <w:jc w:val="center"/>
              <w:rPr>
                <w:rFonts w:cs="Arial"/>
                <w:szCs w:val="18"/>
                <w:lang w:val="en-GB"/>
              </w:rPr>
            </w:pPr>
            <w:r w:rsidRPr="00B32B10">
              <w:rPr>
                <w:rFonts w:cs="Arial"/>
                <w:szCs w:val="18"/>
                <w:lang w:val="en-GB"/>
              </w:rPr>
              <w:t>14</w:t>
            </w:r>
          </w:p>
        </w:tc>
        <w:tc>
          <w:tcPr>
            <w:tcW w:w="603" w:type="pct"/>
            <w:shd w:val="clear" w:color="auto" w:fill="FFFFFF"/>
            <w:vAlign w:val="center"/>
          </w:tcPr>
          <w:p w14:paraId="15185D4B" w14:textId="07CB3D2F" w:rsidR="00CC44BD" w:rsidRPr="00B32B10" w:rsidRDefault="00F03235" w:rsidP="00F03235">
            <w:pPr>
              <w:pStyle w:val="CETBodytext"/>
              <w:ind w:right="-1"/>
              <w:jc w:val="center"/>
              <w:rPr>
                <w:rFonts w:cs="Arial"/>
                <w:szCs w:val="18"/>
                <w:lang w:val="en-GB"/>
              </w:rPr>
            </w:pPr>
            <w:r w:rsidRPr="00B32B10">
              <w:rPr>
                <w:rFonts w:cs="Arial"/>
                <w:szCs w:val="18"/>
                <w:lang w:val="en-GB"/>
              </w:rPr>
              <w:t>EO</w:t>
            </w:r>
          </w:p>
        </w:tc>
        <w:tc>
          <w:tcPr>
            <w:tcW w:w="1391" w:type="pct"/>
            <w:shd w:val="clear" w:color="auto" w:fill="FFFFFF"/>
            <w:vAlign w:val="center"/>
          </w:tcPr>
          <w:p w14:paraId="601F83B0" w14:textId="4F728DAE" w:rsidR="00CC44BD" w:rsidRPr="00B32B10" w:rsidRDefault="00F03235" w:rsidP="00F03235">
            <w:pPr>
              <w:pStyle w:val="CETBodytext"/>
              <w:ind w:right="-1"/>
              <w:jc w:val="center"/>
              <w:rPr>
                <w:rFonts w:cs="Arial"/>
                <w:szCs w:val="18"/>
                <w:lang w:val="en-GB"/>
              </w:rPr>
            </w:pPr>
            <w:r w:rsidRPr="00B32B10">
              <w:rPr>
                <w:rFonts w:cs="Arial"/>
                <w:szCs w:val="18"/>
                <w:lang w:val="en-GB"/>
              </w:rPr>
              <w:t>Decomposition in blocked pump (US)</w:t>
            </w:r>
          </w:p>
        </w:tc>
        <w:tc>
          <w:tcPr>
            <w:tcW w:w="228" w:type="pct"/>
            <w:shd w:val="clear" w:color="auto" w:fill="FFFFFF"/>
            <w:vAlign w:val="center"/>
          </w:tcPr>
          <w:p w14:paraId="02A6D1CA" w14:textId="6A1A29DD" w:rsidR="00CC44BD" w:rsidRPr="00B32B10" w:rsidRDefault="00F03235" w:rsidP="00F03235">
            <w:pPr>
              <w:pStyle w:val="CETBodytext"/>
              <w:ind w:right="-1"/>
              <w:jc w:val="center"/>
              <w:rPr>
                <w:rFonts w:cs="Arial"/>
                <w:szCs w:val="18"/>
                <w:lang w:val="en-GB"/>
              </w:rPr>
            </w:pPr>
            <w:r w:rsidRPr="00B32B10">
              <w:rPr>
                <w:rFonts w:cs="Arial"/>
                <w:szCs w:val="18"/>
                <w:lang w:val="en-GB"/>
              </w:rPr>
              <w:t>1962-2007</w:t>
            </w:r>
          </w:p>
        </w:tc>
      </w:tr>
      <w:tr w:rsidR="00F03235" w:rsidRPr="00B32B10" w14:paraId="446D9762" w14:textId="54CAEB67" w:rsidTr="00F03235">
        <w:trPr>
          <w:jc w:val="center"/>
        </w:trPr>
        <w:tc>
          <w:tcPr>
            <w:tcW w:w="114" w:type="pct"/>
            <w:shd w:val="clear" w:color="auto" w:fill="FFFFFF"/>
            <w:vAlign w:val="center"/>
          </w:tcPr>
          <w:p w14:paraId="462FEEBC" w14:textId="5DC2C5BF" w:rsidR="00CC44BD" w:rsidRPr="00B32B10" w:rsidRDefault="00CC44BD" w:rsidP="00F03235">
            <w:pPr>
              <w:pStyle w:val="CETBodytext"/>
              <w:ind w:right="-1"/>
              <w:jc w:val="center"/>
              <w:rPr>
                <w:rFonts w:cs="Arial"/>
                <w:szCs w:val="18"/>
                <w:lang w:val="en-GB"/>
              </w:rPr>
            </w:pPr>
            <w:r w:rsidRPr="00B32B10">
              <w:rPr>
                <w:rFonts w:cs="Arial"/>
                <w:szCs w:val="18"/>
                <w:lang w:val="en-GB"/>
              </w:rPr>
              <w:t>5</w:t>
            </w:r>
          </w:p>
        </w:tc>
        <w:tc>
          <w:tcPr>
            <w:tcW w:w="597" w:type="pct"/>
            <w:shd w:val="clear" w:color="auto" w:fill="FFFFFF"/>
            <w:vAlign w:val="center"/>
          </w:tcPr>
          <w:p w14:paraId="37E67611" w14:textId="4ACBA49A" w:rsidR="00CC44BD" w:rsidRPr="00B32B10" w:rsidRDefault="0039078B" w:rsidP="00F03235">
            <w:pPr>
              <w:pStyle w:val="CETBodytext"/>
              <w:ind w:right="-1"/>
              <w:jc w:val="center"/>
              <w:rPr>
                <w:rFonts w:cs="Arial"/>
                <w:szCs w:val="18"/>
                <w:lang w:val="en-GB"/>
              </w:rPr>
            </w:pPr>
            <w:r w:rsidRPr="00B32B10">
              <w:rPr>
                <w:rFonts w:cs="Arial"/>
                <w:szCs w:val="18"/>
                <w:lang w:val="en-GB"/>
              </w:rPr>
              <w:t>EO, ammonia</w:t>
            </w:r>
          </w:p>
        </w:tc>
        <w:tc>
          <w:tcPr>
            <w:tcW w:w="1714" w:type="pct"/>
            <w:shd w:val="clear" w:color="auto" w:fill="FFFFFF"/>
            <w:vAlign w:val="center"/>
          </w:tcPr>
          <w:p w14:paraId="04B4B22D" w14:textId="77777777" w:rsidR="00955DCA" w:rsidRPr="00B32B10" w:rsidRDefault="00955DCA" w:rsidP="00F03235">
            <w:pPr>
              <w:pStyle w:val="CETBodytext"/>
              <w:ind w:right="-1"/>
              <w:jc w:val="center"/>
              <w:rPr>
                <w:rFonts w:cs="Arial"/>
                <w:szCs w:val="18"/>
                <w:lang w:val="en-GB"/>
              </w:rPr>
            </w:pPr>
            <w:r w:rsidRPr="00B32B10">
              <w:rPr>
                <w:rFonts w:cs="Arial"/>
                <w:szCs w:val="18"/>
                <w:lang w:val="en-GB"/>
              </w:rPr>
              <w:t>EO production and</w:t>
            </w:r>
          </w:p>
          <w:p w14:paraId="1F4C46DD" w14:textId="2324142F" w:rsidR="00CC44BD" w:rsidRPr="00B32B10" w:rsidRDefault="00955DCA" w:rsidP="00F03235">
            <w:pPr>
              <w:pStyle w:val="CETBodytext"/>
              <w:ind w:right="-1"/>
              <w:jc w:val="center"/>
              <w:rPr>
                <w:rFonts w:cs="Arial"/>
                <w:szCs w:val="18"/>
                <w:lang w:val="en-GB"/>
              </w:rPr>
            </w:pPr>
            <w:r w:rsidRPr="00B32B10">
              <w:rPr>
                <w:rFonts w:cs="Arial"/>
                <w:szCs w:val="18"/>
                <w:lang w:val="en-GB"/>
              </w:rPr>
              <w:t>derivatives plant</w:t>
            </w:r>
          </w:p>
        </w:tc>
        <w:tc>
          <w:tcPr>
            <w:tcW w:w="342" w:type="pct"/>
            <w:shd w:val="clear" w:color="auto" w:fill="FFFFFF"/>
            <w:vAlign w:val="center"/>
          </w:tcPr>
          <w:p w14:paraId="4C475A36" w14:textId="7F4FA018" w:rsidR="00CC44BD" w:rsidRPr="00B32B10" w:rsidRDefault="00955DCA" w:rsidP="00F03235">
            <w:pPr>
              <w:pStyle w:val="CETBodytext"/>
              <w:ind w:right="-1"/>
              <w:jc w:val="center"/>
              <w:rPr>
                <w:rFonts w:cs="Arial"/>
                <w:szCs w:val="18"/>
                <w:lang w:val="en-GB"/>
              </w:rPr>
            </w:pPr>
            <w:r w:rsidRPr="00B32B10">
              <w:rPr>
                <w:rFonts w:cs="Arial"/>
                <w:szCs w:val="18"/>
                <w:lang w:val="en-GB"/>
              </w:rPr>
              <w:t>1962</w:t>
            </w:r>
          </w:p>
        </w:tc>
        <w:tc>
          <w:tcPr>
            <w:tcW w:w="11" w:type="pct"/>
            <w:shd w:val="clear" w:color="auto" w:fill="FFFFFF"/>
            <w:vAlign w:val="center"/>
          </w:tcPr>
          <w:p w14:paraId="685C9FDC" w14:textId="6CFCE50B" w:rsidR="00CC44BD" w:rsidRPr="00B32B10" w:rsidRDefault="00CC44BD" w:rsidP="00F03235">
            <w:pPr>
              <w:pStyle w:val="CETBodytext"/>
              <w:ind w:right="-1"/>
              <w:jc w:val="center"/>
              <w:rPr>
                <w:rFonts w:cs="Arial"/>
                <w:szCs w:val="18"/>
                <w:lang w:val="en-GB"/>
              </w:rPr>
            </w:pPr>
            <w:r w:rsidRPr="00B32B10">
              <w:rPr>
                <w:rFonts w:cs="Arial"/>
                <w:szCs w:val="18"/>
                <w:lang w:val="en-GB"/>
              </w:rPr>
              <w:t>15</w:t>
            </w:r>
          </w:p>
        </w:tc>
        <w:tc>
          <w:tcPr>
            <w:tcW w:w="603" w:type="pct"/>
            <w:shd w:val="clear" w:color="auto" w:fill="FFFFFF"/>
            <w:vAlign w:val="center"/>
          </w:tcPr>
          <w:p w14:paraId="7221EA68" w14:textId="3D042F2C" w:rsidR="00CC44BD" w:rsidRPr="00B32B10" w:rsidRDefault="0039078B" w:rsidP="00F03235">
            <w:pPr>
              <w:pStyle w:val="CETBodytext"/>
              <w:ind w:right="-1"/>
              <w:jc w:val="center"/>
              <w:rPr>
                <w:rFonts w:cs="Arial"/>
                <w:szCs w:val="18"/>
                <w:lang w:val="en-GB"/>
              </w:rPr>
            </w:pPr>
            <w:r w:rsidRPr="00B32B10">
              <w:rPr>
                <w:rFonts w:cs="Arial"/>
                <w:szCs w:val="18"/>
                <w:lang w:val="en-GB"/>
              </w:rPr>
              <w:t>EO</w:t>
            </w:r>
          </w:p>
        </w:tc>
        <w:tc>
          <w:tcPr>
            <w:tcW w:w="1391" w:type="pct"/>
            <w:shd w:val="clear" w:color="auto" w:fill="FFFFFF"/>
            <w:vAlign w:val="center"/>
          </w:tcPr>
          <w:p w14:paraId="492EFC19" w14:textId="7C036121" w:rsidR="00CC44BD" w:rsidRPr="00B32B10" w:rsidRDefault="00F03235" w:rsidP="00F03235">
            <w:pPr>
              <w:pStyle w:val="CETBodytext"/>
              <w:ind w:right="-1"/>
              <w:jc w:val="center"/>
              <w:rPr>
                <w:rFonts w:cs="Arial"/>
                <w:szCs w:val="18"/>
                <w:lang w:val="en-GB"/>
              </w:rPr>
            </w:pPr>
            <w:r w:rsidRPr="00B32B10">
              <w:rPr>
                <w:rFonts w:cs="Arial"/>
                <w:szCs w:val="18"/>
                <w:lang w:val="en-GB"/>
              </w:rPr>
              <w:t>Decomposition in reflux pump (EU)</w:t>
            </w:r>
          </w:p>
        </w:tc>
        <w:tc>
          <w:tcPr>
            <w:tcW w:w="228" w:type="pct"/>
            <w:shd w:val="clear" w:color="auto" w:fill="FFFFFF"/>
            <w:vAlign w:val="center"/>
          </w:tcPr>
          <w:p w14:paraId="07B5B108" w14:textId="203424DC" w:rsidR="00CC44BD" w:rsidRPr="00B32B10" w:rsidRDefault="00F03235" w:rsidP="00F03235">
            <w:pPr>
              <w:pStyle w:val="CETBodytext"/>
              <w:ind w:right="-1"/>
              <w:jc w:val="center"/>
              <w:rPr>
                <w:rFonts w:cs="Arial"/>
                <w:szCs w:val="18"/>
                <w:lang w:val="en-GB"/>
              </w:rPr>
            </w:pPr>
            <w:r w:rsidRPr="00B32B10">
              <w:rPr>
                <w:rFonts w:cs="Arial"/>
                <w:szCs w:val="18"/>
                <w:lang w:val="en-GB"/>
              </w:rPr>
              <w:t>1962-2007</w:t>
            </w:r>
          </w:p>
        </w:tc>
      </w:tr>
      <w:tr w:rsidR="00F03235" w:rsidRPr="00B32B10" w14:paraId="7619FB18" w14:textId="60552585" w:rsidTr="00F03235">
        <w:trPr>
          <w:jc w:val="center"/>
        </w:trPr>
        <w:tc>
          <w:tcPr>
            <w:tcW w:w="114" w:type="pct"/>
            <w:shd w:val="clear" w:color="auto" w:fill="FFFFFF"/>
            <w:vAlign w:val="center"/>
          </w:tcPr>
          <w:p w14:paraId="6490046F" w14:textId="14291E4F" w:rsidR="00CC44BD" w:rsidRPr="00B32B10" w:rsidRDefault="00CC44BD" w:rsidP="00F03235">
            <w:pPr>
              <w:pStyle w:val="CETBodytext"/>
              <w:ind w:right="-1"/>
              <w:jc w:val="center"/>
              <w:rPr>
                <w:rFonts w:cs="Arial"/>
                <w:szCs w:val="18"/>
                <w:lang w:val="en-GB"/>
              </w:rPr>
            </w:pPr>
            <w:r w:rsidRPr="00B32B10">
              <w:rPr>
                <w:rFonts w:cs="Arial"/>
                <w:szCs w:val="18"/>
                <w:lang w:val="en-GB"/>
              </w:rPr>
              <w:t>6</w:t>
            </w:r>
          </w:p>
        </w:tc>
        <w:tc>
          <w:tcPr>
            <w:tcW w:w="597" w:type="pct"/>
            <w:shd w:val="clear" w:color="auto" w:fill="FFFFFF"/>
            <w:vAlign w:val="center"/>
          </w:tcPr>
          <w:p w14:paraId="0407067F" w14:textId="53F4D7F1" w:rsidR="00CC44BD" w:rsidRPr="00B32B10" w:rsidRDefault="0039078B" w:rsidP="00F03235">
            <w:pPr>
              <w:pStyle w:val="CETBodytext"/>
              <w:ind w:right="-1"/>
              <w:jc w:val="center"/>
              <w:rPr>
                <w:rFonts w:cs="Arial"/>
                <w:szCs w:val="18"/>
                <w:lang w:val="en-GB"/>
              </w:rPr>
            </w:pPr>
            <w:r w:rsidRPr="00B32B10">
              <w:rPr>
                <w:rFonts w:cs="Arial"/>
                <w:szCs w:val="18"/>
                <w:lang w:val="en-GB"/>
              </w:rPr>
              <w:t>EO</w:t>
            </w:r>
            <w:r w:rsidR="00955DCA" w:rsidRPr="00B32B10">
              <w:rPr>
                <w:rFonts w:cs="Arial"/>
                <w:szCs w:val="18"/>
                <w:lang w:val="en-GB"/>
              </w:rPr>
              <w:t>, water</w:t>
            </w:r>
          </w:p>
        </w:tc>
        <w:tc>
          <w:tcPr>
            <w:tcW w:w="1714" w:type="pct"/>
            <w:shd w:val="clear" w:color="auto" w:fill="FFFFFF"/>
            <w:vAlign w:val="center"/>
          </w:tcPr>
          <w:p w14:paraId="1C90E665" w14:textId="16D3038A" w:rsidR="00CC44BD" w:rsidRPr="00B32B10" w:rsidRDefault="00955DCA" w:rsidP="00F03235">
            <w:pPr>
              <w:pStyle w:val="CETBodytext"/>
              <w:ind w:right="-1"/>
              <w:jc w:val="center"/>
              <w:rPr>
                <w:rFonts w:cs="Arial"/>
                <w:szCs w:val="18"/>
                <w:lang w:val="en-GB"/>
              </w:rPr>
            </w:pPr>
            <w:r w:rsidRPr="00B32B10">
              <w:rPr>
                <w:rFonts w:cs="Arial"/>
                <w:szCs w:val="18"/>
                <w:lang w:val="en-GB"/>
              </w:rPr>
              <w:t xml:space="preserve">Railcar </w:t>
            </w:r>
            <w:r w:rsidR="00EB5B59" w:rsidRPr="00B32B10">
              <w:rPr>
                <w:rFonts w:cs="Arial"/>
                <w:szCs w:val="18"/>
                <w:lang w:val="en-GB"/>
              </w:rPr>
              <w:t>e</w:t>
            </w:r>
            <w:r w:rsidRPr="00B32B10">
              <w:rPr>
                <w:rFonts w:cs="Arial"/>
                <w:szCs w:val="18"/>
                <w:lang w:val="en-GB"/>
              </w:rPr>
              <w:t>xplosion</w:t>
            </w:r>
          </w:p>
        </w:tc>
        <w:tc>
          <w:tcPr>
            <w:tcW w:w="342" w:type="pct"/>
            <w:shd w:val="clear" w:color="auto" w:fill="FFFFFF"/>
            <w:vAlign w:val="center"/>
          </w:tcPr>
          <w:p w14:paraId="7DE36344" w14:textId="1264928C" w:rsidR="00CC44BD" w:rsidRPr="00B32B10" w:rsidRDefault="00F03235" w:rsidP="00F03235">
            <w:pPr>
              <w:pStyle w:val="CETBodytext"/>
              <w:ind w:right="-1"/>
              <w:jc w:val="center"/>
              <w:rPr>
                <w:rFonts w:cs="Arial"/>
                <w:szCs w:val="18"/>
                <w:lang w:val="en-GB"/>
              </w:rPr>
            </w:pPr>
            <w:r w:rsidRPr="00B32B10">
              <w:rPr>
                <w:rFonts w:cs="Arial"/>
                <w:szCs w:val="18"/>
                <w:lang w:val="en-GB"/>
              </w:rPr>
              <w:t>1962-2007</w:t>
            </w:r>
          </w:p>
        </w:tc>
        <w:tc>
          <w:tcPr>
            <w:tcW w:w="11" w:type="pct"/>
            <w:shd w:val="clear" w:color="auto" w:fill="FFFFFF"/>
            <w:vAlign w:val="center"/>
          </w:tcPr>
          <w:p w14:paraId="176418D9" w14:textId="3F0D4CE1" w:rsidR="00CC44BD" w:rsidRPr="00B32B10" w:rsidRDefault="00CC44BD" w:rsidP="00F03235">
            <w:pPr>
              <w:pStyle w:val="CETBodytext"/>
              <w:ind w:right="-1"/>
              <w:jc w:val="center"/>
              <w:rPr>
                <w:rFonts w:cs="Arial"/>
                <w:szCs w:val="18"/>
                <w:lang w:val="en-GB"/>
              </w:rPr>
            </w:pPr>
            <w:r w:rsidRPr="00B32B10">
              <w:rPr>
                <w:rFonts w:cs="Arial"/>
                <w:szCs w:val="18"/>
                <w:lang w:val="en-GB"/>
              </w:rPr>
              <w:t>16</w:t>
            </w:r>
          </w:p>
        </w:tc>
        <w:tc>
          <w:tcPr>
            <w:tcW w:w="603" w:type="pct"/>
            <w:shd w:val="clear" w:color="auto" w:fill="FFFFFF"/>
            <w:vAlign w:val="center"/>
          </w:tcPr>
          <w:p w14:paraId="6FFB65F2" w14:textId="255AAF48" w:rsidR="00CC44BD" w:rsidRPr="00B32B10" w:rsidRDefault="0039078B" w:rsidP="00F03235">
            <w:pPr>
              <w:pStyle w:val="CETBodytext"/>
              <w:ind w:right="-1"/>
              <w:jc w:val="center"/>
              <w:rPr>
                <w:rFonts w:cs="Arial"/>
                <w:szCs w:val="18"/>
                <w:lang w:val="en-GB"/>
              </w:rPr>
            </w:pPr>
            <w:r w:rsidRPr="00B32B10">
              <w:rPr>
                <w:rFonts w:cs="Arial"/>
                <w:szCs w:val="18"/>
                <w:lang w:val="en-GB"/>
              </w:rPr>
              <w:t>EO</w:t>
            </w:r>
          </w:p>
        </w:tc>
        <w:tc>
          <w:tcPr>
            <w:tcW w:w="1391" w:type="pct"/>
            <w:shd w:val="clear" w:color="auto" w:fill="FFFFFF"/>
            <w:vAlign w:val="center"/>
          </w:tcPr>
          <w:p w14:paraId="0E501F16" w14:textId="5C9E62EC" w:rsidR="00CC44BD" w:rsidRPr="00B32B10" w:rsidRDefault="00F03235" w:rsidP="00F03235">
            <w:pPr>
              <w:pStyle w:val="CETBodytext"/>
              <w:ind w:right="-1"/>
              <w:jc w:val="center"/>
              <w:rPr>
                <w:rFonts w:cs="Arial"/>
                <w:szCs w:val="18"/>
                <w:lang w:val="en-GB"/>
              </w:rPr>
            </w:pPr>
            <w:r w:rsidRPr="00B32B10">
              <w:rPr>
                <w:rFonts w:cs="Arial"/>
                <w:szCs w:val="18"/>
                <w:lang w:val="en-GB"/>
              </w:rPr>
              <w:t>Flange leak (EU)</w:t>
            </w:r>
          </w:p>
        </w:tc>
        <w:tc>
          <w:tcPr>
            <w:tcW w:w="228" w:type="pct"/>
            <w:shd w:val="clear" w:color="auto" w:fill="FFFFFF"/>
            <w:vAlign w:val="center"/>
          </w:tcPr>
          <w:p w14:paraId="3D8D4033" w14:textId="4BFF766E" w:rsidR="00CC44BD" w:rsidRPr="00B32B10" w:rsidRDefault="00F03235" w:rsidP="00F03235">
            <w:pPr>
              <w:pStyle w:val="CETBodytext"/>
              <w:ind w:right="-1"/>
              <w:jc w:val="center"/>
              <w:rPr>
                <w:rFonts w:cs="Arial"/>
                <w:szCs w:val="18"/>
                <w:lang w:val="en-GB"/>
              </w:rPr>
            </w:pPr>
            <w:r w:rsidRPr="00B32B10">
              <w:rPr>
                <w:rFonts w:cs="Arial"/>
                <w:szCs w:val="18"/>
                <w:lang w:val="en-GB"/>
              </w:rPr>
              <w:t>1962-2007</w:t>
            </w:r>
          </w:p>
        </w:tc>
      </w:tr>
      <w:tr w:rsidR="00F03235" w:rsidRPr="00B32B10" w14:paraId="54D01CD6" w14:textId="6EE4B90B" w:rsidTr="00F03235">
        <w:trPr>
          <w:jc w:val="center"/>
        </w:trPr>
        <w:tc>
          <w:tcPr>
            <w:tcW w:w="114" w:type="pct"/>
            <w:shd w:val="clear" w:color="auto" w:fill="FFFFFF"/>
            <w:vAlign w:val="center"/>
          </w:tcPr>
          <w:p w14:paraId="5DFF514D" w14:textId="26544B33" w:rsidR="00CC44BD" w:rsidRPr="00B32B10" w:rsidRDefault="00CC44BD" w:rsidP="00F03235">
            <w:pPr>
              <w:pStyle w:val="CETBodytext"/>
              <w:ind w:right="-1"/>
              <w:jc w:val="center"/>
              <w:rPr>
                <w:rFonts w:cs="Arial"/>
                <w:szCs w:val="18"/>
                <w:lang w:val="en-GB"/>
              </w:rPr>
            </w:pPr>
            <w:r w:rsidRPr="00B32B10">
              <w:rPr>
                <w:rFonts w:cs="Arial"/>
                <w:szCs w:val="18"/>
                <w:lang w:val="en-GB"/>
              </w:rPr>
              <w:t>7</w:t>
            </w:r>
          </w:p>
        </w:tc>
        <w:tc>
          <w:tcPr>
            <w:tcW w:w="597" w:type="pct"/>
            <w:shd w:val="clear" w:color="auto" w:fill="FFFFFF"/>
            <w:vAlign w:val="center"/>
          </w:tcPr>
          <w:p w14:paraId="26DEF18F" w14:textId="20CA2B30" w:rsidR="00CC44BD" w:rsidRPr="00B32B10" w:rsidRDefault="0039078B" w:rsidP="00F03235">
            <w:pPr>
              <w:pStyle w:val="CETBodytext"/>
              <w:ind w:right="-1"/>
              <w:jc w:val="center"/>
              <w:rPr>
                <w:rFonts w:cs="Arial"/>
                <w:szCs w:val="18"/>
                <w:lang w:val="en-GB"/>
              </w:rPr>
            </w:pPr>
            <w:r w:rsidRPr="00B32B10">
              <w:rPr>
                <w:rFonts w:cs="Arial"/>
                <w:szCs w:val="18"/>
                <w:lang w:val="en-GB"/>
              </w:rPr>
              <w:t>EO</w:t>
            </w:r>
            <w:r w:rsidR="00EB5B59" w:rsidRPr="00B32B10">
              <w:rPr>
                <w:rFonts w:cs="Arial"/>
                <w:szCs w:val="18"/>
                <w:lang w:val="en-GB"/>
              </w:rPr>
              <w:t>, clay</w:t>
            </w:r>
          </w:p>
        </w:tc>
        <w:tc>
          <w:tcPr>
            <w:tcW w:w="1714" w:type="pct"/>
            <w:shd w:val="clear" w:color="auto" w:fill="FFFFFF"/>
            <w:vAlign w:val="center"/>
          </w:tcPr>
          <w:p w14:paraId="51E5B4B8" w14:textId="5E21383D" w:rsidR="00CC44BD" w:rsidRPr="00B32B10" w:rsidRDefault="00EB5B59" w:rsidP="00F03235">
            <w:pPr>
              <w:pStyle w:val="CETBodytext"/>
              <w:ind w:right="-1"/>
              <w:jc w:val="center"/>
              <w:rPr>
                <w:rFonts w:cs="Arial"/>
                <w:szCs w:val="18"/>
                <w:lang w:val="en-GB"/>
              </w:rPr>
            </w:pPr>
            <w:r w:rsidRPr="00B32B10">
              <w:rPr>
                <w:rFonts w:cs="Arial"/>
                <w:szCs w:val="18"/>
                <w:lang w:val="en-GB"/>
              </w:rPr>
              <w:t>Railcar contamination and explosion (EU)</w:t>
            </w:r>
          </w:p>
        </w:tc>
        <w:tc>
          <w:tcPr>
            <w:tcW w:w="342" w:type="pct"/>
            <w:shd w:val="clear" w:color="auto" w:fill="FFFFFF"/>
            <w:vAlign w:val="center"/>
          </w:tcPr>
          <w:p w14:paraId="7452D267" w14:textId="6CFF0208" w:rsidR="00CC44BD" w:rsidRPr="00B32B10" w:rsidRDefault="00F03235" w:rsidP="00F03235">
            <w:pPr>
              <w:pStyle w:val="CETBodytext"/>
              <w:ind w:right="-1"/>
              <w:jc w:val="center"/>
              <w:rPr>
                <w:rFonts w:cs="Arial"/>
                <w:szCs w:val="18"/>
                <w:lang w:val="en-GB"/>
              </w:rPr>
            </w:pPr>
            <w:r w:rsidRPr="00B32B10">
              <w:rPr>
                <w:rFonts w:cs="Arial"/>
                <w:szCs w:val="18"/>
                <w:lang w:val="en-GB"/>
              </w:rPr>
              <w:t>1962-2007</w:t>
            </w:r>
          </w:p>
        </w:tc>
        <w:tc>
          <w:tcPr>
            <w:tcW w:w="11" w:type="pct"/>
            <w:shd w:val="clear" w:color="auto" w:fill="FFFFFF"/>
            <w:vAlign w:val="center"/>
          </w:tcPr>
          <w:p w14:paraId="285EB846" w14:textId="685A5861" w:rsidR="00CC44BD" w:rsidRPr="00B32B10" w:rsidRDefault="00CC44BD" w:rsidP="00F03235">
            <w:pPr>
              <w:pStyle w:val="CETBodytext"/>
              <w:ind w:right="-1"/>
              <w:jc w:val="center"/>
              <w:rPr>
                <w:rFonts w:cs="Arial"/>
                <w:szCs w:val="18"/>
                <w:lang w:val="en-GB"/>
              </w:rPr>
            </w:pPr>
            <w:r w:rsidRPr="00B32B10">
              <w:rPr>
                <w:rFonts w:cs="Arial"/>
                <w:szCs w:val="18"/>
                <w:lang w:val="en-GB"/>
              </w:rPr>
              <w:t>17</w:t>
            </w:r>
          </w:p>
        </w:tc>
        <w:tc>
          <w:tcPr>
            <w:tcW w:w="603" w:type="pct"/>
            <w:shd w:val="clear" w:color="auto" w:fill="FFFFFF"/>
            <w:vAlign w:val="center"/>
          </w:tcPr>
          <w:p w14:paraId="2A928DC9" w14:textId="09136472" w:rsidR="00CC44BD" w:rsidRPr="00B32B10" w:rsidRDefault="0039078B" w:rsidP="00F03235">
            <w:pPr>
              <w:pStyle w:val="CETBodytext"/>
              <w:ind w:right="-1"/>
              <w:jc w:val="center"/>
              <w:rPr>
                <w:rFonts w:cs="Arial"/>
                <w:szCs w:val="18"/>
                <w:lang w:val="en-GB"/>
              </w:rPr>
            </w:pPr>
            <w:r w:rsidRPr="00B32B10">
              <w:rPr>
                <w:rFonts w:cs="Arial"/>
                <w:szCs w:val="18"/>
                <w:lang w:val="en-GB"/>
              </w:rPr>
              <w:t>EO</w:t>
            </w:r>
          </w:p>
        </w:tc>
        <w:tc>
          <w:tcPr>
            <w:tcW w:w="1391" w:type="pct"/>
            <w:shd w:val="clear" w:color="auto" w:fill="FFFFFF"/>
            <w:vAlign w:val="center"/>
          </w:tcPr>
          <w:p w14:paraId="547148D1" w14:textId="5F5D7ADD" w:rsidR="00CC44BD" w:rsidRPr="00B32B10" w:rsidRDefault="00EB5B59" w:rsidP="00F03235">
            <w:pPr>
              <w:pStyle w:val="CETBodytext"/>
              <w:ind w:right="-1"/>
              <w:jc w:val="center"/>
              <w:rPr>
                <w:rFonts w:cs="Arial"/>
                <w:szCs w:val="18"/>
                <w:lang w:val="en-GB"/>
              </w:rPr>
            </w:pPr>
            <w:proofErr w:type="spellStart"/>
            <w:r w:rsidRPr="00B32B10">
              <w:rPr>
                <w:rFonts w:cs="Arial"/>
                <w:szCs w:val="18"/>
                <w:lang w:val="en-GB"/>
              </w:rPr>
              <w:t>Sterigenics</w:t>
            </w:r>
            <w:proofErr w:type="spellEnd"/>
            <w:r w:rsidRPr="00B32B10">
              <w:rPr>
                <w:rFonts w:cs="Arial"/>
                <w:szCs w:val="18"/>
                <w:lang w:val="en-GB"/>
              </w:rPr>
              <w:t>, Ontario (US)</w:t>
            </w:r>
          </w:p>
        </w:tc>
        <w:tc>
          <w:tcPr>
            <w:tcW w:w="228" w:type="pct"/>
            <w:shd w:val="clear" w:color="auto" w:fill="FFFFFF"/>
            <w:vAlign w:val="center"/>
          </w:tcPr>
          <w:p w14:paraId="579BD700" w14:textId="2E07064B" w:rsidR="00CC44BD" w:rsidRPr="00B32B10" w:rsidRDefault="00EB5B59" w:rsidP="00F03235">
            <w:pPr>
              <w:pStyle w:val="CETBodytext"/>
              <w:ind w:right="-1"/>
              <w:jc w:val="center"/>
              <w:rPr>
                <w:rFonts w:cs="Arial"/>
                <w:szCs w:val="18"/>
                <w:lang w:val="en-GB"/>
              </w:rPr>
            </w:pPr>
            <w:r w:rsidRPr="00B32B10">
              <w:rPr>
                <w:rFonts w:cs="Arial"/>
                <w:szCs w:val="18"/>
                <w:lang w:val="en-GB"/>
              </w:rPr>
              <w:t>2004</w:t>
            </w:r>
          </w:p>
        </w:tc>
      </w:tr>
      <w:tr w:rsidR="00F03235" w:rsidRPr="00B32B10" w14:paraId="512FD346" w14:textId="10940C85" w:rsidTr="00F03235">
        <w:trPr>
          <w:jc w:val="center"/>
        </w:trPr>
        <w:tc>
          <w:tcPr>
            <w:tcW w:w="114" w:type="pct"/>
            <w:shd w:val="clear" w:color="auto" w:fill="FFFFFF"/>
            <w:vAlign w:val="center"/>
          </w:tcPr>
          <w:p w14:paraId="5F780FFC" w14:textId="0EC4AA1D" w:rsidR="00CC44BD" w:rsidRPr="00B32B10" w:rsidRDefault="00CC44BD" w:rsidP="00F03235">
            <w:pPr>
              <w:pStyle w:val="CETBodytext"/>
              <w:ind w:right="-1"/>
              <w:jc w:val="center"/>
              <w:rPr>
                <w:rFonts w:cs="Arial"/>
                <w:szCs w:val="18"/>
                <w:lang w:val="en-GB"/>
              </w:rPr>
            </w:pPr>
            <w:r w:rsidRPr="00B32B10">
              <w:rPr>
                <w:rFonts w:cs="Arial"/>
                <w:szCs w:val="18"/>
                <w:lang w:val="en-GB"/>
              </w:rPr>
              <w:t>8</w:t>
            </w:r>
          </w:p>
        </w:tc>
        <w:tc>
          <w:tcPr>
            <w:tcW w:w="597" w:type="pct"/>
            <w:shd w:val="clear" w:color="auto" w:fill="FFFFFF"/>
            <w:vAlign w:val="center"/>
          </w:tcPr>
          <w:p w14:paraId="1C0A2DFC" w14:textId="3CD3E0F0" w:rsidR="00CC44BD" w:rsidRPr="00B32B10" w:rsidRDefault="0039078B" w:rsidP="00F03235">
            <w:pPr>
              <w:pStyle w:val="CETBodytext"/>
              <w:ind w:right="-1"/>
              <w:jc w:val="center"/>
              <w:rPr>
                <w:rFonts w:cs="Arial"/>
                <w:szCs w:val="18"/>
                <w:lang w:val="en-GB"/>
              </w:rPr>
            </w:pPr>
            <w:r w:rsidRPr="00B32B10">
              <w:rPr>
                <w:rFonts w:cs="Arial"/>
                <w:szCs w:val="18"/>
                <w:lang w:val="en-GB"/>
              </w:rPr>
              <w:t>EO</w:t>
            </w:r>
            <w:r w:rsidR="00EB5B59" w:rsidRPr="00B32B10">
              <w:rPr>
                <w:rFonts w:cs="Arial"/>
                <w:szCs w:val="18"/>
                <w:lang w:val="en-GB"/>
              </w:rPr>
              <w:t>, water</w:t>
            </w:r>
          </w:p>
        </w:tc>
        <w:tc>
          <w:tcPr>
            <w:tcW w:w="1714" w:type="pct"/>
            <w:shd w:val="clear" w:color="auto" w:fill="FFFFFF"/>
            <w:vAlign w:val="center"/>
          </w:tcPr>
          <w:p w14:paraId="4D92E48D" w14:textId="3B77540D" w:rsidR="00CC44BD" w:rsidRPr="00B32B10" w:rsidRDefault="00EB5B59" w:rsidP="00F03235">
            <w:pPr>
              <w:pStyle w:val="CETBodytext"/>
              <w:ind w:right="-1"/>
              <w:jc w:val="center"/>
              <w:rPr>
                <w:rFonts w:cs="Arial"/>
                <w:szCs w:val="18"/>
                <w:lang w:val="en-GB"/>
              </w:rPr>
            </w:pPr>
            <w:r w:rsidRPr="00B32B10">
              <w:rPr>
                <w:rFonts w:cs="Arial"/>
                <w:szCs w:val="18"/>
                <w:lang w:val="en-GB"/>
              </w:rPr>
              <w:t>Railcar contamination and explosion (US)</w:t>
            </w:r>
          </w:p>
        </w:tc>
        <w:tc>
          <w:tcPr>
            <w:tcW w:w="342" w:type="pct"/>
            <w:shd w:val="clear" w:color="auto" w:fill="FFFFFF"/>
            <w:vAlign w:val="center"/>
          </w:tcPr>
          <w:p w14:paraId="1756E46B" w14:textId="332F4CD1" w:rsidR="00CC44BD" w:rsidRPr="00B32B10" w:rsidRDefault="00EB5B59" w:rsidP="00F03235">
            <w:pPr>
              <w:pStyle w:val="CETBodytext"/>
              <w:ind w:right="-1"/>
              <w:jc w:val="center"/>
              <w:rPr>
                <w:rFonts w:cs="Arial"/>
                <w:szCs w:val="18"/>
                <w:lang w:val="en-GB"/>
              </w:rPr>
            </w:pPr>
            <w:r w:rsidRPr="00B32B10">
              <w:rPr>
                <w:rFonts w:cs="Arial"/>
                <w:szCs w:val="18"/>
                <w:lang w:val="en-GB"/>
              </w:rPr>
              <w:t>1973</w:t>
            </w:r>
          </w:p>
        </w:tc>
        <w:tc>
          <w:tcPr>
            <w:tcW w:w="11" w:type="pct"/>
            <w:shd w:val="clear" w:color="auto" w:fill="FFFFFF"/>
            <w:vAlign w:val="center"/>
          </w:tcPr>
          <w:p w14:paraId="7B85A5A0" w14:textId="519E3D47" w:rsidR="00CC44BD" w:rsidRPr="00B32B10" w:rsidRDefault="00CC44BD" w:rsidP="00F03235">
            <w:pPr>
              <w:pStyle w:val="CETBodytext"/>
              <w:ind w:right="-1"/>
              <w:jc w:val="center"/>
              <w:rPr>
                <w:rFonts w:cs="Arial"/>
                <w:szCs w:val="18"/>
                <w:lang w:val="en-GB"/>
              </w:rPr>
            </w:pPr>
            <w:r w:rsidRPr="00B32B10">
              <w:rPr>
                <w:rFonts w:cs="Arial"/>
                <w:szCs w:val="18"/>
                <w:lang w:val="en-GB"/>
              </w:rPr>
              <w:t>18</w:t>
            </w:r>
          </w:p>
        </w:tc>
        <w:tc>
          <w:tcPr>
            <w:tcW w:w="603" w:type="pct"/>
            <w:shd w:val="clear" w:color="auto" w:fill="FFFFFF"/>
            <w:vAlign w:val="center"/>
          </w:tcPr>
          <w:p w14:paraId="2AD24CF8" w14:textId="4801134C" w:rsidR="00CC44BD" w:rsidRPr="00B32B10" w:rsidRDefault="0039078B" w:rsidP="00F03235">
            <w:pPr>
              <w:pStyle w:val="CETBodytext"/>
              <w:ind w:right="-1"/>
              <w:jc w:val="center"/>
              <w:rPr>
                <w:rFonts w:cs="Arial"/>
                <w:szCs w:val="18"/>
                <w:lang w:val="en-GB"/>
              </w:rPr>
            </w:pPr>
            <w:r w:rsidRPr="00B32B10">
              <w:rPr>
                <w:rFonts w:cs="Arial"/>
                <w:szCs w:val="18"/>
                <w:lang w:val="en-GB"/>
              </w:rPr>
              <w:t>EO</w:t>
            </w:r>
          </w:p>
        </w:tc>
        <w:tc>
          <w:tcPr>
            <w:tcW w:w="1391" w:type="pct"/>
            <w:shd w:val="clear" w:color="auto" w:fill="FFFFFF"/>
            <w:vAlign w:val="center"/>
          </w:tcPr>
          <w:p w14:paraId="31498583" w14:textId="774837B8" w:rsidR="00CC44BD" w:rsidRPr="00B32B10" w:rsidRDefault="00EB5B59" w:rsidP="00F03235">
            <w:pPr>
              <w:pStyle w:val="CETBodytext"/>
              <w:ind w:right="-1"/>
              <w:jc w:val="center"/>
              <w:rPr>
                <w:rFonts w:cs="Arial"/>
                <w:szCs w:val="18"/>
                <w:lang w:val="en-GB"/>
              </w:rPr>
            </w:pPr>
            <w:r w:rsidRPr="00B32B10">
              <w:rPr>
                <w:rFonts w:cs="Arial"/>
                <w:szCs w:val="18"/>
                <w:lang w:val="en-GB"/>
              </w:rPr>
              <w:t>IQOXE Plant, Tarragon</w:t>
            </w:r>
            <w:r w:rsidR="00AA12C3" w:rsidRPr="00B32B10">
              <w:rPr>
                <w:rFonts w:cs="Arial"/>
                <w:szCs w:val="18"/>
                <w:lang w:val="en-GB"/>
              </w:rPr>
              <w:t>a</w:t>
            </w:r>
            <w:r w:rsidRPr="00B32B10">
              <w:rPr>
                <w:rFonts w:cs="Arial"/>
                <w:szCs w:val="18"/>
                <w:lang w:val="en-GB"/>
              </w:rPr>
              <w:t xml:space="preserve"> (ES)</w:t>
            </w:r>
          </w:p>
        </w:tc>
        <w:tc>
          <w:tcPr>
            <w:tcW w:w="228" w:type="pct"/>
            <w:shd w:val="clear" w:color="auto" w:fill="FFFFFF"/>
            <w:vAlign w:val="center"/>
          </w:tcPr>
          <w:p w14:paraId="1AB104EA" w14:textId="7460CF43" w:rsidR="00CC44BD" w:rsidRPr="00B32B10" w:rsidRDefault="00EB5B59" w:rsidP="00F03235">
            <w:pPr>
              <w:pStyle w:val="CETBodytext"/>
              <w:ind w:right="-1"/>
              <w:jc w:val="center"/>
              <w:rPr>
                <w:rFonts w:cs="Arial"/>
                <w:szCs w:val="18"/>
                <w:lang w:val="en-GB"/>
              </w:rPr>
            </w:pPr>
            <w:r w:rsidRPr="00B32B10">
              <w:rPr>
                <w:rFonts w:cs="Arial"/>
                <w:szCs w:val="18"/>
                <w:lang w:val="en-GB"/>
              </w:rPr>
              <w:t>2020</w:t>
            </w:r>
          </w:p>
        </w:tc>
      </w:tr>
      <w:tr w:rsidR="00F03235" w:rsidRPr="00B32B10" w14:paraId="43719DDD" w14:textId="14163A23" w:rsidTr="00F03235">
        <w:trPr>
          <w:jc w:val="center"/>
        </w:trPr>
        <w:tc>
          <w:tcPr>
            <w:tcW w:w="114" w:type="pct"/>
            <w:shd w:val="clear" w:color="auto" w:fill="FFFFFF"/>
            <w:vAlign w:val="center"/>
          </w:tcPr>
          <w:p w14:paraId="7720D7AE" w14:textId="29BEDB6D" w:rsidR="00CC44BD" w:rsidRPr="00B32B10" w:rsidRDefault="00CC44BD" w:rsidP="00F03235">
            <w:pPr>
              <w:pStyle w:val="CETBodytext"/>
              <w:ind w:right="-1"/>
              <w:jc w:val="center"/>
              <w:rPr>
                <w:rFonts w:cs="Arial"/>
                <w:szCs w:val="18"/>
                <w:lang w:val="en-GB"/>
              </w:rPr>
            </w:pPr>
            <w:r w:rsidRPr="00B32B10">
              <w:rPr>
                <w:rFonts w:cs="Arial"/>
                <w:szCs w:val="18"/>
                <w:lang w:val="en-GB"/>
              </w:rPr>
              <w:t>9</w:t>
            </w:r>
          </w:p>
        </w:tc>
        <w:tc>
          <w:tcPr>
            <w:tcW w:w="597" w:type="pct"/>
            <w:shd w:val="clear" w:color="auto" w:fill="FFFFFF"/>
            <w:vAlign w:val="center"/>
          </w:tcPr>
          <w:p w14:paraId="41FF134A" w14:textId="79F3D179" w:rsidR="00CC44BD" w:rsidRPr="00B32B10" w:rsidRDefault="0039078B" w:rsidP="00F03235">
            <w:pPr>
              <w:pStyle w:val="CETBodytext"/>
              <w:ind w:right="-1"/>
              <w:jc w:val="center"/>
              <w:rPr>
                <w:rFonts w:cs="Arial"/>
                <w:szCs w:val="18"/>
                <w:lang w:val="en-GB"/>
              </w:rPr>
            </w:pPr>
            <w:r w:rsidRPr="00B32B10">
              <w:rPr>
                <w:rFonts w:cs="Arial"/>
                <w:szCs w:val="18"/>
                <w:lang w:val="en-GB"/>
              </w:rPr>
              <w:t>EO</w:t>
            </w:r>
          </w:p>
        </w:tc>
        <w:tc>
          <w:tcPr>
            <w:tcW w:w="1714" w:type="pct"/>
            <w:shd w:val="clear" w:color="auto" w:fill="FFFFFF"/>
            <w:vAlign w:val="center"/>
          </w:tcPr>
          <w:p w14:paraId="7193D911" w14:textId="3301E330" w:rsidR="00CC44BD" w:rsidRPr="00B32B10" w:rsidRDefault="00EB5B59" w:rsidP="00F03235">
            <w:pPr>
              <w:pStyle w:val="CETBodytext"/>
              <w:ind w:right="-1"/>
              <w:jc w:val="center"/>
              <w:rPr>
                <w:rFonts w:cs="Arial"/>
                <w:szCs w:val="18"/>
                <w:lang w:val="en-GB"/>
              </w:rPr>
            </w:pPr>
            <w:r w:rsidRPr="00B32B10">
              <w:rPr>
                <w:rFonts w:cs="Arial"/>
                <w:szCs w:val="18"/>
                <w:lang w:val="en-GB"/>
              </w:rPr>
              <w:t>Contamination (EU)</w:t>
            </w:r>
          </w:p>
        </w:tc>
        <w:tc>
          <w:tcPr>
            <w:tcW w:w="342" w:type="pct"/>
            <w:shd w:val="clear" w:color="auto" w:fill="FFFFFF"/>
            <w:vAlign w:val="center"/>
          </w:tcPr>
          <w:p w14:paraId="4FFB638D" w14:textId="62139631" w:rsidR="00CC44BD" w:rsidRPr="00B32B10" w:rsidRDefault="00F03235" w:rsidP="00F03235">
            <w:pPr>
              <w:pStyle w:val="CETBodytext"/>
              <w:ind w:right="-1"/>
              <w:jc w:val="center"/>
              <w:rPr>
                <w:rFonts w:cs="Arial"/>
                <w:szCs w:val="18"/>
                <w:lang w:val="en-GB"/>
              </w:rPr>
            </w:pPr>
            <w:r w:rsidRPr="00B32B10">
              <w:rPr>
                <w:rFonts w:cs="Arial"/>
                <w:szCs w:val="18"/>
                <w:lang w:val="en-GB"/>
              </w:rPr>
              <w:t>1962-2007</w:t>
            </w:r>
          </w:p>
        </w:tc>
        <w:tc>
          <w:tcPr>
            <w:tcW w:w="11" w:type="pct"/>
            <w:shd w:val="clear" w:color="auto" w:fill="FFFFFF"/>
            <w:vAlign w:val="center"/>
          </w:tcPr>
          <w:p w14:paraId="7A26F428" w14:textId="5BAD5912" w:rsidR="00CC44BD" w:rsidRPr="00B32B10" w:rsidRDefault="00CC44BD" w:rsidP="00F03235">
            <w:pPr>
              <w:pStyle w:val="CETBodytext"/>
              <w:ind w:right="-1"/>
              <w:jc w:val="center"/>
              <w:rPr>
                <w:rFonts w:cs="Arial"/>
                <w:szCs w:val="18"/>
                <w:lang w:val="en-GB"/>
              </w:rPr>
            </w:pPr>
            <w:r w:rsidRPr="00B32B10">
              <w:rPr>
                <w:rFonts w:cs="Arial"/>
                <w:szCs w:val="18"/>
                <w:lang w:val="en-GB"/>
              </w:rPr>
              <w:t>19</w:t>
            </w:r>
          </w:p>
        </w:tc>
        <w:tc>
          <w:tcPr>
            <w:tcW w:w="603" w:type="pct"/>
            <w:shd w:val="clear" w:color="auto" w:fill="FFFFFF"/>
            <w:vAlign w:val="center"/>
          </w:tcPr>
          <w:p w14:paraId="7B91E1D1" w14:textId="450E8D48" w:rsidR="00CC44BD" w:rsidRPr="00B32B10" w:rsidRDefault="00955DCA" w:rsidP="00F03235">
            <w:pPr>
              <w:pStyle w:val="CETBodytext"/>
              <w:ind w:right="-1"/>
              <w:jc w:val="center"/>
              <w:rPr>
                <w:rFonts w:cs="Arial"/>
                <w:szCs w:val="18"/>
                <w:lang w:val="en-GB"/>
              </w:rPr>
            </w:pPr>
            <w:r w:rsidRPr="00B32B10">
              <w:rPr>
                <w:rFonts w:cs="Arial"/>
                <w:szCs w:val="18"/>
                <w:lang w:val="en-GB"/>
              </w:rPr>
              <w:t>Methyl acrylate</w:t>
            </w:r>
          </w:p>
        </w:tc>
        <w:tc>
          <w:tcPr>
            <w:tcW w:w="1391" w:type="pct"/>
            <w:shd w:val="clear" w:color="auto" w:fill="FFFFFF"/>
            <w:vAlign w:val="center"/>
          </w:tcPr>
          <w:p w14:paraId="7B8F7B38" w14:textId="7CD0144B" w:rsidR="00CC44BD" w:rsidRPr="00B32B10" w:rsidRDefault="0039078B" w:rsidP="00F03235">
            <w:pPr>
              <w:pStyle w:val="CETBodytext"/>
              <w:ind w:right="-1"/>
              <w:jc w:val="center"/>
              <w:rPr>
                <w:rFonts w:cs="Arial"/>
                <w:szCs w:val="18"/>
                <w:lang w:val="en-GB"/>
              </w:rPr>
            </w:pPr>
            <w:r w:rsidRPr="00B32B10">
              <w:rPr>
                <w:rFonts w:cs="Arial"/>
                <w:szCs w:val="18"/>
                <w:lang w:val="en-GB"/>
              </w:rPr>
              <w:t>Fu-Kao Chemical Plant</w:t>
            </w:r>
          </w:p>
        </w:tc>
        <w:tc>
          <w:tcPr>
            <w:tcW w:w="228" w:type="pct"/>
            <w:shd w:val="clear" w:color="auto" w:fill="FFFFFF"/>
            <w:vAlign w:val="center"/>
          </w:tcPr>
          <w:p w14:paraId="33C0FBE0" w14:textId="2F773DB7" w:rsidR="00CC44BD" w:rsidRPr="00B32B10" w:rsidRDefault="00955DCA" w:rsidP="00F03235">
            <w:pPr>
              <w:pStyle w:val="CETBodytext"/>
              <w:ind w:right="-1"/>
              <w:jc w:val="center"/>
              <w:rPr>
                <w:rFonts w:cs="Arial"/>
                <w:szCs w:val="18"/>
                <w:lang w:val="en-GB"/>
              </w:rPr>
            </w:pPr>
            <w:r w:rsidRPr="00B32B10">
              <w:rPr>
                <w:rFonts w:cs="Arial"/>
                <w:szCs w:val="18"/>
                <w:lang w:val="en-GB"/>
              </w:rPr>
              <w:t>2001</w:t>
            </w:r>
          </w:p>
        </w:tc>
      </w:tr>
      <w:tr w:rsidR="00F03235" w:rsidRPr="00B32B10" w14:paraId="0D662483" w14:textId="0D8B8BD5" w:rsidTr="00F03235">
        <w:trPr>
          <w:jc w:val="center"/>
        </w:trPr>
        <w:tc>
          <w:tcPr>
            <w:tcW w:w="114" w:type="pct"/>
            <w:shd w:val="clear" w:color="auto" w:fill="FFFFFF"/>
            <w:vAlign w:val="center"/>
          </w:tcPr>
          <w:p w14:paraId="48F108C9" w14:textId="4CE56A4E" w:rsidR="00CC44BD" w:rsidRPr="00B32B10" w:rsidRDefault="00CC44BD" w:rsidP="00F03235">
            <w:pPr>
              <w:pStyle w:val="CETBodytext"/>
              <w:ind w:right="-1"/>
              <w:jc w:val="center"/>
              <w:rPr>
                <w:rFonts w:cs="Arial"/>
                <w:szCs w:val="18"/>
                <w:lang w:val="en-GB"/>
              </w:rPr>
            </w:pPr>
            <w:r w:rsidRPr="00B32B10">
              <w:rPr>
                <w:rFonts w:cs="Arial"/>
                <w:szCs w:val="18"/>
                <w:lang w:val="en-GB"/>
              </w:rPr>
              <w:t>10</w:t>
            </w:r>
          </w:p>
        </w:tc>
        <w:tc>
          <w:tcPr>
            <w:tcW w:w="597" w:type="pct"/>
            <w:shd w:val="clear" w:color="auto" w:fill="FFFFFF"/>
            <w:vAlign w:val="center"/>
          </w:tcPr>
          <w:p w14:paraId="61EAD1DF" w14:textId="19B819F4" w:rsidR="00CC44BD" w:rsidRPr="00B32B10" w:rsidRDefault="0039078B" w:rsidP="00F03235">
            <w:pPr>
              <w:pStyle w:val="CETBodytext"/>
              <w:ind w:right="-1"/>
              <w:jc w:val="center"/>
              <w:rPr>
                <w:rFonts w:cs="Arial"/>
                <w:szCs w:val="18"/>
                <w:lang w:val="en-GB"/>
              </w:rPr>
            </w:pPr>
            <w:r w:rsidRPr="00B32B10">
              <w:rPr>
                <w:rFonts w:cs="Arial"/>
                <w:szCs w:val="18"/>
                <w:lang w:val="en-GB"/>
              </w:rPr>
              <w:t>EO</w:t>
            </w:r>
          </w:p>
        </w:tc>
        <w:tc>
          <w:tcPr>
            <w:tcW w:w="1714" w:type="pct"/>
            <w:shd w:val="clear" w:color="auto" w:fill="FFFFFF"/>
            <w:vAlign w:val="center"/>
          </w:tcPr>
          <w:p w14:paraId="08824376" w14:textId="5A60255B" w:rsidR="00CC44BD" w:rsidRPr="00B32B10" w:rsidRDefault="00F03235" w:rsidP="00F03235">
            <w:pPr>
              <w:pStyle w:val="CETBodytext"/>
              <w:ind w:right="-1"/>
              <w:jc w:val="center"/>
              <w:rPr>
                <w:rFonts w:cs="Arial"/>
                <w:szCs w:val="18"/>
                <w:lang w:val="en-GB"/>
              </w:rPr>
            </w:pPr>
            <w:r w:rsidRPr="00B32B10">
              <w:rPr>
                <w:rFonts w:cs="Arial"/>
                <w:szCs w:val="18"/>
                <w:lang w:val="en-GB"/>
              </w:rPr>
              <w:t>Ethoxylation plant explosion</w:t>
            </w:r>
          </w:p>
        </w:tc>
        <w:tc>
          <w:tcPr>
            <w:tcW w:w="342" w:type="pct"/>
            <w:shd w:val="clear" w:color="auto" w:fill="FFFFFF"/>
            <w:vAlign w:val="center"/>
          </w:tcPr>
          <w:p w14:paraId="0862CB7B" w14:textId="553B7195" w:rsidR="00CC44BD" w:rsidRPr="00B32B10" w:rsidRDefault="00F03235" w:rsidP="00F03235">
            <w:pPr>
              <w:pStyle w:val="CETBodytext"/>
              <w:ind w:right="-1"/>
              <w:jc w:val="center"/>
              <w:rPr>
                <w:rFonts w:cs="Arial"/>
                <w:szCs w:val="18"/>
                <w:lang w:val="en-GB"/>
              </w:rPr>
            </w:pPr>
            <w:r w:rsidRPr="00B32B10">
              <w:rPr>
                <w:rFonts w:cs="Arial"/>
                <w:szCs w:val="18"/>
                <w:lang w:val="en-GB"/>
              </w:rPr>
              <w:t>1962-2007</w:t>
            </w:r>
          </w:p>
        </w:tc>
        <w:tc>
          <w:tcPr>
            <w:tcW w:w="11" w:type="pct"/>
            <w:shd w:val="clear" w:color="auto" w:fill="FFFFFF"/>
            <w:vAlign w:val="center"/>
          </w:tcPr>
          <w:p w14:paraId="5124D758" w14:textId="77777777" w:rsidR="00CC44BD" w:rsidRPr="00B32B10" w:rsidRDefault="00CC44BD" w:rsidP="00F03235">
            <w:pPr>
              <w:pStyle w:val="CETBodytext"/>
              <w:ind w:right="-1"/>
              <w:jc w:val="center"/>
              <w:rPr>
                <w:rFonts w:cs="Arial"/>
                <w:szCs w:val="18"/>
                <w:lang w:val="en-GB"/>
              </w:rPr>
            </w:pPr>
          </w:p>
        </w:tc>
        <w:tc>
          <w:tcPr>
            <w:tcW w:w="603" w:type="pct"/>
            <w:shd w:val="clear" w:color="auto" w:fill="FFFFFF"/>
            <w:vAlign w:val="center"/>
          </w:tcPr>
          <w:p w14:paraId="23327704" w14:textId="77777777" w:rsidR="00CC44BD" w:rsidRPr="00B32B10" w:rsidRDefault="00CC44BD" w:rsidP="00F03235">
            <w:pPr>
              <w:pStyle w:val="CETBodytext"/>
              <w:ind w:right="-1"/>
              <w:jc w:val="center"/>
              <w:rPr>
                <w:rFonts w:cs="Arial"/>
                <w:szCs w:val="18"/>
                <w:lang w:val="en-GB"/>
              </w:rPr>
            </w:pPr>
          </w:p>
        </w:tc>
        <w:tc>
          <w:tcPr>
            <w:tcW w:w="1391" w:type="pct"/>
            <w:shd w:val="clear" w:color="auto" w:fill="FFFFFF"/>
            <w:vAlign w:val="center"/>
          </w:tcPr>
          <w:p w14:paraId="52EB4DFD" w14:textId="77777777" w:rsidR="00CC44BD" w:rsidRPr="00B32B10" w:rsidRDefault="00CC44BD" w:rsidP="00F03235">
            <w:pPr>
              <w:pStyle w:val="CETBodytext"/>
              <w:ind w:right="-1"/>
              <w:jc w:val="center"/>
              <w:rPr>
                <w:rFonts w:cs="Arial"/>
                <w:szCs w:val="18"/>
                <w:lang w:val="en-GB"/>
              </w:rPr>
            </w:pPr>
          </w:p>
        </w:tc>
        <w:tc>
          <w:tcPr>
            <w:tcW w:w="228" w:type="pct"/>
            <w:shd w:val="clear" w:color="auto" w:fill="FFFFFF"/>
            <w:vAlign w:val="center"/>
          </w:tcPr>
          <w:p w14:paraId="3D801A7C" w14:textId="77777777" w:rsidR="00CC44BD" w:rsidRPr="00B32B10" w:rsidRDefault="00CC44BD" w:rsidP="00F03235">
            <w:pPr>
              <w:pStyle w:val="CETBodytext"/>
              <w:ind w:right="-1"/>
              <w:jc w:val="center"/>
              <w:rPr>
                <w:rFonts w:cs="Arial"/>
                <w:szCs w:val="18"/>
                <w:lang w:val="en-GB"/>
              </w:rPr>
            </w:pPr>
          </w:p>
        </w:tc>
      </w:tr>
    </w:tbl>
    <w:p w14:paraId="74CD418B" w14:textId="77777777" w:rsidR="00CC44BD" w:rsidRPr="00B32B10" w:rsidRDefault="00CC44BD" w:rsidP="00453E24">
      <w:pPr>
        <w:pStyle w:val="CETBodytext"/>
      </w:pPr>
    </w:p>
    <w:p w14:paraId="3D704926" w14:textId="77777777" w:rsidR="001E6311" w:rsidRPr="00B32B10" w:rsidRDefault="001E6311" w:rsidP="001E6311">
      <w:pPr>
        <w:pStyle w:val="CETBodytext"/>
        <w:rPr>
          <w:lang w:val="en-GB"/>
        </w:rPr>
      </w:pPr>
      <w:r w:rsidRPr="00B32B10">
        <w:rPr>
          <w:lang w:val="en-GB"/>
        </w:rPr>
        <w:lastRenderedPageBreak/>
        <w:t xml:space="preserve">19 accidents involving Ethylene Oxide and acrylates have been randomly chosen from available databases, with 5 accidents involving acrylates, and 14 accidents involving ethylene oxide. </w:t>
      </w:r>
    </w:p>
    <w:p w14:paraId="17B3033C" w14:textId="77777777" w:rsidR="001E6311" w:rsidRPr="00B32B10" w:rsidRDefault="001E6311" w:rsidP="001E6311">
      <w:pPr>
        <w:pStyle w:val="CETBodytext"/>
        <w:numPr>
          <w:ilvl w:val="0"/>
          <w:numId w:val="24"/>
        </w:numPr>
        <w:rPr>
          <w:lang w:val="en-GB"/>
        </w:rPr>
      </w:pPr>
      <w:proofErr w:type="spellStart"/>
      <w:r w:rsidRPr="00B32B10">
        <w:rPr>
          <w:lang w:val="en-GB"/>
        </w:rPr>
        <w:t>Ethyleneoxide</w:t>
      </w:r>
      <w:proofErr w:type="spellEnd"/>
      <w:r w:rsidRPr="00B32B10">
        <w:rPr>
          <w:lang w:val="en-GB"/>
        </w:rPr>
        <w:t xml:space="preserve"> - third edition (2007) </w:t>
      </w:r>
      <w:r w:rsidRPr="00B32B10">
        <w:rPr>
          <w:lang w:val="en-GB"/>
        </w:rPr>
        <w:fldChar w:fldCharType="begin"/>
      </w:r>
      <w:r w:rsidRPr="00B32B10">
        <w:rPr>
          <w:lang w:val="en-GB"/>
        </w:rPr>
        <w:instrText xml:space="preserve"> ADDIN ZOTERO_ITEM CSL_CITATION {"citationID":"eSAruCLl","properties":{"formattedCitation":"(American Chemistry Council, 2007)","plainCitation":"(American Chemistry Council, 2007)","noteIndex":0},"citationItems":[{"id":239,"uris":["http://zotero.org/users/local/mDzd7GNh/items/W8G9TJEG"],"itemData":{"id":239,"type":"document","title":"Ethyleneoxide, Third Edition","author":[{"family":"American Chemistry Council","given":""}],"issued":{"date-parts":[["2007"]]}}}],"schema":"https://github.com/citation-style-language/schema/raw/master/csl-citation.json"} </w:instrText>
      </w:r>
      <w:r w:rsidRPr="00B32B10">
        <w:rPr>
          <w:lang w:val="en-GB"/>
        </w:rPr>
        <w:fldChar w:fldCharType="separate"/>
      </w:r>
      <w:r w:rsidRPr="00B32B10">
        <w:rPr>
          <w:rFonts w:cs="Arial"/>
        </w:rPr>
        <w:t>(American Chemistry Council, 2007)</w:t>
      </w:r>
      <w:r w:rsidRPr="00B32B10">
        <w:rPr>
          <w:lang w:val="en-GB"/>
        </w:rPr>
        <w:fldChar w:fldCharType="end"/>
      </w:r>
    </w:p>
    <w:p w14:paraId="498FD2C3" w14:textId="77777777" w:rsidR="001E6311" w:rsidRPr="00B32B10" w:rsidRDefault="001E6311" w:rsidP="001E6311">
      <w:pPr>
        <w:pStyle w:val="CETBodytext"/>
        <w:numPr>
          <w:ilvl w:val="0"/>
          <w:numId w:val="24"/>
        </w:numPr>
        <w:rPr>
          <w:lang w:val="en-GB"/>
        </w:rPr>
      </w:pPr>
      <w:r w:rsidRPr="00B32B10">
        <w:rPr>
          <w:lang w:val="en-GB"/>
        </w:rPr>
        <w:t xml:space="preserve">Chemical Safety Board </w:t>
      </w:r>
      <w:r w:rsidRPr="00B32B10">
        <w:rPr>
          <w:lang w:val="en-GB"/>
        </w:rPr>
        <w:fldChar w:fldCharType="begin"/>
      </w:r>
      <w:r w:rsidRPr="00B32B10">
        <w:rPr>
          <w:lang w:val="en-GB"/>
        </w:rPr>
        <w:instrText xml:space="preserve"> ADDIN ZOTERO_ITEM CSL_CITATION {"citationID":"kxVFsxAP","properties":{"formattedCitation":"(CSB, 2007, 2004)","plainCitation":"(CSB, 2007, 2004)","noteIndex":0},"citationItems":[{"id":257,"uris":["http://zotero.org/users/local/mDzd7GNh/items/RSA3PE7E"],"itemData":{"id":257,"type":"webpage","title":"Runaway Chemical Reaction and Vapor Cloud Explosion","URL":"https://www.csb.gov/synthron-chemical-explosion/","author":[{"family":"CSB","given":""}],"issued":{"date-parts":[["2007"]]}}},{"id":261,"uris":["http://zotero.org/users/local/mDzd7GNh/items/YYKBIZ4F"],"itemData":{"id":261,"type":"webpage","title":"Sterigenics - Investigation Report","URL":"https://www.csb.gov/sterigenics-ethylene-oxide-explosion/","author":[{"family":"CSB","given":""}],"issued":{"date-parts":[["2004"]]}}}],"schema":"https://github.com/citation-style-language/schema/raw/master/csl-citation.json"} </w:instrText>
      </w:r>
      <w:r w:rsidRPr="00B32B10">
        <w:rPr>
          <w:lang w:val="en-GB"/>
        </w:rPr>
        <w:fldChar w:fldCharType="separate"/>
      </w:r>
      <w:r w:rsidRPr="00B32B10">
        <w:rPr>
          <w:rFonts w:cs="Arial"/>
        </w:rPr>
        <w:t>(CSB, 2007, 2004)</w:t>
      </w:r>
      <w:r w:rsidRPr="00B32B10">
        <w:rPr>
          <w:lang w:val="en-GB"/>
        </w:rPr>
        <w:fldChar w:fldCharType="end"/>
      </w:r>
    </w:p>
    <w:p w14:paraId="2D9564FF" w14:textId="77777777" w:rsidR="001E6311" w:rsidRPr="00B32B10" w:rsidRDefault="001E6311" w:rsidP="001E6311">
      <w:pPr>
        <w:pStyle w:val="CETBodytext"/>
        <w:numPr>
          <w:ilvl w:val="0"/>
          <w:numId w:val="24"/>
        </w:numPr>
        <w:rPr>
          <w:lang w:val="en-GB"/>
        </w:rPr>
      </w:pPr>
      <w:proofErr w:type="spellStart"/>
      <w:r w:rsidRPr="00B32B10">
        <w:rPr>
          <w:lang w:val="en-GB"/>
        </w:rPr>
        <w:t>Icheme</w:t>
      </w:r>
      <w:proofErr w:type="spellEnd"/>
      <w:r w:rsidRPr="00B32B10">
        <w:rPr>
          <w:lang w:val="en-GB"/>
        </w:rPr>
        <w:t xml:space="preserve"> publications </w:t>
      </w:r>
      <w:r w:rsidRPr="00B32B10">
        <w:rPr>
          <w:lang w:val="en-GB"/>
        </w:rPr>
        <w:fldChar w:fldCharType="begin"/>
      </w:r>
      <w:r w:rsidRPr="00B32B10">
        <w:rPr>
          <w:lang w:val="en-GB"/>
        </w:rPr>
        <w:instrText xml:space="preserve"> ADDIN ZOTERO_ITEM CSL_CITATION {"citationID":"RSrEhkkC","properties":{"formattedCitation":"(Tzou et al., 2003)","plainCitation":"(Tzou et al., 2003)","noteIndex":0},"citationItems":[{"id":240,"uris":["http://zotero.org/users/local/mDzd7GNh/items/GUGTX3Y7"],"itemData":{"id":240,"type":"article-journal","container-title":"IChemE SYMPOSIUM SERIES","page":"591-604","title":"An Explosion Accident - Causes and Safey Information Management Lessons to be Learned","volume":"149","author":[{"family":"Tzou","given":"Tzu-Lien"},{"family":"Edwards","given":"David W."},{"family":"Chung","given":"Paul W.H."}],"issued":{"date-parts":[["2003"]]}}}],"schema":"https://github.com/citation-style-language/schema/raw/master/csl-citation.json"} </w:instrText>
      </w:r>
      <w:r w:rsidRPr="00B32B10">
        <w:rPr>
          <w:lang w:val="en-GB"/>
        </w:rPr>
        <w:fldChar w:fldCharType="separate"/>
      </w:r>
      <w:r w:rsidRPr="00B32B10">
        <w:rPr>
          <w:rFonts w:cs="Arial"/>
        </w:rPr>
        <w:t>(Tzou et al., 2003)</w:t>
      </w:r>
      <w:r w:rsidRPr="00B32B10">
        <w:rPr>
          <w:lang w:val="en-GB"/>
        </w:rPr>
        <w:fldChar w:fldCharType="end"/>
      </w:r>
    </w:p>
    <w:p w14:paraId="57506287" w14:textId="77777777" w:rsidR="001E6311" w:rsidRPr="00B32B10" w:rsidRDefault="001E6311" w:rsidP="001E6311">
      <w:pPr>
        <w:pStyle w:val="CETBodytext"/>
        <w:numPr>
          <w:ilvl w:val="0"/>
          <w:numId w:val="24"/>
        </w:numPr>
        <w:rPr>
          <w:lang w:val="en-GB"/>
        </w:rPr>
      </w:pPr>
      <w:r w:rsidRPr="00B32B10">
        <w:rPr>
          <w:lang w:val="en-GB"/>
        </w:rPr>
        <w:t xml:space="preserve">Investigation reports </w:t>
      </w:r>
      <w:r w:rsidRPr="00B32B10">
        <w:rPr>
          <w:lang w:val="en-GB"/>
        </w:rPr>
        <w:fldChar w:fldCharType="begin"/>
      </w:r>
      <w:r w:rsidRPr="00B32B10">
        <w:rPr>
          <w:lang w:val="en-GB"/>
        </w:rPr>
        <w:instrText xml:space="preserve"> ADDIN ZOTERO_ITEM CSL_CITATION {"citationID":"uTH4WqdP","properties":{"formattedCitation":"(DNV GL, 2020; Failure Knowledge Database, 1998; IchemE, 2020; Nippon Shokubai Co., 2013)","plainCitation":"(DNV GL, 2020; Failure Knowledge Database, 1998; IchemE, 2020; Nippon Shokubai Co., 2013)","noteIndex":0},"citationItems":[{"id":263,"uris":["http://zotero.org/users/local/mDzd7GNh/items/VZMMT2CP"],"itemData":{"id":263,"type":"document","title":"CHEMICAL EXPLOSION AT IQOXE IN TARRAGONA Incident Investigation Report, Rep. 2020-9184, Rev. 1","author":[{"family":"DNV GL","given":""}],"issued":{"date-parts":[["2020"]]}}},{"id":258,"uris":["http://zotero.org/users/local/mDzd7GNh/items/7GD99K9S"],"itemData":{"id":258,"type":"webpage","title":"Explosion of acrylic acid in the drum can in the heating cabinet for dissolution","URL":"https://www.shippai.org/fkd/en/sfen/SC1200102.html","author":[{"family":"Failure Knowledge Database","given":""}],"accessed":{"date-parts":[["2025",1,29]]},"issued":{"date-parts":[["1998"]]}}},{"id":262,"uris":["http://zotero.org/users/local/mDzd7GNh/items/D9RATFJI"],"itemData":{"id":262,"type":"document","title":"Loss Prevention Bullettin, Issue 272","author":[{"family":"IchemE","given":""}],"issued":{"date-parts":[["2020"]]}}},{"id":260,"uris":["http://zotero.org/users/local/mDzd7GNh/items/K4G9SUJG"],"itemData":{"id":260,"type":"document","title":"Explosion and Fire at Acrylic Acid Production Facility - Investigation report","author":[{"family":"Nippon Shokubai Co.","given":""}],"issued":{"date-parts":[["2013"]]}}}],"schema":"https://github.com/citation-style-language/schema/raw/master/csl-citation.json"} </w:instrText>
      </w:r>
      <w:r w:rsidRPr="00B32B10">
        <w:rPr>
          <w:lang w:val="en-GB"/>
        </w:rPr>
        <w:fldChar w:fldCharType="separate"/>
      </w:r>
      <w:r w:rsidRPr="00B32B10">
        <w:rPr>
          <w:rFonts w:cs="Arial"/>
        </w:rPr>
        <w:t>(DNV GL, 2020; Failure Knowledge Database, 1998; IchemE, 2020; Nippon Shokubai Co., 2013)</w:t>
      </w:r>
      <w:r w:rsidRPr="00B32B10">
        <w:rPr>
          <w:lang w:val="en-GB"/>
        </w:rPr>
        <w:fldChar w:fldCharType="end"/>
      </w:r>
    </w:p>
    <w:p w14:paraId="05ABA624" w14:textId="6400C181" w:rsidR="00125D3E" w:rsidRPr="00B32B10" w:rsidRDefault="00125D3E" w:rsidP="00125D3E">
      <w:pPr>
        <w:pStyle w:val="CETBodytext"/>
      </w:pPr>
      <w:r w:rsidRPr="00B32B10">
        <w:t xml:space="preserve">Accidents studied occurred in Europe (Germany, Spain), Asia (Japan, Taiwan), and America (US), covering a wide region, covering a period between 1962 and 2020. </w:t>
      </w:r>
    </w:p>
    <w:p w14:paraId="099C9926" w14:textId="2D74D747" w:rsidR="008E42EA" w:rsidRPr="00B32B10" w:rsidRDefault="008E42EA" w:rsidP="00453E24">
      <w:pPr>
        <w:pStyle w:val="CETBodytext"/>
      </w:pPr>
      <w:r w:rsidRPr="00B32B10">
        <w:t xml:space="preserve">For what concerns the accidents </w:t>
      </w:r>
      <w:r w:rsidR="001678BB" w:rsidRPr="00B32B10">
        <w:t xml:space="preserve">that </w:t>
      </w:r>
      <w:r w:rsidRPr="00B32B10">
        <w:t xml:space="preserve">occurred, storage, transportation, distillation, pumping, </w:t>
      </w:r>
      <w:r w:rsidR="001678BB" w:rsidRPr="00B32B10">
        <w:t xml:space="preserve">and </w:t>
      </w:r>
      <w:r w:rsidRPr="00B32B10">
        <w:t>chemical synthesis are involved, resulting in fires, dispersions, explosions and domino effects.</w:t>
      </w:r>
    </w:p>
    <w:p w14:paraId="3707205F" w14:textId="77777777" w:rsidR="00D9068F" w:rsidRPr="00B32B10" w:rsidRDefault="00D9068F" w:rsidP="00D9068F">
      <w:pPr>
        <w:pStyle w:val="Paragrafoelenco"/>
        <w:keepNext/>
        <w:numPr>
          <w:ilvl w:val="1"/>
          <w:numId w:val="1"/>
        </w:numPr>
        <w:tabs>
          <w:tab w:val="clear" w:pos="7100"/>
        </w:tabs>
        <w:suppressAutoHyphens/>
        <w:spacing w:before="240" w:after="120" w:line="240" w:lineRule="auto"/>
        <w:contextualSpacing w:val="0"/>
        <w:jc w:val="left"/>
        <w:rPr>
          <w:b/>
          <w:vanish/>
          <w:sz w:val="20"/>
          <w:lang w:val="en-US"/>
        </w:rPr>
      </w:pPr>
    </w:p>
    <w:p w14:paraId="4EB2C048" w14:textId="77777777" w:rsidR="00D9068F" w:rsidRPr="00B32B10" w:rsidRDefault="00D9068F" w:rsidP="00D9068F">
      <w:pPr>
        <w:pStyle w:val="Paragrafoelenco"/>
        <w:keepNext/>
        <w:numPr>
          <w:ilvl w:val="1"/>
          <w:numId w:val="1"/>
        </w:numPr>
        <w:tabs>
          <w:tab w:val="clear" w:pos="7100"/>
        </w:tabs>
        <w:suppressAutoHyphens/>
        <w:spacing w:before="240" w:after="120" w:line="240" w:lineRule="auto"/>
        <w:contextualSpacing w:val="0"/>
        <w:jc w:val="left"/>
        <w:rPr>
          <w:b/>
          <w:vanish/>
          <w:sz w:val="20"/>
          <w:lang w:val="en-US"/>
        </w:rPr>
      </w:pPr>
    </w:p>
    <w:p w14:paraId="1BF888A5" w14:textId="2771AAD0" w:rsidR="00704FDF" w:rsidRPr="00B32B10" w:rsidRDefault="00704FDF" w:rsidP="00D9068F">
      <w:pPr>
        <w:pStyle w:val="CETheadingx"/>
      </w:pPr>
      <w:r w:rsidRPr="00B32B10">
        <w:t>Database generation</w:t>
      </w:r>
    </w:p>
    <w:p w14:paraId="27CB2B9E" w14:textId="5C45B664" w:rsidR="00704FDF" w:rsidRPr="00B32B10" w:rsidRDefault="00704FDF" w:rsidP="00453E24">
      <w:pPr>
        <w:pStyle w:val="CETBodytext"/>
      </w:pPr>
      <w:r w:rsidRPr="00B32B10">
        <w:t>A table was generated, associating to each of the</w:t>
      </w:r>
      <w:r w:rsidR="00015416" w:rsidRPr="00B32B10">
        <w:t xml:space="preserve"> 20</w:t>
      </w:r>
      <w:r w:rsidRPr="00B32B10">
        <w:t xml:space="preserve"> PSM elements a score: 0,1 or N/A. 0 stands for total or partial failure of an element,1 indicates that the element worked, and N/A indicates that no sufficient information was available </w:t>
      </w:r>
      <w:r w:rsidR="001678BB" w:rsidRPr="00B32B10">
        <w:t xml:space="preserve">inside the report </w:t>
      </w:r>
      <w:r w:rsidRPr="00B32B10">
        <w:t xml:space="preserve">to </w:t>
      </w:r>
      <w:r w:rsidR="001678BB" w:rsidRPr="00B32B10">
        <w:t>deduct</w:t>
      </w:r>
      <w:r w:rsidRPr="00B32B10">
        <w:t xml:space="preserve"> a precise answer. </w:t>
      </w:r>
      <w:r w:rsidR="00C35280" w:rsidRPr="00B32B10">
        <w:t xml:space="preserve">The presence of a Root Cause was considered positive if, with the information provided in the report, a clear cause-consequence relationship could be identified between the underlying events and the resulting accident. </w:t>
      </w:r>
      <w:r w:rsidRPr="00B32B10">
        <w:t>Results have been generated from those data.</w:t>
      </w:r>
    </w:p>
    <w:p w14:paraId="677EBFF0" w14:textId="67822653" w:rsidR="00600535" w:rsidRPr="00B32B10" w:rsidRDefault="00DC4378" w:rsidP="00600535">
      <w:pPr>
        <w:pStyle w:val="CETHeading1"/>
        <w:tabs>
          <w:tab w:val="right" w:pos="7100"/>
        </w:tabs>
        <w:jc w:val="both"/>
        <w:rPr>
          <w:lang w:val="en-GB"/>
        </w:rPr>
      </w:pPr>
      <w:r w:rsidRPr="00B32B10">
        <w:rPr>
          <w:lang w:val="en-GB"/>
        </w:rPr>
        <w:t>Results and discussion</w:t>
      </w:r>
    </w:p>
    <w:p w14:paraId="36F40CFA" w14:textId="654F4677" w:rsidR="00015416" w:rsidRPr="00B32B10" w:rsidRDefault="00015416" w:rsidP="00015416">
      <w:pPr>
        <w:pStyle w:val="CETBodytext"/>
        <w:rPr>
          <w:lang w:val="en-GB"/>
        </w:rPr>
      </w:pPr>
      <w:r w:rsidRPr="00B32B10">
        <w:rPr>
          <w:lang w:val="en-GB"/>
        </w:rPr>
        <w:t>In the following, overall and specific considerations for the accidents studied are reported.</w:t>
      </w:r>
      <w:r w:rsidR="00D77C19" w:rsidRPr="00B32B10">
        <w:rPr>
          <w:lang w:val="en-GB"/>
        </w:rPr>
        <w:t xml:space="preserve"> For what concerns Ethylene Oxides accidents, most of them are associated with chemical production, purification</w:t>
      </w:r>
      <w:r w:rsidR="001678BB" w:rsidRPr="00B32B10">
        <w:rPr>
          <w:lang w:val="en-GB"/>
        </w:rPr>
        <w:t>,</w:t>
      </w:r>
      <w:r w:rsidR="00D77C19" w:rsidRPr="00B32B10">
        <w:rPr>
          <w:lang w:val="en-GB"/>
        </w:rPr>
        <w:t xml:space="preserve"> and storages. In storage, often issues of contamination are involved, like using water or ammonia to wash. In chemical production and purification, often Ethylene Oxide leakages lead to explosion and decomposition reactions. </w:t>
      </w:r>
      <w:r w:rsidR="001678BB" w:rsidRPr="00B32B10">
        <w:rPr>
          <w:lang w:val="en-GB"/>
        </w:rPr>
        <w:t>For what concerns</w:t>
      </w:r>
      <w:r w:rsidR="00D77C19" w:rsidRPr="00B32B10">
        <w:rPr>
          <w:lang w:val="en-GB"/>
        </w:rPr>
        <w:t xml:space="preserve"> acrylates accidents, </w:t>
      </w:r>
      <w:r w:rsidR="00043DFB" w:rsidRPr="00B32B10">
        <w:rPr>
          <w:lang w:val="en-GB"/>
        </w:rPr>
        <w:t>storage of acrylic acid</w:t>
      </w:r>
      <w:r w:rsidR="001678BB" w:rsidRPr="00B32B10">
        <w:rPr>
          <w:lang w:val="en-GB"/>
        </w:rPr>
        <w:t>,</w:t>
      </w:r>
      <w:r w:rsidR="00043DFB" w:rsidRPr="00B32B10">
        <w:rPr>
          <w:lang w:val="en-GB"/>
        </w:rPr>
        <w:t xml:space="preserve"> and chemical production of polymers based on acrylates are involved. In this case, improper storage policies and uncontrolled recipe changes are involved, leading to fires and explosions.</w:t>
      </w:r>
    </w:p>
    <w:p w14:paraId="04963A06" w14:textId="27E95E07" w:rsidR="00600535" w:rsidRPr="00B32B10" w:rsidRDefault="009C5EAA" w:rsidP="00D9068F">
      <w:pPr>
        <w:pStyle w:val="CETheadingx"/>
      </w:pPr>
      <w:r w:rsidRPr="00B32B10">
        <w:t>Overall considerations</w:t>
      </w:r>
    </w:p>
    <w:p w14:paraId="74661FCE" w14:textId="2431B14C" w:rsidR="009C5EAA" w:rsidRPr="00B32B10" w:rsidRDefault="00763F57" w:rsidP="00600535">
      <w:pPr>
        <w:pStyle w:val="CETBodytext"/>
      </w:pPr>
      <w:r w:rsidRPr="00B32B10">
        <w:t xml:space="preserve">Out of the 19 accidents analyzed, only 37% (7 accidents) could be fully analyzed, resulting in the identification of the Root Cause. </w:t>
      </w:r>
      <w:r w:rsidR="00FB4F16" w:rsidRPr="00B32B10">
        <w:t>Those events are the accidents #1,2,</w:t>
      </w:r>
      <w:r w:rsidR="00B029B2" w:rsidRPr="00B32B10">
        <w:t>3,4,</w:t>
      </w:r>
      <w:r w:rsidR="00FB4F16" w:rsidRPr="00B32B10">
        <w:t>14,15,16</w:t>
      </w:r>
      <w:r w:rsidR="00BC2B0A" w:rsidRPr="00B32B10">
        <w:t>.</w:t>
      </w:r>
      <w:r w:rsidR="00B029B2" w:rsidRPr="00B32B10">
        <w:t xml:space="preserve"> For event #1, the </w:t>
      </w:r>
      <w:r w:rsidR="00425794" w:rsidRPr="00B32B10">
        <w:t>Root Cause</w:t>
      </w:r>
      <w:r w:rsidR="00B029B2" w:rsidRPr="00B32B10">
        <w:t xml:space="preserve"> was a modification of an industrial recipe with a batch size increase without specific studies. For Event #2, the </w:t>
      </w:r>
      <w:r w:rsidR="00425794" w:rsidRPr="00B32B10">
        <w:t>Root Cause</w:t>
      </w:r>
      <w:r w:rsidR="00B029B2" w:rsidRPr="00B32B10">
        <w:t xml:space="preserve"> is a combination of inadequate management of tank modification and lack of process safety information. For Event #3, the accident was caused by </w:t>
      </w:r>
      <w:r w:rsidR="003965F0" w:rsidRPr="00B32B10">
        <w:t xml:space="preserve">the </w:t>
      </w:r>
      <w:r w:rsidR="00B029B2" w:rsidRPr="00B32B10">
        <w:t>inadequate knowledge of the chemistry/thermodynamics of the reaction and inability to maintain effective and continuous management of the system temperature, particularly in emergency situations such as power failure.</w:t>
      </w:r>
      <w:r w:rsidR="00043DFB" w:rsidRPr="00B32B10">
        <w:t xml:space="preserve"> </w:t>
      </w:r>
      <w:r w:rsidR="002503CF" w:rsidRPr="00B32B10">
        <w:t xml:space="preserve">When a </w:t>
      </w:r>
      <w:r w:rsidR="00425794" w:rsidRPr="00B32B10">
        <w:t>Root Cause</w:t>
      </w:r>
      <w:r w:rsidR="002503CF" w:rsidRPr="00B32B10">
        <w:t xml:space="preserve"> cannot be identified, the analysis usually results in a list of</w:t>
      </w:r>
      <w:r w:rsidR="0069226F" w:rsidRPr="00B32B10">
        <w:t xml:space="preserve"> non-conformities or inadequate safety protection or process safety cultures, without </w:t>
      </w:r>
      <w:r w:rsidR="002503CF" w:rsidRPr="00B32B10">
        <w:t xml:space="preserve">the identification of </w:t>
      </w:r>
      <w:r w:rsidR="0069226F" w:rsidRPr="00B32B10">
        <w:t xml:space="preserve">a </w:t>
      </w:r>
      <w:r w:rsidR="002503CF" w:rsidRPr="00B32B10">
        <w:t>specific event that led to the disaster</w:t>
      </w:r>
      <w:r w:rsidR="0069226F" w:rsidRPr="00B32B10">
        <w:t xml:space="preserve">. </w:t>
      </w:r>
      <w:r w:rsidR="001678BB" w:rsidRPr="00B32B10">
        <w:t>A</w:t>
      </w:r>
      <w:r w:rsidR="0069226F" w:rsidRPr="00B32B10">
        <w:t>s an example, even for the well-known Seveso (1976) and Bhopal (1984) accidents, there is not yet consensus on the effective cause that led to such accidents.</w:t>
      </w:r>
      <w:r w:rsidR="002503CF" w:rsidRPr="00B32B10">
        <w:t xml:space="preserve"> </w:t>
      </w:r>
      <w:r w:rsidR="0069226F" w:rsidRPr="00B32B10">
        <w:rPr>
          <w:lang w:val="en-GB"/>
        </w:rPr>
        <w:t xml:space="preserve">Additionally, for 52.3% of accidents </w:t>
      </w:r>
      <w:r w:rsidR="001678BB" w:rsidRPr="00B32B10">
        <w:rPr>
          <w:lang w:val="en-GB"/>
        </w:rPr>
        <w:t>analysed</w:t>
      </w:r>
      <w:r w:rsidR="00F069F5" w:rsidRPr="00B32B10">
        <w:rPr>
          <w:lang w:val="en-GB"/>
        </w:rPr>
        <w:t xml:space="preserve"> (10 in total)</w:t>
      </w:r>
      <w:r w:rsidR="0069226F" w:rsidRPr="00B32B10">
        <w:rPr>
          <w:lang w:val="en-GB"/>
        </w:rPr>
        <w:t xml:space="preserve">, it was possible to </w:t>
      </w:r>
      <w:r w:rsidR="00F069F5" w:rsidRPr="00B32B10">
        <w:rPr>
          <w:lang w:val="en-GB"/>
        </w:rPr>
        <w:t xml:space="preserve">deduct </w:t>
      </w:r>
      <w:r w:rsidR="00C35280" w:rsidRPr="00B32B10">
        <w:rPr>
          <w:lang w:val="en-GB"/>
        </w:rPr>
        <w:t>most of the failures</w:t>
      </w:r>
      <w:r w:rsidR="0069226F" w:rsidRPr="00B32B10">
        <w:rPr>
          <w:lang w:val="en-GB"/>
        </w:rPr>
        <w:t xml:space="preserve"> of the PSM, highlighting the </w:t>
      </w:r>
      <w:r w:rsidR="00A416FF" w:rsidRPr="00B32B10">
        <w:rPr>
          <w:lang w:val="en-GB"/>
        </w:rPr>
        <w:t>process safety criticalities</w:t>
      </w:r>
      <w:r w:rsidR="0069226F" w:rsidRPr="00B32B10">
        <w:rPr>
          <w:lang w:val="en-GB"/>
        </w:rPr>
        <w:t xml:space="preserve">. Those accidents have been further analysed, providing in the following a detailed analysis of the </w:t>
      </w:r>
      <w:r w:rsidR="00C35280" w:rsidRPr="00B32B10">
        <w:rPr>
          <w:lang w:val="en-GB"/>
        </w:rPr>
        <w:t xml:space="preserve">failed </w:t>
      </w:r>
      <w:r w:rsidR="0069226F" w:rsidRPr="00B32B10">
        <w:rPr>
          <w:lang w:val="en-GB"/>
        </w:rPr>
        <w:t xml:space="preserve">elements. </w:t>
      </w:r>
    </w:p>
    <w:p w14:paraId="3B0B4637" w14:textId="77777777" w:rsidR="009C5EAA" w:rsidRPr="00B32B10" w:rsidRDefault="009C5EAA" w:rsidP="00600535">
      <w:pPr>
        <w:pStyle w:val="CETBodytext"/>
        <w:rPr>
          <w:lang w:val="en-GB"/>
        </w:rPr>
      </w:pPr>
    </w:p>
    <w:p w14:paraId="1F96CA21" w14:textId="1204C94E" w:rsidR="00600535" w:rsidRPr="00B32B10" w:rsidRDefault="009C5EAA" w:rsidP="00D9068F">
      <w:pPr>
        <w:pStyle w:val="CETheadingx"/>
      </w:pPr>
      <w:r w:rsidRPr="00B32B10">
        <w:t>Elements failed</w:t>
      </w:r>
    </w:p>
    <w:p w14:paraId="5890A44B" w14:textId="77777777" w:rsidR="00BC2B0A" w:rsidRPr="00B32B10" w:rsidRDefault="00BC2B0A" w:rsidP="00BC2B0A">
      <w:pPr>
        <w:pStyle w:val="CETBodytext"/>
      </w:pPr>
    </w:p>
    <w:p w14:paraId="5EC85F8F" w14:textId="24CBCB05" w:rsidR="00BC2B0A" w:rsidRPr="00B32B10" w:rsidRDefault="00BC2B0A" w:rsidP="00BC2B0A">
      <w:pPr>
        <w:pStyle w:val="CETBodytext"/>
        <w:rPr>
          <w:lang w:val="en-GB"/>
        </w:rPr>
      </w:pPr>
      <w:r w:rsidRPr="00B32B10">
        <w:rPr>
          <w:lang w:val="en-GB"/>
        </w:rPr>
        <w:t xml:space="preserve">For the 10 accidents analysed in detail, a distribution of failed elements was reported in Figure </w:t>
      </w:r>
      <w:r w:rsidR="001837DA" w:rsidRPr="00B32B10">
        <w:rPr>
          <w:lang w:val="en-GB"/>
        </w:rPr>
        <w:t>2</w:t>
      </w:r>
      <w:r w:rsidRPr="00B32B10">
        <w:rPr>
          <w:lang w:val="en-GB"/>
        </w:rPr>
        <w:t>. According to the data, process safety culture, process knowledge management, hazard identification and risk analysis are the most crucial elements, showing to fail in 9.1% of the total failures, with a total of 27.3%. Process safety competency and incident investigation follow, with 8.9% each. The 3</w:t>
      </w:r>
      <w:r w:rsidRPr="00B32B10">
        <w:rPr>
          <w:vertAlign w:val="superscript"/>
          <w:lang w:val="en-GB"/>
        </w:rPr>
        <w:t>rd</w:t>
      </w:r>
      <w:r w:rsidRPr="00B32B10">
        <w:rPr>
          <w:lang w:val="en-GB"/>
        </w:rPr>
        <w:t xml:space="preserve"> most significant causes are Compliance with Standards and Asset Integrity and Reliability, with 6.7% each. Those elements cover 58.5% of the sample. Emergency management contributes to only 4.4% of total failures, this can be associated with a good overall knowledge of the hazard represented by toxic substances such as Ethylene Oxide and acrylates. </w:t>
      </w:r>
    </w:p>
    <w:p w14:paraId="4806DB92" w14:textId="77777777" w:rsidR="00BC2B0A" w:rsidRPr="00B32B10" w:rsidRDefault="00BC2B0A" w:rsidP="00BC2B0A">
      <w:pPr>
        <w:pStyle w:val="CETBodytext"/>
        <w:rPr>
          <w:lang w:val="en-GB"/>
        </w:rPr>
      </w:pPr>
      <w:r w:rsidRPr="00B32B10">
        <w:rPr>
          <w:noProof/>
          <w:lang w:val="en-GB"/>
        </w:rPr>
        <w:lastRenderedPageBreak/>
        <w:drawing>
          <wp:inline distT="0" distB="0" distL="0" distR="0" wp14:anchorId="0158950F" wp14:editId="3E5B1892">
            <wp:extent cx="5486400" cy="3225411"/>
            <wp:effectExtent l="0" t="0" r="0" b="0"/>
            <wp:docPr id="51250949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225411"/>
                    </a:xfrm>
                    <a:prstGeom prst="rect">
                      <a:avLst/>
                    </a:prstGeom>
                    <a:noFill/>
                  </pic:spPr>
                </pic:pic>
              </a:graphicData>
            </a:graphic>
          </wp:inline>
        </w:drawing>
      </w:r>
    </w:p>
    <w:p w14:paraId="4A225C16" w14:textId="77777777" w:rsidR="00BC2B0A" w:rsidRPr="00B32B10" w:rsidRDefault="00BC2B0A" w:rsidP="00BC2B0A">
      <w:pPr>
        <w:pStyle w:val="CETBodytext"/>
        <w:rPr>
          <w:lang w:val="en-GB"/>
        </w:rPr>
      </w:pPr>
    </w:p>
    <w:p w14:paraId="23338EFC" w14:textId="25E83065" w:rsidR="00BC2B0A" w:rsidRPr="00B32B10" w:rsidRDefault="00BC2B0A" w:rsidP="00BC2B0A">
      <w:pPr>
        <w:pStyle w:val="CETBodytext"/>
        <w:rPr>
          <w:rStyle w:val="CETCaptionCarattere"/>
        </w:rPr>
      </w:pPr>
      <w:r w:rsidRPr="00B32B10">
        <w:rPr>
          <w:rStyle w:val="CETCaptionCarattere"/>
        </w:rPr>
        <w:t xml:space="preserve">Figure </w:t>
      </w:r>
      <w:r w:rsidR="001837DA" w:rsidRPr="00B32B10">
        <w:rPr>
          <w:rStyle w:val="CETCaptionCarattere"/>
        </w:rPr>
        <w:t>2</w:t>
      </w:r>
      <w:r w:rsidRPr="00B32B10">
        <w:rPr>
          <w:rStyle w:val="CETCaptionCarattere"/>
        </w:rPr>
        <w:t>: PSM failed elements in accidents where the information was available or deductible</w:t>
      </w:r>
    </w:p>
    <w:p w14:paraId="0C012EF8" w14:textId="77777777" w:rsidR="00BC2B0A" w:rsidRPr="00B32B10" w:rsidRDefault="00BC2B0A" w:rsidP="00BC2B0A">
      <w:pPr>
        <w:pStyle w:val="CETBodytext"/>
        <w:rPr>
          <w:lang w:val="en-GB"/>
        </w:rPr>
      </w:pPr>
    </w:p>
    <w:p w14:paraId="06472AAC" w14:textId="319B9367" w:rsidR="00BC2B0A" w:rsidRPr="00B32B10" w:rsidRDefault="00BC2B0A" w:rsidP="00BC2B0A">
      <w:pPr>
        <w:pStyle w:val="CETBodytext"/>
      </w:pPr>
      <w:r w:rsidRPr="00B32B10">
        <w:rPr>
          <w:lang w:val="en-GB"/>
        </w:rPr>
        <w:t xml:space="preserve">It is possible to compare this result with the historical work of Barton and Nolan </w:t>
      </w:r>
      <w:r w:rsidRPr="00B32B10">
        <w:rPr>
          <w:lang w:val="en-GB"/>
        </w:rPr>
        <w:fldChar w:fldCharType="begin"/>
      </w:r>
      <w:r w:rsidRPr="00B32B10">
        <w:rPr>
          <w:lang w:val="en-GB"/>
        </w:rPr>
        <w:instrText xml:space="preserve"> ADDIN ZOTERO_ITEM CSL_CITATION {"citationID":"4ZQB2XP6","properties":{"formattedCitation":"(Barton and Nolan, 1987)","plainCitation":"(Barton and Nolan, 1987)","noteIndex":0},"citationItems":[{"id":206,"uris":["http://zotero.org/users/local/mDzd7GNh/items/FNG65MDD"],"itemData":{"id":206,"type":"article-journal","container-title":"IChemE SYMPOSIUM SERIES","title":"Incidents in the chemical industry due to thermal-runaway chemical reactions","volume":"115","author":[{"family":"Barton","given":"J. A."},{"family":"Nolan","given":"F."}],"issued":{"date-parts":[["1987"]]}}}],"schema":"https://github.com/citation-style-language/schema/raw/master/csl-citation.json"} </w:instrText>
      </w:r>
      <w:r w:rsidRPr="00B32B10">
        <w:rPr>
          <w:lang w:val="en-GB"/>
        </w:rPr>
        <w:fldChar w:fldCharType="separate"/>
      </w:r>
      <w:r w:rsidRPr="00B32B10">
        <w:rPr>
          <w:rFonts w:cs="Arial"/>
        </w:rPr>
        <w:t>(Barton and Nolan, 1987)</w:t>
      </w:r>
      <w:r w:rsidRPr="00B32B10">
        <w:rPr>
          <w:lang w:val="en-GB"/>
        </w:rPr>
        <w:fldChar w:fldCharType="end"/>
      </w:r>
      <w:r w:rsidRPr="00B32B10">
        <w:rPr>
          <w:lang w:val="en-GB"/>
        </w:rPr>
        <w:t>, where 189 accidents involving runaway reaction</w:t>
      </w:r>
      <w:r w:rsidR="003965F0" w:rsidRPr="00B32B10">
        <w:rPr>
          <w:lang w:val="en-GB"/>
        </w:rPr>
        <w:t>s</w:t>
      </w:r>
      <w:r w:rsidRPr="00B32B10">
        <w:rPr>
          <w:lang w:val="en-GB"/>
        </w:rPr>
        <w:t xml:space="preserve"> have been analysed. According to this pioneer work, the main flaws emerging from the data at the time were the following: lack of understanding of process chemistry and thermochemistry, inadequate design for heat transfer; inadequate control systems and safety backup systems, and inadequate operational procedures, including training. Comparing such old data with this novel set, Process Safety Culture, Emergency Management and Operating procedures are still today among the most crucial aspects </w:t>
      </w:r>
      <w:r w:rsidR="003965F0" w:rsidRPr="00B32B10">
        <w:rPr>
          <w:lang w:val="en-GB"/>
        </w:rPr>
        <w:t>of</w:t>
      </w:r>
      <w:r w:rsidRPr="00B32B10">
        <w:rPr>
          <w:lang w:val="en-GB"/>
        </w:rPr>
        <w:t xml:space="preserve"> process safety.</w:t>
      </w:r>
    </w:p>
    <w:p w14:paraId="7E034704" w14:textId="77777777" w:rsidR="00BC2B0A" w:rsidRPr="00B32B10" w:rsidRDefault="00BC2B0A" w:rsidP="00BC2B0A">
      <w:pPr>
        <w:pStyle w:val="CETBodytext"/>
      </w:pPr>
    </w:p>
    <w:p w14:paraId="5B860647" w14:textId="1240B2BA" w:rsidR="00BC2B0A" w:rsidRPr="00B32B10" w:rsidRDefault="00BC2B0A" w:rsidP="00D9068F">
      <w:pPr>
        <w:pStyle w:val="CETheadingx"/>
      </w:pPr>
      <w:r w:rsidRPr="00B32B10">
        <w:t xml:space="preserve">Functional elements </w:t>
      </w:r>
    </w:p>
    <w:p w14:paraId="4C5106FD" w14:textId="77777777" w:rsidR="00BC2B0A" w:rsidRPr="00B32B10" w:rsidRDefault="00BC2B0A" w:rsidP="00BC2B0A">
      <w:pPr>
        <w:pStyle w:val="CETBodytext"/>
      </w:pPr>
    </w:p>
    <w:p w14:paraId="4A5C4A77" w14:textId="13E11A39" w:rsidR="001678BB" w:rsidRPr="00B32B10" w:rsidRDefault="00DF2A05" w:rsidP="00274DDD">
      <w:pPr>
        <w:pStyle w:val="CETBodytext"/>
        <w:rPr>
          <w:lang w:val="en-GB"/>
        </w:rPr>
      </w:pPr>
      <w:r w:rsidRPr="00B32B10">
        <w:rPr>
          <w:lang w:val="en-GB"/>
        </w:rPr>
        <w:t xml:space="preserve">Fig. </w:t>
      </w:r>
      <w:r w:rsidR="001837DA" w:rsidRPr="00B32B10">
        <w:rPr>
          <w:lang w:val="en-GB"/>
        </w:rPr>
        <w:t>3</w:t>
      </w:r>
      <w:r w:rsidRPr="00B32B10">
        <w:rPr>
          <w:lang w:val="en-GB"/>
        </w:rPr>
        <w:t xml:space="preserve"> reports instead the list of elements that </w:t>
      </w:r>
      <w:r w:rsidR="001678BB" w:rsidRPr="00B32B10">
        <w:rPr>
          <w:lang w:val="en-GB"/>
        </w:rPr>
        <w:t>resulted</w:t>
      </w:r>
      <w:r w:rsidRPr="00B32B10">
        <w:rPr>
          <w:lang w:val="en-GB"/>
        </w:rPr>
        <w:t xml:space="preserve"> as functional at the time of the accident.</w:t>
      </w:r>
    </w:p>
    <w:p w14:paraId="1B891B1A" w14:textId="7278381E" w:rsidR="0047744D" w:rsidRPr="00B32B10" w:rsidRDefault="0047744D" w:rsidP="00274DDD">
      <w:pPr>
        <w:pStyle w:val="CETBodytext"/>
        <w:rPr>
          <w:lang w:val="en-GB"/>
        </w:rPr>
      </w:pPr>
      <w:r w:rsidRPr="00B32B10">
        <w:rPr>
          <w:noProof/>
          <w:lang w:val="en-GB"/>
        </w:rPr>
        <w:drawing>
          <wp:inline distT="0" distB="0" distL="0" distR="0" wp14:anchorId="65E07D6F" wp14:editId="5E9A157D">
            <wp:extent cx="5486400" cy="2755476"/>
            <wp:effectExtent l="0" t="0" r="0" b="6985"/>
            <wp:docPr id="50414398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2755476"/>
                    </a:xfrm>
                    <a:prstGeom prst="rect">
                      <a:avLst/>
                    </a:prstGeom>
                    <a:noFill/>
                  </pic:spPr>
                </pic:pic>
              </a:graphicData>
            </a:graphic>
          </wp:inline>
        </w:drawing>
      </w:r>
    </w:p>
    <w:p w14:paraId="4057B56A" w14:textId="090DDDEC" w:rsidR="000C7F7D" w:rsidRPr="00B32B10" w:rsidRDefault="000C7F7D" w:rsidP="00274DDD">
      <w:pPr>
        <w:pStyle w:val="CETBodytext"/>
        <w:rPr>
          <w:lang w:val="en-GB"/>
        </w:rPr>
      </w:pPr>
    </w:p>
    <w:p w14:paraId="444F0DD4" w14:textId="4BBDC36F" w:rsidR="00DF2A05" w:rsidRPr="00B32B10" w:rsidRDefault="00DF2A05" w:rsidP="00274DDD">
      <w:pPr>
        <w:pStyle w:val="CETBodytext"/>
        <w:rPr>
          <w:i/>
          <w:lang w:val="en-GB"/>
        </w:rPr>
      </w:pPr>
      <w:r w:rsidRPr="00B32B10">
        <w:rPr>
          <w:rStyle w:val="CETCaptionCarattere"/>
        </w:rPr>
        <w:t xml:space="preserve">Figure </w:t>
      </w:r>
      <w:r w:rsidR="001837DA" w:rsidRPr="00B32B10">
        <w:rPr>
          <w:rStyle w:val="CETCaptionCarattere"/>
        </w:rPr>
        <w:t>3</w:t>
      </w:r>
      <w:r w:rsidRPr="00B32B10">
        <w:rPr>
          <w:rStyle w:val="CETCaptionCarattere"/>
        </w:rPr>
        <w:t>: PSM functioning elements in accidents where the information was available or deductible</w:t>
      </w:r>
    </w:p>
    <w:p w14:paraId="65283D9D" w14:textId="77777777" w:rsidR="000C7F7D" w:rsidRPr="00B32B10" w:rsidRDefault="000C7F7D" w:rsidP="00DF2A05">
      <w:pPr>
        <w:pStyle w:val="CETBodytext"/>
      </w:pPr>
    </w:p>
    <w:p w14:paraId="7CAF610E" w14:textId="50FADD6F" w:rsidR="00DF2A05" w:rsidRPr="00B32B10" w:rsidRDefault="00DF2A05" w:rsidP="00DF2A05">
      <w:pPr>
        <w:pStyle w:val="CETBodytext"/>
      </w:pPr>
      <w:r w:rsidRPr="00B32B10">
        <w:t>In this case, operational readiness and conduct of operations are the best</w:t>
      </w:r>
      <w:r w:rsidR="001678BB" w:rsidRPr="00B32B10">
        <w:t>-</w:t>
      </w:r>
      <w:r w:rsidRPr="00B32B10">
        <w:t xml:space="preserve">performing indicators, covering </w:t>
      </w:r>
      <w:r w:rsidR="0047744D" w:rsidRPr="00B32B10">
        <w:t>7.8</w:t>
      </w:r>
      <w:r w:rsidRPr="00B32B10">
        <w:t xml:space="preserve">% </w:t>
      </w:r>
      <w:r w:rsidR="001678BB" w:rsidRPr="00B32B10">
        <w:t xml:space="preserve">of </w:t>
      </w:r>
      <w:r w:rsidRPr="00B32B10">
        <w:t xml:space="preserve">each of the positively working elements. After that, management review and continuous improvement, safe work practices, measurement and metrics, </w:t>
      </w:r>
      <w:r w:rsidR="001678BB" w:rsidRPr="00B32B10">
        <w:t xml:space="preserve">and </w:t>
      </w:r>
      <w:r w:rsidRPr="00B32B10">
        <w:t>workforce involvement</w:t>
      </w:r>
      <w:r w:rsidR="00B66353" w:rsidRPr="00B32B10">
        <w:t xml:space="preserve"> are the </w:t>
      </w:r>
      <w:r w:rsidR="001678BB" w:rsidRPr="00B32B10">
        <w:t>second-best</w:t>
      </w:r>
      <w:r w:rsidR="00B66353" w:rsidRPr="00B32B10">
        <w:t xml:space="preserve"> indicators, with 9% each, covering a total of 56% of functional elements.</w:t>
      </w:r>
      <w:r w:rsidR="00F553D6" w:rsidRPr="00B32B10">
        <w:t xml:space="preserve"> For some specific elements, namely Auditing, Contractor Management, Stakeholder </w:t>
      </w:r>
      <w:r w:rsidR="00081FE7" w:rsidRPr="00B32B10">
        <w:t>R</w:t>
      </w:r>
      <w:r w:rsidR="00F553D6" w:rsidRPr="00B32B10">
        <w:t xml:space="preserve">each, the </w:t>
      </w:r>
      <w:r w:rsidR="0047744D" w:rsidRPr="00B32B10">
        <w:t>relevance is</w:t>
      </w:r>
      <w:r w:rsidR="00F553D6" w:rsidRPr="00B32B10">
        <w:t xml:space="preserve"> </w:t>
      </w:r>
      <w:r w:rsidR="0047744D" w:rsidRPr="00B32B10">
        <w:t>low</w:t>
      </w:r>
      <w:r w:rsidR="00F553D6" w:rsidRPr="00B32B10">
        <w:t xml:space="preserve"> because these elements are </w:t>
      </w:r>
      <w:r w:rsidR="0047744D" w:rsidRPr="00B32B10">
        <w:t>rarely discussed in detail</w:t>
      </w:r>
      <w:r w:rsidR="00F553D6" w:rsidRPr="00B32B10">
        <w:t>, and they have been classified as N/A</w:t>
      </w:r>
      <w:r w:rsidR="0047744D" w:rsidRPr="00B32B10">
        <w:t xml:space="preserve"> in most of </w:t>
      </w:r>
      <w:r w:rsidR="001F7998" w:rsidRPr="00B32B10">
        <w:t>the accidents</w:t>
      </w:r>
      <w:r w:rsidR="0047744D" w:rsidRPr="00B32B10">
        <w:t xml:space="preserve"> analyzed</w:t>
      </w:r>
      <w:r w:rsidR="00F553D6" w:rsidRPr="00B32B10">
        <w:t>.</w:t>
      </w:r>
    </w:p>
    <w:p w14:paraId="68D26B83" w14:textId="561848D8" w:rsidR="00600535" w:rsidRPr="00B32B10" w:rsidRDefault="00600535" w:rsidP="00600535">
      <w:pPr>
        <w:pStyle w:val="CETHeading1"/>
        <w:rPr>
          <w:lang w:val="en-GB"/>
        </w:rPr>
      </w:pPr>
      <w:r w:rsidRPr="00B32B10">
        <w:rPr>
          <w:lang w:val="en-GB"/>
        </w:rPr>
        <w:t>Conclusions</w:t>
      </w:r>
    </w:p>
    <w:p w14:paraId="28E4BE75" w14:textId="77777777" w:rsidR="00763F57" w:rsidRPr="00B32B10" w:rsidRDefault="00763F57" w:rsidP="00600535">
      <w:pPr>
        <w:pStyle w:val="CETBodytext"/>
        <w:rPr>
          <w:lang w:val="en-GB"/>
        </w:rPr>
      </w:pPr>
      <w:r w:rsidRPr="00B32B10">
        <w:rPr>
          <w:lang w:val="en-GB"/>
        </w:rPr>
        <w:t xml:space="preserve">The analysis revealed that the information on chemical accidents available in the various datasets is incomplete, hindering a comprehensive assessment of the failure of PSM elements. </w:t>
      </w:r>
      <w:r w:rsidR="006F296C" w:rsidRPr="00B32B10">
        <w:rPr>
          <w:lang w:val="en-GB"/>
        </w:rPr>
        <w:t>A</w:t>
      </w:r>
      <w:r w:rsidR="00704FDF" w:rsidRPr="00B32B10">
        <w:rPr>
          <w:lang w:val="en-GB"/>
        </w:rPr>
        <w:t xml:space="preserve"> </w:t>
      </w:r>
      <w:r w:rsidR="00425794" w:rsidRPr="00B32B10">
        <w:rPr>
          <w:lang w:val="en-GB"/>
        </w:rPr>
        <w:t>Root Cause</w:t>
      </w:r>
      <w:r w:rsidR="004D5714" w:rsidRPr="00B32B10">
        <w:rPr>
          <w:lang w:val="en-GB"/>
        </w:rPr>
        <w:t xml:space="preserve"> is rarely identified, and it is not generally </w:t>
      </w:r>
      <w:r w:rsidR="001F7998" w:rsidRPr="00B32B10">
        <w:rPr>
          <w:lang w:val="en-GB"/>
        </w:rPr>
        <w:t xml:space="preserve">clearly </w:t>
      </w:r>
      <w:r w:rsidR="004D5714" w:rsidRPr="00B32B10">
        <w:rPr>
          <w:lang w:val="en-GB"/>
        </w:rPr>
        <w:t xml:space="preserve">stated straight as such, it is </w:t>
      </w:r>
      <w:r w:rsidR="001F7998" w:rsidRPr="00B32B10">
        <w:rPr>
          <w:lang w:val="en-GB"/>
        </w:rPr>
        <w:t>necessary to thoroughly check the report</w:t>
      </w:r>
      <w:r w:rsidR="004D5714" w:rsidRPr="00B32B10">
        <w:rPr>
          <w:lang w:val="en-GB"/>
        </w:rPr>
        <w:t xml:space="preserve">. Also, </w:t>
      </w:r>
      <w:r w:rsidR="001F7998" w:rsidRPr="00B32B10">
        <w:rPr>
          <w:lang w:val="en-GB"/>
        </w:rPr>
        <w:t xml:space="preserve">references to </w:t>
      </w:r>
      <w:r w:rsidR="004D5714" w:rsidRPr="00B32B10">
        <w:rPr>
          <w:lang w:val="en-GB"/>
        </w:rPr>
        <w:t xml:space="preserve">PSM elements that work are </w:t>
      </w:r>
      <w:r w:rsidR="001F7998" w:rsidRPr="00B32B10">
        <w:rPr>
          <w:lang w:val="en-GB"/>
        </w:rPr>
        <w:t>rarely</w:t>
      </w:r>
      <w:r w:rsidR="004D5714" w:rsidRPr="00B32B10">
        <w:rPr>
          <w:lang w:val="en-GB"/>
        </w:rPr>
        <w:t xml:space="preserve"> highlighted. This aspect should be </w:t>
      </w:r>
      <w:r w:rsidR="001F7998" w:rsidRPr="00B32B10">
        <w:rPr>
          <w:lang w:val="en-GB"/>
        </w:rPr>
        <w:t xml:space="preserve">more </w:t>
      </w:r>
      <w:r w:rsidR="004D5714" w:rsidRPr="00B32B10">
        <w:rPr>
          <w:lang w:val="en-GB"/>
        </w:rPr>
        <w:t>emphasized</w:t>
      </w:r>
      <w:r w:rsidR="001F7998" w:rsidRPr="00B32B10">
        <w:rPr>
          <w:lang w:val="en-GB"/>
        </w:rPr>
        <w:t xml:space="preserve"> </w:t>
      </w:r>
      <w:r w:rsidR="004D5714" w:rsidRPr="00B32B10">
        <w:rPr>
          <w:lang w:val="en-GB"/>
        </w:rPr>
        <w:t>in accident reporting: when an element is not investigated, even if marginal compared to the extent of the accident, it does not necessarily mean that it worked</w:t>
      </w:r>
      <w:r w:rsidR="001F7998" w:rsidRPr="00B32B10">
        <w:rPr>
          <w:lang w:val="en-GB"/>
        </w:rPr>
        <w:t xml:space="preserve"> effectively</w:t>
      </w:r>
      <w:r w:rsidR="004D5714" w:rsidRPr="00B32B10">
        <w:rPr>
          <w:lang w:val="en-GB"/>
        </w:rPr>
        <w:t>.</w:t>
      </w:r>
    </w:p>
    <w:p w14:paraId="550849BF" w14:textId="2B3199C4" w:rsidR="00704FDF" w:rsidRPr="00B32B10" w:rsidRDefault="00763F57" w:rsidP="00600535">
      <w:pPr>
        <w:pStyle w:val="CETBodytext"/>
        <w:rPr>
          <w:lang w:val="en-GB"/>
        </w:rPr>
      </w:pPr>
      <w:r w:rsidRPr="00B32B10">
        <w:rPr>
          <w:lang w:val="en-GB"/>
        </w:rPr>
        <w:t>Despite the limitations of requiring a fully detailed PSM assessment for industrial accidents (such as the secrecy of industrial processes and worker privacy) it is crucial to develop a strategy for providing meaningful information to commissions and organizations responsible for database development. This strategy should aim to standardize reporting procedures and provide useful data for improving process safety.</w:t>
      </w:r>
    </w:p>
    <w:p w14:paraId="4F1327F8" w14:textId="77777777" w:rsidR="00600535" w:rsidRPr="00B32B10" w:rsidRDefault="00600535" w:rsidP="00600535">
      <w:pPr>
        <w:pStyle w:val="CETReference"/>
      </w:pPr>
      <w:r w:rsidRPr="00B32B10">
        <w:t>References</w:t>
      </w:r>
    </w:p>
    <w:p w14:paraId="35DBE33C" w14:textId="77777777" w:rsidR="001E6311" w:rsidRPr="00B32B10" w:rsidRDefault="00EF68C8" w:rsidP="001E6311">
      <w:pPr>
        <w:pStyle w:val="Bibliografia"/>
        <w:rPr>
          <w:rFonts w:cs="Arial"/>
        </w:rPr>
      </w:pPr>
      <w:r w:rsidRPr="00B32B10">
        <w:fldChar w:fldCharType="begin"/>
      </w:r>
      <w:r w:rsidR="00125D3E" w:rsidRPr="00B32B10">
        <w:rPr>
          <w:lang w:val="en-US"/>
        </w:rPr>
        <w:instrText xml:space="preserve"> ADDIN ZOTERO_BIBL {"uncited":[],"omitted":[],"custom":[]} CSL_BIBLIOGRAPHY </w:instrText>
      </w:r>
      <w:r w:rsidRPr="00B32B10">
        <w:fldChar w:fldCharType="separate"/>
      </w:r>
      <w:r w:rsidR="001E6311" w:rsidRPr="00B32B10">
        <w:rPr>
          <w:rFonts w:cs="Arial"/>
          <w:lang w:val="en-US"/>
        </w:rPr>
        <w:t xml:space="preserve">Abedsoltan, H., Abedsoltan, A., Zoghi, Z., 2024. </w:t>
      </w:r>
      <w:r w:rsidR="001E6311" w:rsidRPr="00B32B10">
        <w:rPr>
          <w:rFonts w:cs="Arial"/>
        </w:rPr>
        <w:t>Future of process safety: Insights, approaches, and potential developments. Process Safety and Environmental Protection 185, 684–707. https://doi.org/10.1016/j.psep.2024.03.034</w:t>
      </w:r>
    </w:p>
    <w:p w14:paraId="4FA93562" w14:textId="77777777" w:rsidR="001E6311" w:rsidRPr="00B32B10" w:rsidRDefault="001E6311" w:rsidP="001E6311">
      <w:pPr>
        <w:pStyle w:val="Bibliografia"/>
        <w:rPr>
          <w:rFonts w:cs="Arial"/>
        </w:rPr>
      </w:pPr>
      <w:r w:rsidRPr="00B32B10">
        <w:rPr>
          <w:rFonts w:cs="Arial"/>
        </w:rPr>
        <w:t>American Chemistry Council, 2007. Ethyleneoxide, Third Edition.</w:t>
      </w:r>
    </w:p>
    <w:p w14:paraId="2971E079" w14:textId="77777777" w:rsidR="001E6311" w:rsidRPr="00B32B10" w:rsidRDefault="001E6311" w:rsidP="001E6311">
      <w:pPr>
        <w:pStyle w:val="Bibliografia"/>
        <w:rPr>
          <w:rFonts w:cs="Arial"/>
        </w:rPr>
      </w:pPr>
      <w:r w:rsidRPr="00B32B10">
        <w:rPr>
          <w:rFonts w:cs="Arial"/>
          <w:lang w:val="it-IT"/>
        </w:rPr>
        <w:t xml:space="preserve">Barozzi, M., Copelli, S., Scotton, M.S., Torretta, V., 2020. </w:t>
      </w:r>
      <w:r w:rsidRPr="00B32B10">
        <w:rPr>
          <w:rFonts w:cs="Arial"/>
        </w:rPr>
        <w:t>Application of an Enhanced Version of Recursive Operability Analysis for Combustible Dusts Risk Assessment. International Journal of Environmental Research and Public Health 17. https://doi.org/10.3390/ijerph17093078</w:t>
      </w:r>
    </w:p>
    <w:p w14:paraId="10BD3CB4" w14:textId="77777777" w:rsidR="001E6311" w:rsidRPr="00B32B10" w:rsidRDefault="001E6311" w:rsidP="001E6311">
      <w:pPr>
        <w:pStyle w:val="Bibliografia"/>
        <w:rPr>
          <w:rFonts w:cs="Arial"/>
          <w:lang w:val="it-IT"/>
        </w:rPr>
      </w:pPr>
      <w:r w:rsidRPr="00B32B10">
        <w:rPr>
          <w:rFonts w:cs="Arial"/>
          <w:lang w:val="it-IT"/>
        </w:rPr>
        <w:t xml:space="preserve">Barton, J.A., Nolan, F., 1987. </w:t>
      </w:r>
      <w:r w:rsidRPr="00B32B10">
        <w:rPr>
          <w:rFonts w:cs="Arial"/>
        </w:rPr>
        <w:t xml:space="preserve">Incidents in the chemical industry due to thermal-runaway chemical reactions. </w:t>
      </w:r>
      <w:r w:rsidRPr="00B32B10">
        <w:rPr>
          <w:rFonts w:cs="Arial"/>
          <w:lang w:val="it-IT"/>
        </w:rPr>
        <w:t>IChemE SYMPOSIUM SERIES 115.</w:t>
      </w:r>
    </w:p>
    <w:p w14:paraId="46CE8874" w14:textId="77777777" w:rsidR="001E6311" w:rsidRPr="00B32B10" w:rsidRDefault="001E6311" w:rsidP="001E6311">
      <w:pPr>
        <w:pStyle w:val="Bibliografia"/>
        <w:rPr>
          <w:rFonts w:cs="Arial"/>
        </w:rPr>
      </w:pPr>
      <w:r w:rsidRPr="00B32B10">
        <w:rPr>
          <w:rFonts w:cs="Arial"/>
          <w:lang w:val="it-IT"/>
        </w:rPr>
        <w:t xml:space="preserve">Casson Moreno, V., Danzi, E., Marmo, L., Salzano, E., Cozzani, V., 2019. </w:t>
      </w:r>
      <w:r w:rsidRPr="00B32B10">
        <w:rPr>
          <w:rFonts w:cs="Arial"/>
        </w:rPr>
        <w:t>Major accident hazard in biodiesel production processes. Safety Science 113, 490–503. https://doi.org/10.1016/j.ssci.2018.12.014</w:t>
      </w:r>
    </w:p>
    <w:p w14:paraId="7C55936B" w14:textId="77777777" w:rsidR="001E6311" w:rsidRPr="00B32B10" w:rsidRDefault="001E6311" w:rsidP="001E6311">
      <w:pPr>
        <w:pStyle w:val="Bibliografia"/>
        <w:rPr>
          <w:rFonts w:cs="Arial"/>
        </w:rPr>
      </w:pPr>
      <w:r w:rsidRPr="00B32B10">
        <w:rPr>
          <w:rFonts w:cs="Arial"/>
        </w:rPr>
        <w:t>CCPS | Center for Chemical Process Safety [WWW Document], 2012. URL https://www.aiche.org/ccps (accessed 11.19.24).</w:t>
      </w:r>
    </w:p>
    <w:p w14:paraId="7A05626F" w14:textId="77777777" w:rsidR="001E6311" w:rsidRPr="00B32B10" w:rsidRDefault="001E6311" w:rsidP="001E6311">
      <w:pPr>
        <w:pStyle w:val="Bibliografia"/>
        <w:rPr>
          <w:rFonts w:cs="Arial"/>
        </w:rPr>
      </w:pPr>
      <w:r w:rsidRPr="00B32B10">
        <w:rPr>
          <w:rFonts w:cs="Arial"/>
        </w:rPr>
        <w:t>Chiang, Y.W., 2024. Process intensification technologies to enhance agricultural sustainability and safety. Chemical Engineering and Processing - Process Intensification 205, 110029. https://doi.org/10.1016/j.cep.2024.110029</w:t>
      </w:r>
    </w:p>
    <w:p w14:paraId="3B9E3230" w14:textId="77777777" w:rsidR="001E6311" w:rsidRPr="00B32B10" w:rsidRDefault="001E6311" w:rsidP="001E6311">
      <w:pPr>
        <w:pStyle w:val="Bibliografia"/>
        <w:rPr>
          <w:rFonts w:cs="Arial"/>
        </w:rPr>
      </w:pPr>
      <w:r w:rsidRPr="00B32B10">
        <w:rPr>
          <w:rFonts w:cs="Arial"/>
        </w:rPr>
        <w:t>CSB, 2007. Runaway Chemical Reaction and Vapor Cloud Explosion [WWW Document]. URL https://www.csb.gov/synthron-chemical-explosion/</w:t>
      </w:r>
    </w:p>
    <w:p w14:paraId="3EF82AA3" w14:textId="77777777" w:rsidR="001E6311" w:rsidRPr="00B32B10" w:rsidRDefault="001E6311" w:rsidP="001E6311">
      <w:pPr>
        <w:pStyle w:val="Bibliografia"/>
        <w:rPr>
          <w:rFonts w:cs="Arial"/>
        </w:rPr>
      </w:pPr>
      <w:r w:rsidRPr="00B32B10">
        <w:rPr>
          <w:rFonts w:cs="Arial"/>
        </w:rPr>
        <w:t>CSB, 2004. Sterigenics - Investigation Report [WWW Document]. URL https://www.csb.gov/sterigenics-ethylene-oxide-explosion/</w:t>
      </w:r>
    </w:p>
    <w:p w14:paraId="518888D4" w14:textId="77777777" w:rsidR="001E6311" w:rsidRPr="00B32B10" w:rsidRDefault="001E6311" w:rsidP="001E6311">
      <w:pPr>
        <w:pStyle w:val="Bibliografia"/>
        <w:rPr>
          <w:rFonts w:cs="Arial"/>
        </w:rPr>
      </w:pPr>
      <w:r w:rsidRPr="00B32B10">
        <w:rPr>
          <w:rFonts w:cs="Arial"/>
        </w:rPr>
        <w:t>DNV GL, 2020. CHEMICAL EXPLOSION AT IQOXE IN TARRAGONA Incident Investigation Report, Rep. 2020-9184, Rev. 1.</w:t>
      </w:r>
    </w:p>
    <w:p w14:paraId="7DF61024" w14:textId="77777777" w:rsidR="001E6311" w:rsidRPr="00B32B10" w:rsidRDefault="001E6311" w:rsidP="001E6311">
      <w:pPr>
        <w:pStyle w:val="Bibliografia"/>
        <w:rPr>
          <w:rFonts w:cs="Arial"/>
        </w:rPr>
      </w:pPr>
      <w:r w:rsidRPr="00B32B10">
        <w:rPr>
          <w:rFonts w:cs="Arial"/>
        </w:rPr>
        <w:t>Failure Knowledge Database, 1998. Explosion of acrylic acid in the drum can in the heating cabinet for dissolution [WWW Document]. URL https://www.shippai.org/fkd/en/sfen/SC1200102.html (accessed 1.29.25).</w:t>
      </w:r>
    </w:p>
    <w:p w14:paraId="63D64131" w14:textId="77777777" w:rsidR="001E6311" w:rsidRPr="00B32B10" w:rsidRDefault="001E6311" w:rsidP="001E6311">
      <w:pPr>
        <w:pStyle w:val="Bibliografia"/>
        <w:rPr>
          <w:rFonts w:cs="Arial"/>
        </w:rPr>
      </w:pPr>
      <w:r w:rsidRPr="00B32B10">
        <w:rPr>
          <w:rFonts w:cs="Arial"/>
        </w:rPr>
        <w:t>Home | Occupational Safety and Health Administration [WWW Document], n.d. URL https://www.osha.gov/ (accessed 11.19.24).</w:t>
      </w:r>
    </w:p>
    <w:p w14:paraId="2D8FE86B" w14:textId="77777777" w:rsidR="001E6311" w:rsidRPr="00B32B10" w:rsidRDefault="001E6311" w:rsidP="001E6311">
      <w:pPr>
        <w:pStyle w:val="Bibliografia"/>
        <w:rPr>
          <w:rFonts w:cs="Arial"/>
        </w:rPr>
      </w:pPr>
      <w:r w:rsidRPr="00B32B10">
        <w:rPr>
          <w:rFonts w:cs="Arial"/>
        </w:rPr>
        <w:t>IchemE, 2020. Loss Prevention Bullettin, Issue 272.</w:t>
      </w:r>
    </w:p>
    <w:p w14:paraId="04D40EC4" w14:textId="77777777" w:rsidR="001E6311" w:rsidRPr="00B32B10" w:rsidRDefault="001E6311" w:rsidP="001E6311">
      <w:pPr>
        <w:pStyle w:val="Bibliografia"/>
        <w:rPr>
          <w:rFonts w:cs="Arial"/>
        </w:rPr>
      </w:pPr>
      <w:r w:rsidRPr="00B32B10">
        <w:rPr>
          <w:rFonts w:cs="Arial"/>
        </w:rPr>
        <w:t>Kletz, T.A., 1996. Inherently safer design: The growth of an idea. Process Safety Progress 15, 5–8. https://doi.org/10.1002/prs.680150105</w:t>
      </w:r>
    </w:p>
    <w:p w14:paraId="56472A07" w14:textId="77777777" w:rsidR="001E6311" w:rsidRPr="00B32B10" w:rsidRDefault="001E6311" w:rsidP="001E6311">
      <w:pPr>
        <w:pStyle w:val="Bibliografia"/>
        <w:rPr>
          <w:rFonts w:cs="Arial"/>
        </w:rPr>
      </w:pPr>
      <w:r w:rsidRPr="00B32B10">
        <w:rPr>
          <w:rFonts w:cs="Arial"/>
        </w:rPr>
        <w:t>Li, G., Yang, H.-X., Yuan, C.-M., Eckhoff, R.K., 2016. A catastrophic aluminium-alloy dust explosion in China. Journal of Loss Prevention in the Process Industries 39, 121–130. https://doi.org/10.1016/j.jlp.2015.11.013</w:t>
      </w:r>
    </w:p>
    <w:p w14:paraId="03242A8F" w14:textId="77777777" w:rsidR="001E6311" w:rsidRPr="00B32B10" w:rsidRDefault="001E6311" w:rsidP="001E6311">
      <w:pPr>
        <w:pStyle w:val="Bibliografia"/>
        <w:rPr>
          <w:rFonts w:cs="Arial"/>
        </w:rPr>
      </w:pPr>
      <w:r w:rsidRPr="00B32B10">
        <w:rPr>
          <w:rFonts w:cs="Arial"/>
        </w:rPr>
        <w:t>Mbogu, H.M., Nicholson, C.D., 2024. Data-driven root cause analysis via causal discovery using time-to-event data. Computers &amp; Industrial Engineering 190, 109974. https://doi.org/10.1016/j.cie.2024.109974</w:t>
      </w:r>
    </w:p>
    <w:p w14:paraId="1D816586" w14:textId="77777777" w:rsidR="001E6311" w:rsidRPr="00B32B10" w:rsidRDefault="001E6311" w:rsidP="001E6311">
      <w:pPr>
        <w:pStyle w:val="Bibliografia"/>
        <w:rPr>
          <w:rFonts w:cs="Arial"/>
        </w:rPr>
      </w:pPr>
      <w:r w:rsidRPr="00B32B10">
        <w:rPr>
          <w:rFonts w:cs="Arial"/>
        </w:rPr>
        <w:t>Nippon Shokubai Co., 2013. Explosion and Fire at Acrylic Acid Production Facility - Investigation report.</w:t>
      </w:r>
    </w:p>
    <w:p w14:paraId="19C4FC68" w14:textId="196E51CA" w:rsidR="004628D2" w:rsidRDefault="001E6311" w:rsidP="000711EC">
      <w:pPr>
        <w:pStyle w:val="Bibliografia"/>
      </w:pPr>
      <w:r w:rsidRPr="00B32B10">
        <w:rPr>
          <w:rFonts w:cs="Arial"/>
        </w:rPr>
        <w:t>Tzou, T.-L., Edwards, D.W., Chung, P.W.H., 2003. An Explosion Accident - Causes and Safey Information Management Lessons to be Learned. IChemE SYMPOSIUM SERIES 149, 591–604.</w:t>
      </w:r>
      <w:r w:rsidR="00EF68C8" w:rsidRPr="00B32B10">
        <w:fldChar w:fldCharType="end"/>
      </w: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83C04" w14:textId="77777777" w:rsidR="001458E8" w:rsidRDefault="001458E8" w:rsidP="004F5E36">
      <w:r>
        <w:separator/>
      </w:r>
    </w:p>
  </w:endnote>
  <w:endnote w:type="continuationSeparator" w:id="0">
    <w:p w14:paraId="09566E5B" w14:textId="77777777" w:rsidR="001458E8" w:rsidRDefault="001458E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063A9" w14:textId="77777777" w:rsidR="001458E8" w:rsidRDefault="001458E8" w:rsidP="004F5E36">
      <w:r>
        <w:separator/>
      </w:r>
    </w:p>
  </w:footnote>
  <w:footnote w:type="continuationSeparator" w:id="0">
    <w:p w14:paraId="4332949D" w14:textId="77777777" w:rsidR="001458E8" w:rsidRDefault="001458E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1BB0A99"/>
    <w:multiLevelType w:val="hybridMultilevel"/>
    <w:tmpl w:val="845A0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38217E"/>
    <w:multiLevelType w:val="multilevel"/>
    <w:tmpl w:val="D5940F0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lang w:val="en-US"/>
      </w:rPr>
    </w:lvl>
    <w:lvl w:ilvl="2">
      <w:start w:val="1"/>
      <w:numFmt w:val="decimal"/>
      <w:pStyle w:val="CETheadingx"/>
      <w:suff w:val="space"/>
      <w:lvlText w:val="%2.%3"/>
      <w:lvlJc w:val="left"/>
      <w:pPr>
        <w:ind w:left="0" w:firstLine="0"/>
      </w:p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63F6F83"/>
    <w:multiLevelType w:val="hybridMultilevel"/>
    <w:tmpl w:val="6352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2987DDE"/>
    <w:multiLevelType w:val="hybridMultilevel"/>
    <w:tmpl w:val="03E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0"/>
  </w:num>
  <w:num w:numId="13" w16cid:durableId="695733619">
    <w:abstractNumId w:val="15"/>
  </w:num>
  <w:num w:numId="14" w16cid:durableId="145903400">
    <w:abstractNumId w:val="21"/>
  </w:num>
  <w:num w:numId="15" w16cid:durableId="19162326">
    <w:abstractNumId w:val="23"/>
  </w:num>
  <w:num w:numId="16" w16cid:durableId="1977102699">
    <w:abstractNumId w:val="22"/>
  </w:num>
  <w:num w:numId="17" w16cid:durableId="860774865">
    <w:abstractNumId w:val="14"/>
  </w:num>
  <w:num w:numId="18" w16cid:durableId="313221457">
    <w:abstractNumId w:val="15"/>
    <w:lvlOverride w:ilvl="0">
      <w:startOverride w:val="1"/>
    </w:lvlOverride>
  </w:num>
  <w:num w:numId="19" w16cid:durableId="534971577">
    <w:abstractNumId w:val="19"/>
  </w:num>
  <w:num w:numId="20" w16cid:durableId="1150947773">
    <w:abstractNumId w:val="18"/>
  </w:num>
  <w:num w:numId="21" w16cid:durableId="124660497">
    <w:abstractNumId w:val="17"/>
  </w:num>
  <w:num w:numId="22" w16cid:durableId="2099861471">
    <w:abstractNumId w:val="16"/>
  </w:num>
  <w:num w:numId="23" w16cid:durableId="84351335">
    <w:abstractNumId w:val="11"/>
  </w:num>
  <w:num w:numId="24" w16cid:durableId="1951665883">
    <w:abstractNumId w:val="13"/>
  </w:num>
  <w:num w:numId="25" w16cid:durableId="147140393">
    <w:abstractNumId w:val="24"/>
  </w:num>
  <w:num w:numId="26" w16cid:durableId="13784294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5416"/>
    <w:rsid w:val="0003148D"/>
    <w:rsid w:val="00031EEC"/>
    <w:rsid w:val="00043DFB"/>
    <w:rsid w:val="00051566"/>
    <w:rsid w:val="000562A9"/>
    <w:rsid w:val="00062A9A"/>
    <w:rsid w:val="00062E51"/>
    <w:rsid w:val="00065058"/>
    <w:rsid w:val="000711EC"/>
    <w:rsid w:val="00081FE7"/>
    <w:rsid w:val="00086C39"/>
    <w:rsid w:val="000942C5"/>
    <w:rsid w:val="000A03B2"/>
    <w:rsid w:val="000C7F7D"/>
    <w:rsid w:val="000D0268"/>
    <w:rsid w:val="000D34BE"/>
    <w:rsid w:val="000D6E48"/>
    <w:rsid w:val="000E0B3C"/>
    <w:rsid w:val="000E102F"/>
    <w:rsid w:val="000E36F1"/>
    <w:rsid w:val="000E3A73"/>
    <w:rsid w:val="000E414A"/>
    <w:rsid w:val="000E75FD"/>
    <w:rsid w:val="000F093C"/>
    <w:rsid w:val="000F787B"/>
    <w:rsid w:val="0012091F"/>
    <w:rsid w:val="00125D3E"/>
    <w:rsid w:val="00126BC2"/>
    <w:rsid w:val="001308B6"/>
    <w:rsid w:val="0013121F"/>
    <w:rsid w:val="00131FE6"/>
    <w:rsid w:val="0013263F"/>
    <w:rsid w:val="001331DF"/>
    <w:rsid w:val="00134DE4"/>
    <w:rsid w:val="0014034D"/>
    <w:rsid w:val="00140FE3"/>
    <w:rsid w:val="00144D16"/>
    <w:rsid w:val="001458E8"/>
    <w:rsid w:val="00150E59"/>
    <w:rsid w:val="00152DE3"/>
    <w:rsid w:val="00153AC7"/>
    <w:rsid w:val="00155E09"/>
    <w:rsid w:val="00164CF9"/>
    <w:rsid w:val="001660D6"/>
    <w:rsid w:val="001667A6"/>
    <w:rsid w:val="001678BB"/>
    <w:rsid w:val="00171240"/>
    <w:rsid w:val="0018171E"/>
    <w:rsid w:val="001837DA"/>
    <w:rsid w:val="00184AD6"/>
    <w:rsid w:val="001A4AF7"/>
    <w:rsid w:val="001B0349"/>
    <w:rsid w:val="001B1E93"/>
    <w:rsid w:val="001B65C1"/>
    <w:rsid w:val="001C260F"/>
    <w:rsid w:val="001C5C3A"/>
    <w:rsid w:val="001C684B"/>
    <w:rsid w:val="001C6FB8"/>
    <w:rsid w:val="001D0CFB"/>
    <w:rsid w:val="001D21AF"/>
    <w:rsid w:val="001D30DC"/>
    <w:rsid w:val="001D53FC"/>
    <w:rsid w:val="001E0A86"/>
    <w:rsid w:val="001E6311"/>
    <w:rsid w:val="001F42A5"/>
    <w:rsid w:val="001F7998"/>
    <w:rsid w:val="001F7B9D"/>
    <w:rsid w:val="00201C93"/>
    <w:rsid w:val="002224B4"/>
    <w:rsid w:val="002447EF"/>
    <w:rsid w:val="002477E2"/>
    <w:rsid w:val="002503CF"/>
    <w:rsid w:val="00251550"/>
    <w:rsid w:val="00257989"/>
    <w:rsid w:val="00263B05"/>
    <w:rsid w:val="0027221A"/>
    <w:rsid w:val="00274DDD"/>
    <w:rsid w:val="00275B61"/>
    <w:rsid w:val="00280FAF"/>
    <w:rsid w:val="00282656"/>
    <w:rsid w:val="00296B83"/>
    <w:rsid w:val="002B02AB"/>
    <w:rsid w:val="002B4015"/>
    <w:rsid w:val="002B78CE"/>
    <w:rsid w:val="002C2FB6"/>
    <w:rsid w:val="002E5FA7"/>
    <w:rsid w:val="002F0FBF"/>
    <w:rsid w:val="002F3309"/>
    <w:rsid w:val="003008CE"/>
    <w:rsid w:val="003009B7"/>
    <w:rsid w:val="00300E56"/>
    <w:rsid w:val="0030152C"/>
    <w:rsid w:val="0030469C"/>
    <w:rsid w:val="003159B8"/>
    <w:rsid w:val="0032156A"/>
    <w:rsid w:val="00321CA6"/>
    <w:rsid w:val="00323763"/>
    <w:rsid w:val="00323C5F"/>
    <w:rsid w:val="00334C09"/>
    <w:rsid w:val="003723D4"/>
    <w:rsid w:val="00381905"/>
    <w:rsid w:val="00381FF4"/>
    <w:rsid w:val="00384CC8"/>
    <w:rsid w:val="003871FD"/>
    <w:rsid w:val="0039078B"/>
    <w:rsid w:val="00394F49"/>
    <w:rsid w:val="003965F0"/>
    <w:rsid w:val="003A1E30"/>
    <w:rsid w:val="003A2829"/>
    <w:rsid w:val="003A7D1C"/>
    <w:rsid w:val="003B304B"/>
    <w:rsid w:val="003B3146"/>
    <w:rsid w:val="003B49CD"/>
    <w:rsid w:val="003B6D82"/>
    <w:rsid w:val="003D1E02"/>
    <w:rsid w:val="003F015E"/>
    <w:rsid w:val="00400414"/>
    <w:rsid w:val="00406364"/>
    <w:rsid w:val="0041446B"/>
    <w:rsid w:val="00417798"/>
    <w:rsid w:val="00420529"/>
    <w:rsid w:val="00425794"/>
    <w:rsid w:val="0044071E"/>
    <w:rsid w:val="0044329C"/>
    <w:rsid w:val="00453E24"/>
    <w:rsid w:val="00457456"/>
    <w:rsid w:val="004577FE"/>
    <w:rsid w:val="00457B9C"/>
    <w:rsid w:val="0046164A"/>
    <w:rsid w:val="004628D2"/>
    <w:rsid w:val="00462DCD"/>
    <w:rsid w:val="004648AD"/>
    <w:rsid w:val="004703A9"/>
    <w:rsid w:val="004755AD"/>
    <w:rsid w:val="004760DE"/>
    <w:rsid w:val="004763D7"/>
    <w:rsid w:val="0047744D"/>
    <w:rsid w:val="004A004E"/>
    <w:rsid w:val="004A24CF"/>
    <w:rsid w:val="004C3D1D"/>
    <w:rsid w:val="004C3D84"/>
    <w:rsid w:val="004C7913"/>
    <w:rsid w:val="004D5714"/>
    <w:rsid w:val="004E4DD6"/>
    <w:rsid w:val="004F5E36"/>
    <w:rsid w:val="00503FDD"/>
    <w:rsid w:val="00505761"/>
    <w:rsid w:val="00507B47"/>
    <w:rsid w:val="00507BEF"/>
    <w:rsid w:val="00507CC9"/>
    <w:rsid w:val="005119A5"/>
    <w:rsid w:val="00513876"/>
    <w:rsid w:val="005278B7"/>
    <w:rsid w:val="00532016"/>
    <w:rsid w:val="005346C8"/>
    <w:rsid w:val="005424FC"/>
    <w:rsid w:val="00543E7D"/>
    <w:rsid w:val="00547A68"/>
    <w:rsid w:val="005531C9"/>
    <w:rsid w:val="00554879"/>
    <w:rsid w:val="00570C43"/>
    <w:rsid w:val="005729E3"/>
    <w:rsid w:val="00592274"/>
    <w:rsid w:val="005A0746"/>
    <w:rsid w:val="005A0BCC"/>
    <w:rsid w:val="005B2110"/>
    <w:rsid w:val="005B350B"/>
    <w:rsid w:val="005B61E6"/>
    <w:rsid w:val="005C77E1"/>
    <w:rsid w:val="005D668A"/>
    <w:rsid w:val="005D6A2F"/>
    <w:rsid w:val="005E0592"/>
    <w:rsid w:val="005E1A82"/>
    <w:rsid w:val="005E794C"/>
    <w:rsid w:val="005F0A28"/>
    <w:rsid w:val="005F0E5E"/>
    <w:rsid w:val="005F192A"/>
    <w:rsid w:val="005F3724"/>
    <w:rsid w:val="00600535"/>
    <w:rsid w:val="006050AE"/>
    <w:rsid w:val="00610CD6"/>
    <w:rsid w:val="0061709B"/>
    <w:rsid w:val="00620DEE"/>
    <w:rsid w:val="00621F92"/>
    <w:rsid w:val="0062280A"/>
    <w:rsid w:val="006231E1"/>
    <w:rsid w:val="00625639"/>
    <w:rsid w:val="00631B33"/>
    <w:rsid w:val="00640B8B"/>
    <w:rsid w:val="0064184D"/>
    <w:rsid w:val="006422CC"/>
    <w:rsid w:val="00651D18"/>
    <w:rsid w:val="00660E3E"/>
    <w:rsid w:val="00662E74"/>
    <w:rsid w:val="00680C23"/>
    <w:rsid w:val="00683E23"/>
    <w:rsid w:val="0069226F"/>
    <w:rsid w:val="00693766"/>
    <w:rsid w:val="006A3281"/>
    <w:rsid w:val="006A6DE5"/>
    <w:rsid w:val="006B4888"/>
    <w:rsid w:val="006C2E45"/>
    <w:rsid w:val="006C359C"/>
    <w:rsid w:val="006C5579"/>
    <w:rsid w:val="006D6E8B"/>
    <w:rsid w:val="006D7209"/>
    <w:rsid w:val="006E737D"/>
    <w:rsid w:val="006F296C"/>
    <w:rsid w:val="00704FDF"/>
    <w:rsid w:val="00707DD1"/>
    <w:rsid w:val="00713973"/>
    <w:rsid w:val="00720A24"/>
    <w:rsid w:val="00732386"/>
    <w:rsid w:val="0073514D"/>
    <w:rsid w:val="00742CF1"/>
    <w:rsid w:val="007447F3"/>
    <w:rsid w:val="0075499F"/>
    <w:rsid w:val="00757716"/>
    <w:rsid w:val="00763F57"/>
    <w:rsid w:val="007661C8"/>
    <w:rsid w:val="0077098D"/>
    <w:rsid w:val="00785BF9"/>
    <w:rsid w:val="007931FA"/>
    <w:rsid w:val="007A4861"/>
    <w:rsid w:val="007A7BBA"/>
    <w:rsid w:val="007B0C50"/>
    <w:rsid w:val="007B48F9"/>
    <w:rsid w:val="007C1A43"/>
    <w:rsid w:val="007D0951"/>
    <w:rsid w:val="007D610D"/>
    <w:rsid w:val="007E1E20"/>
    <w:rsid w:val="0080013E"/>
    <w:rsid w:val="00801759"/>
    <w:rsid w:val="00813288"/>
    <w:rsid w:val="008168FC"/>
    <w:rsid w:val="00830996"/>
    <w:rsid w:val="008345F1"/>
    <w:rsid w:val="00865B07"/>
    <w:rsid w:val="008667EA"/>
    <w:rsid w:val="0087637F"/>
    <w:rsid w:val="00892AD5"/>
    <w:rsid w:val="008A1512"/>
    <w:rsid w:val="008D32B9"/>
    <w:rsid w:val="008D433B"/>
    <w:rsid w:val="008D4A16"/>
    <w:rsid w:val="008E42EA"/>
    <w:rsid w:val="008E5401"/>
    <w:rsid w:val="008E566E"/>
    <w:rsid w:val="009001FA"/>
    <w:rsid w:val="0090161A"/>
    <w:rsid w:val="00901EB6"/>
    <w:rsid w:val="009041F8"/>
    <w:rsid w:val="00904C62"/>
    <w:rsid w:val="00922BA8"/>
    <w:rsid w:val="00924DAC"/>
    <w:rsid w:val="00927058"/>
    <w:rsid w:val="0094046E"/>
    <w:rsid w:val="00942750"/>
    <w:rsid w:val="009450CE"/>
    <w:rsid w:val="009459BB"/>
    <w:rsid w:val="00947179"/>
    <w:rsid w:val="0095164B"/>
    <w:rsid w:val="00954090"/>
    <w:rsid w:val="00955DCA"/>
    <w:rsid w:val="009573E7"/>
    <w:rsid w:val="00963E05"/>
    <w:rsid w:val="0096451D"/>
    <w:rsid w:val="00964A45"/>
    <w:rsid w:val="00967843"/>
    <w:rsid w:val="00967D54"/>
    <w:rsid w:val="00971028"/>
    <w:rsid w:val="00993B84"/>
    <w:rsid w:val="00994C6A"/>
    <w:rsid w:val="00996483"/>
    <w:rsid w:val="00996F5A"/>
    <w:rsid w:val="009B041A"/>
    <w:rsid w:val="009B2E83"/>
    <w:rsid w:val="009C37C3"/>
    <w:rsid w:val="009C5EAA"/>
    <w:rsid w:val="009C7C86"/>
    <w:rsid w:val="009D2FF7"/>
    <w:rsid w:val="009E7884"/>
    <w:rsid w:val="009E788A"/>
    <w:rsid w:val="009F0E08"/>
    <w:rsid w:val="009F2182"/>
    <w:rsid w:val="00A079AE"/>
    <w:rsid w:val="00A1763D"/>
    <w:rsid w:val="00A17CEC"/>
    <w:rsid w:val="00A27EF0"/>
    <w:rsid w:val="00A416FF"/>
    <w:rsid w:val="00A42361"/>
    <w:rsid w:val="00A50B20"/>
    <w:rsid w:val="00A51390"/>
    <w:rsid w:val="00A608F6"/>
    <w:rsid w:val="00A60D13"/>
    <w:rsid w:val="00A7223D"/>
    <w:rsid w:val="00A72745"/>
    <w:rsid w:val="00A76EFC"/>
    <w:rsid w:val="00A87D50"/>
    <w:rsid w:val="00A91010"/>
    <w:rsid w:val="00A97F29"/>
    <w:rsid w:val="00AA12C3"/>
    <w:rsid w:val="00AA702E"/>
    <w:rsid w:val="00AA7D26"/>
    <w:rsid w:val="00AB0964"/>
    <w:rsid w:val="00AB3F7E"/>
    <w:rsid w:val="00AB5011"/>
    <w:rsid w:val="00AC7368"/>
    <w:rsid w:val="00AD16B9"/>
    <w:rsid w:val="00AE377D"/>
    <w:rsid w:val="00AF0EBA"/>
    <w:rsid w:val="00AF244D"/>
    <w:rsid w:val="00AF2463"/>
    <w:rsid w:val="00B0149C"/>
    <w:rsid w:val="00B029B2"/>
    <w:rsid w:val="00B02C8A"/>
    <w:rsid w:val="00B075BA"/>
    <w:rsid w:val="00B150CB"/>
    <w:rsid w:val="00B17FBD"/>
    <w:rsid w:val="00B315A6"/>
    <w:rsid w:val="00B31813"/>
    <w:rsid w:val="00B32B10"/>
    <w:rsid w:val="00B33365"/>
    <w:rsid w:val="00B54112"/>
    <w:rsid w:val="00B57B36"/>
    <w:rsid w:val="00B57E6F"/>
    <w:rsid w:val="00B66353"/>
    <w:rsid w:val="00B8686D"/>
    <w:rsid w:val="00B90185"/>
    <w:rsid w:val="00B93F69"/>
    <w:rsid w:val="00BB1DDC"/>
    <w:rsid w:val="00BC2B0A"/>
    <w:rsid w:val="00BC30C9"/>
    <w:rsid w:val="00BD077D"/>
    <w:rsid w:val="00BE3E58"/>
    <w:rsid w:val="00BF13CE"/>
    <w:rsid w:val="00C01616"/>
    <w:rsid w:val="00C0162B"/>
    <w:rsid w:val="00C068ED"/>
    <w:rsid w:val="00C22E0C"/>
    <w:rsid w:val="00C24EA9"/>
    <w:rsid w:val="00C345B1"/>
    <w:rsid w:val="00C35280"/>
    <w:rsid w:val="00C40142"/>
    <w:rsid w:val="00C52C3C"/>
    <w:rsid w:val="00C57182"/>
    <w:rsid w:val="00C57863"/>
    <w:rsid w:val="00C640AF"/>
    <w:rsid w:val="00C64B63"/>
    <w:rsid w:val="00C655FD"/>
    <w:rsid w:val="00C75407"/>
    <w:rsid w:val="00C841C6"/>
    <w:rsid w:val="00C870A8"/>
    <w:rsid w:val="00C94434"/>
    <w:rsid w:val="00CA0D75"/>
    <w:rsid w:val="00CA1C95"/>
    <w:rsid w:val="00CA5A9C"/>
    <w:rsid w:val="00CC44BD"/>
    <w:rsid w:val="00CC4C20"/>
    <w:rsid w:val="00CD3517"/>
    <w:rsid w:val="00CD5FE2"/>
    <w:rsid w:val="00CE784E"/>
    <w:rsid w:val="00CE7C68"/>
    <w:rsid w:val="00CF6439"/>
    <w:rsid w:val="00D02B4C"/>
    <w:rsid w:val="00D040C4"/>
    <w:rsid w:val="00D075ED"/>
    <w:rsid w:val="00D20AD1"/>
    <w:rsid w:val="00D2582C"/>
    <w:rsid w:val="00D33038"/>
    <w:rsid w:val="00D44CCB"/>
    <w:rsid w:val="00D46B7E"/>
    <w:rsid w:val="00D57C84"/>
    <w:rsid w:val="00D6057D"/>
    <w:rsid w:val="00D71640"/>
    <w:rsid w:val="00D76C50"/>
    <w:rsid w:val="00D77C19"/>
    <w:rsid w:val="00D836C5"/>
    <w:rsid w:val="00D84576"/>
    <w:rsid w:val="00D9068F"/>
    <w:rsid w:val="00DA1399"/>
    <w:rsid w:val="00DA24C6"/>
    <w:rsid w:val="00DA4D7B"/>
    <w:rsid w:val="00DC2840"/>
    <w:rsid w:val="00DC4378"/>
    <w:rsid w:val="00DC73EE"/>
    <w:rsid w:val="00DD271C"/>
    <w:rsid w:val="00DE264A"/>
    <w:rsid w:val="00DF2A05"/>
    <w:rsid w:val="00DF5072"/>
    <w:rsid w:val="00E02D18"/>
    <w:rsid w:val="00E041E7"/>
    <w:rsid w:val="00E178A8"/>
    <w:rsid w:val="00E23CA1"/>
    <w:rsid w:val="00E409A8"/>
    <w:rsid w:val="00E50C12"/>
    <w:rsid w:val="00E65B91"/>
    <w:rsid w:val="00E7209D"/>
    <w:rsid w:val="00E72EAD"/>
    <w:rsid w:val="00E77223"/>
    <w:rsid w:val="00E8528B"/>
    <w:rsid w:val="00E85B94"/>
    <w:rsid w:val="00E978D0"/>
    <w:rsid w:val="00EA2BA6"/>
    <w:rsid w:val="00EA4613"/>
    <w:rsid w:val="00EA7F91"/>
    <w:rsid w:val="00EB1523"/>
    <w:rsid w:val="00EB5B59"/>
    <w:rsid w:val="00EC0E49"/>
    <w:rsid w:val="00EC101F"/>
    <w:rsid w:val="00EC1D9F"/>
    <w:rsid w:val="00EE0131"/>
    <w:rsid w:val="00EE17B0"/>
    <w:rsid w:val="00EF06D9"/>
    <w:rsid w:val="00EF68C8"/>
    <w:rsid w:val="00F03235"/>
    <w:rsid w:val="00F069F5"/>
    <w:rsid w:val="00F27EE4"/>
    <w:rsid w:val="00F3049E"/>
    <w:rsid w:val="00F30C64"/>
    <w:rsid w:val="00F32BA2"/>
    <w:rsid w:val="00F32CDB"/>
    <w:rsid w:val="00F3325A"/>
    <w:rsid w:val="00F41EE4"/>
    <w:rsid w:val="00F553D6"/>
    <w:rsid w:val="00F565FE"/>
    <w:rsid w:val="00F63A70"/>
    <w:rsid w:val="00F63D8C"/>
    <w:rsid w:val="00F74E77"/>
    <w:rsid w:val="00F7534E"/>
    <w:rsid w:val="00F859E5"/>
    <w:rsid w:val="00F93EDF"/>
    <w:rsid w:val="00FA1802"/>
    <w:rsid w:val="00FA21D0"/>
    <w:rsid w:val="00FA5F5F"/>
    <w:rsid w:val="00FB4F16"/>
    <w:rsid w:val="00FB730C"/>
    <w:rsid w:val="00FC2695"/>
    <w:rsid w:val="00FC3E03"/>
    <w:rsid w:val="00FC3FC1"/>
    <w:rsid w:val="00FD7108"/>
    <w:rsid w:val="00FF730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93C15D4B-4E3D-4EBD-A3E6-093E0CD8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9068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9068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61464b-37cf-44ea-8d18-14153ca159e9">
      <Terms xmlns="http://schemas.microsoft.com/office/infopath/2007/PartnerControls"/>
    </lcf76f155ced4ddcb4097134ff3c332f>
    <TaxCatchAll xmlns="7344bc78-a3c5-48e7-879b-23dae01f99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3AF8F0278B2354D871DAEF0B807ECB9" ma:contentTypeVersion="13" ma:contentTypeDescription="Creare un nuovo documento." ma:contentTypeScope="" ma:versionID="de7434dbb2508aebe457661c9c014cb1">
  <xsd:schema xmlns:xsd="http://www.w3.org/2001/XMLSchema" xmlns:xs="http://www.w3.org/2001/XMLSchema" xmlns:p="http://schemas.microsoft.com/office/2006/metadata/properties" xmlns:ns2="a861464b-37cf-44ea-8d18-14153ca159e9" xmlns:ns3="7344bc78-a3c5-48e7-879b-23dae01f9991" targetNamespace="http://schemas.microsoft.com/office/2006/metadata/properties" ma:root="true" ma:fieldsID="ac4825e34f5b5e6faf346dc01f2be33a" ns2:_="" ns3:_="">
    <xsd:import namespace="a861464b-37cf-44ea-8d18-14153ca159e9"/>
    <xsd:import namespace="7344bc78-a3c5-48e7-879b-23dae01f9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464b-37cf-44ea-8d18-14153ca15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f43bf995-fbfa-44ea-8187-e0b9c3bf97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44bc78-a3c5-48e7-879b-23dae01f999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1ddccec-1ca0-4f23-9ea9-f01a15cea4a1}" ma:internalName="TaxCatchAll" ma:showField="CatchAllData" ma:web="7344bc78-a3c5-48e7-879b-23dae01f9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customXml/itemProps2.xml><?xml version="1.0" encoding="utf-8"?>
<ds:datastoreItem xmlns:ds="http://schemas.openxmlformats.org/officeDocument/2006/customXml" ds:itemID="{10952B35-0FC5-4DDC-A720-DA4B29CF8396}">
  <ds:schemaRefs>
    <ds:schemaRef ds:uri="http://schemas.microsoft.com/office/2006/metadata/properties"/>
    <ds:schemaRef ds:uri="http://schemas.microsoft.com/office/infopath/2007/PartnerControls"/>
    <ds:schemaRef ds:uri="a861464b-37cf-44ea-8d18-14153ca159e9"/>
    <ds:schemaRef ds:uri="7344bc78-a3c5-48e7-879b-23dae01f9991"/>
  </ds:schemaRefs>
</ds:datastoreItem>
</file>

<file path=customXml/itemProps3.xml><?xml version="1.0" encoding="utf-8"?>
<ds:datastoreItem xmlns:ds="http://schemas.openxmlformats.org/officeDocument/2006/customXml" ds:itemID="{3DDF8290-470C-44F0-83EC-E5ABEED00B26}">
  <ds:schemaRefs>
    <ds:schemaRef ds:uri="http://schemas.microsoft.com/sharepoint/v3/contenttype/forms"/>
  </ds:schemaRefs>
</ds:datastoreItem>
</file>

<file path=customXml/itemProps4.xml><?xml version="1.0" encoding="utf-8"?>
<ds:datastoreItem xmlns:ds="http://schemas.openxmlformats.org/officeDocument/2006/customXml" ds:itemID="{90FF5767-0E95-4E0F-AE43-B82C1AE14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464b-37cf-44ea-8d18-14153ca159e9"/>
    <ds:schemaRef ds:uri="7344bc78-a3c5-48e7-879b-23dae01f9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5961</Words>
  <Characters>33980</Characters>
  <Application>Microsoft Office Word</Application>
  <DocSecurity>0</DocSecurity>
  <Lines>283</Lines>
  <Paragraphs>79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Barozzi Marco</cp:lastModifiedBy>
  <cp:revision>9</cp:revision>
  <cp:lastPrinted>2015-05-12T18:31:00Z</cp:lastPrinted>
  <dcterms:created xsi:type="dcterms:W3CDTF">2025-01-30T09:20:00Z</dcterms:created>
  <dcterms:modified xsi:type="dcterms:W3CDTF">2025-01-30T10:29:00Z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id="f1Elp9yq"/&gt;&lt;style id="http://www.zotero.org/styles/journal-of-loss-prevention-in-the-process-industries" hasBibliography="1" bibliographyStyleHasBeenSet="1"/&gt;&lt;prefs&gt;&lt;pref name="fieldType" value="</vt:lpwstr>
  </property>
  <property fmtid="{D5CDD505-2E9C-101B-9397-08002B2CF9AE}" pid="3" name="ZOTERO_PREF_2">
    <vt:lpwstr>Field"/&gt;&lt;pref name="storeReferences" value="true"/&gt;&lt;/prefs&gt;&lt;/data&gt;</vt:lpwstr>
  </property>
  <property fmtid="{D5CDD505-2E9C-101B-9397-08002B2CF9AE}" pid="4" name="ContentTypeId">
    <vt:lpwstr>0x01010023AF8F0278B2354D871DAEF0B807ECB9</vt:lpwstr>
  </property>
  <property fmtid="{D5CDD505-2E9C-101B-9397-08002B2CF9AE}" pid="5" name="MediaServiceImageTags">
    <vt:lpwstr/>
  </property>
</Properties>
</file>