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trPr>
          <w:trHeight w:val="852"/>
          <w:jc w:val="center"/>
        </w:trPr>
        <w:tc>
          <w:tcPr>
            <w:tcW w:w="6946" w:type="dxa"/>
            <w:vMerge w:val="restart"/>
            <w:tcBorders>
              <w:right w:val="single" w:sz="4" w:space="0" w:color="auto"/>
            </w:tcBorders>
          </w:tcPr>
          <w:p w:rsidR="000A03B2" w:rsidRPr="00B57B36" w:rsidRDefault="000A03B2" w:rsidP="00A61159">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A6115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A61159">
              <w:rPr>
                <w:rFonts w:cs="Arial"/>
                <w:b/>
                <w:bCs/>
                <w:i/>
                <w:iCs/>
                <w:color w:val="000066"/>
                <w:sz w:val="22"/>
                <w:szCs w:val="22"/>
                <w:lang w:eastAsia="it-IT"/>
              </w:rPr>
              <w:t>3</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A61159">
            <w:pPr>
              <w:jc w:val="right"/>
              <w:rPr>
                <w:rFonts w:cs="Arial"/>
                <w:sz w:val="14"/>
                <w:szCs w:val="14"/>
              </w:rPr>
            </w:pPr>
            <w:r w:rsidRPr="00B57B36">
              <w:rPr>
                <w:rFonts w:cs="Arial"/>
                <w:sz w:val="14"/>
                <w:szCs w:val="14"/>
              </w:rPr>
              <w:t>A publication of</w:t>
            </w:r>
          </w:p>
          <w:p w:rsidR="000A03B2" w:rsidRPr="00B57B36" w:rsidRDefault="000A03B2" w:rsidP="00A61159">
            <w:pPr>
              <w:jc w:val="right"/>
            </w:pPr>
            <w:r w:rsidRPr="00B57B36">
              <w:rPr>
                <w:noProof/>
                <w:lang w:val="it-IT" w:eastAsia="it-IT"/>
              </w:rPr>
              <w:drawing>
                <wp:inline distT="0" distB="0" distL="0" distR="0" wp14:anchorId="7D9EF72E" wp14:editId="567DA469">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A61159">
            <w:pPr>
              <w:tabs>
                <w:tab w:val="left" w:pos="-108"/>
              </w:tabs>
            </w:pPr>
          </w:p>
        </w:tc>
        <w:tc>
          <w:tcPr>
            <w:tcW w:w="1843" w:type="dxa"/>
            <w:tcBorders>
              <w:left w:val="single" w:sz="4" w:space="0" w:color="auto"/>
              <w:bottom w:val="nil"/>
              <w:right w:val="single" w:sz="4" w:space="0" w:color="auto"/>
            </w:tcBorders>
          </w:tcPr>
          <w:p w:rsidR="000A03B2" w:rsidRPr="00B57B36" w:rsidRDefault="000A03B2" w:rsidP="00A61159">
            <w:pPr>
              <w:jc w:val="right"/>
              <w:rPr>
                <w:rFonts w:cs="Arial"/>
                <w:sz w:val="14"/>
                <w:szCs w:val="14"/>
              </w:rPr>
            </w:pPr>
            <w:r w:rsidRPr="00B57B36">
              <w:rPr>
                <w:rFonts w:cs="Arial"/>
                <w:sz w:val="14"/>
                <w:szCs w:val="14"/>
              </w:rPr>
              <w:t>The Italian Association</w:t>
            </w:r>
          </w:p>
          <w:p w:rsidR="000A03B2" w:rsidRPr="00B57B36" w:rsidRDefault="000A03B2" w:rsidP="00A61159">
            <w:pPr>
              <w:jc w:val="right"/>
              <w:rPr>
                <w:rFonts w:cs="Arial"/>
                <w:sz w:val="14"/>
                <w:szCs w:val="14"/>
              </w:rPr>
            </w:pPr>
            <w:r w:rsidRPr="00B57B36">
              <w:rPr>
                <w:rFonts w:cs="Arial"/>
                <w:sz w:val="14"/>
                <w:szCs w:val="14"/>
              </w:rPr>
              <w:t>of Chemical Engineering</w:t>
            </w:r>
          </w:p>
          <w:p w:rsidR="000A03B2" w:rsidRPr="00B57B36" w:rsidRDefault="000A03B2" w:rsidP="00A61159">
            <w:pPr>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trPr>
          <w:trHeight w:val="68"/>
          <w:jc w:val="center"/>
        </w:trPr>
        <w:tc>
          <w:tcPr>
            <w:tcW w:w="8789" w:type="dxa"/>
            <w:gridSpan w:val="2"/>
          </w:tcPr>
          <w:p w:rsidR="00300E56" w:rsidRPr="008531D2" w:rsidRDefault="00300E56" w:rsidP="00A61159">
            <w:pPr>
              <w:ind w:left="-107"/>
              <w:rPr>
                <w:lang w:val="it-IT"/>
              </w:rPr>
            </w:pPr>
            <w:r w:rsidRPr="008531D2">
              <w:rPr>
                <w:rFonts w:ascii="Tahoma" w:hAnsi="Tahoma" w:cs="Tahoma"/>
                <w:iCs/>
                <w:color w:val="333333"/>
                <w:sz w:val="14"/>
                <w:szCs w:val="14"/>
                <w:lang w:val="it-IT" w:eastAsia="it-IT"/>
              </w:rPr>
              <w:t xml:space="preserve">Guest </w:t>
            </w:r>
            <w:proofErr w:type="spellStart"/>
            <w:r w:rsidRPr="008531D2">
              <w:rPr>
                <w:rFonts w:ascii="Tahoma" w:hAnsi="Tahoma" w:cs="Tahoma"/>
                <w:iCs/>
                <w:color w:val="333333"/>
                <w:sz w:val="14"/>
                <w:szCs w:val="14"/>
                <w:lang w:val="it-IT" w:eastAsia="it-IT"/>
              </w:rPr>
              <w:t>Editors</w:t>
            </w:r>
            <w:proofErr w:type="spellEnd"/>
            <w:r w:rsidRPr="008531D2">
              <w:rPr>
                <w:rFonts w:ascii="Tahoma" w:hAnsi="Tahoma" w:cs="Tahoma"/>
                <w:iCs/>
                <w:color w:val="333333"/>
                <w:sz w:val="14"/>
                <w:szCs w:val="14"/>
                <w:lang w:val="it-IT" w:eastAsia="it-IT"/>
              </w:rPr>
              <w:t>:</w:t>
            </w:r>
            <w:r w:rsidR="00904C62" w:rsidRPr="008531D2">
              <w:rPr>
                <w:rFonts w:ascii="Tahoma" w:hAnsi="Tahoma" w:cs="Tahoma"/>
                <w:iCs/>
                <w:color w:val="333333"/>
                <w:sz w:val="14"/>
                <w:szCs w:val="14"/>
                <w:lang w:val="it-IT" w:eastAsia="it-IT"/>
              </w:rPr>
              <w:t xml:space="preserve"> </w:t>
            </w:r>
            <w:r w:rsidR="008531D2" w:rsidRPr="006F0401">
              <w:rPr>
                <w:rFonts w:ascii="Tahoma" w:hAnsi="Tahoma" w:cs="Tahoma"/>
                <w:color w:val="0D0D0D" w:themeColor="text1" w:themeTint="F2"/>
                <w:sz w:val="14"/>
                <w:szCs w:val="14"/>
                <w:lang w:val="it-IT"/>
              </w:rPr>
              <w:t xml:space="preserve">Andrea D’Anna, </w:t>
            </w:r>
            <w:r w:rsidR="008531D2" w:rsidRPr="006F0401">
              <w:rPr>
                <w:rFonts w:ascii="Tahoma" w:hAnsi="Tahoma" w:cs="Tahoma"/>
                <w:bCs/>
                <w:color w:val="0D0D0D" w:themeColor="text1" w:themeTint="F2"/>
                <w:sz w:val="14"/>
                <w:szCs w:val="14"/>
                <w:lang w:val="it-IT"/>
              </w:rPr>
              <w:t xml:space="preserve">Paolo </w:t>
            </w:r>
            <w:proofErr w:type="spellStart"/>
            <w:r w:rsidR="008531D2" w:rsidRPr="006F0401">
              <w:rPr>
                <w:rFonts w:ascii="Tahoma" w:hAnsi="Tahoma" w:cs="Tahoma"/>
                <w:bCs/>
                <w:color w:val="0D0D0D" w:themeColor="text1" w:themeTint="F2"/>
                <w:sz w:val="14"/>
                <w:szCs w:val="14"/>
                <w:lang w:val="it-IT"/>
              </w:rPr>
              <w:t>Ciambelli</w:t>
            </w:r>
            <w:proofErr w:type="spellEnd"/>
            <w:r w:rsidR="008531D2" w:rsidRPr="006F0401">
              <w:rPr>
                <w:rFonts w:ascii="Tahoma" w:hAnsi="Tahoma" w:cs="Tahoma"/>
                <w:bCs/>
                <w:color w:val="0D0D0D" w:themeColor="text1" w:themeTint="F2"/>
                <w:sz w:val="14"/>
                <w:szCs w:val="14"/>
                <w:lang w:val="it-IT"/>
              </w:rPr>
              <w:t xml:space="preserve">, Carmelo </w:t>
            </w:r>
            <w:proofErr w:type="spellStart"/>
            <w:r w:rsidR="008531D2" w:rsidRPr="006F0401">
              <w:rPr>
                <w:rFonts w:ascii="Tahoma" w:hAnsi="Tahoma" w:cs="Tahoma"/>
                <w:bCs/>
                <w:color w:val="0D0D0D" w:themeColor="text1" w:themeTint="F2"/>
                <w:sz w:val="14"/>
                <w:szCs w:val="14"/>
                <w:lang w:val="it-IT"/>
              </w:rPr>
              <w:t>Sunseri</w:t>
            </w:r>
            <w:proofErr w:type="spellEnd"/>
          </w:p>
          <w:p w:rsidR="000A03B2" w:rsidRPr="00B57B36" w:rsidRDefault="00FA5F5F" w:rsidP="00A61159">
            <w:pPr>
              <w:tabs>
                <w:tab w:val="left" w:pos="-108"/>
              </w:tabs>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A61159">
              <w:rPr>
                <w:rFonts w:ascii="Tahoma" w:hAnsi="Tahoma" w:cs="Tahoma"/>
                <w:sz w:val="14"/>
                <w:szCs w:val="14"/>
              </w:rPr>
              <w:t>70</w:t>
            </w:r>
            <w:r w:rsidR="008D32B9" w:rsidRPr="00131FAB">
              <w:rPr>
                <w:rFonts w:ascii="Tahoma" w:hAnsi="Tahoma" w:cs="Tahoma"/>
                <w:sz w:val="14"/>
                <w:szCs w:val="14"/>
              </w:rPr>
              <w:t>-</w:t>
            </w:r>
            <w:r w:rsidR="00A61159">
              <w:rPr>
                <w:rFonts w:ascii="Tahoma" w:hAnsi="Tahoma" w:cs="Tahoma"/>
                <w:sz w:val="14"/>
                <w:szCs w:val="14"/>
              </w:rPr>
              <w:t>0</w:t>
            </w:r>
            <w:bookmarkStart w:id="0" w:name="_GoBack"/>
            <w:bookmarkEnd w:id="0"/>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A61159">
      <w:pPr>
        <w:pStyle w:val="CETAuthors"/>
        <w:sectPr w:rsidR="000A03B2" w:rsidRPr="00B57B36" w:rsidSect="008519FF">
          <w:type w:val="continuous"/>
          <w:pgSz w:w="11906" w:h="16838" w:code="9"/>
          <w:pgMar w:top="1701" w:right="1418" w:bottom="1701" w:left="1701" w:header="1701" w:footer="0" w:gutter="0"/>
          <w:cols w:space="708"/>
          <w:titlePg/>
          <w:docGrid w:linePitch="360"/>
        </w:sectPr>
      </w:pPr>
    </w:p>
    <w:p w:rsidR="003E492F" w:rsidRDefault="003E492F" w:rsidP="00A61159">
      <w:pPr>
        <w:pStyle w:val="CETTitle"/>
      </w:pPr>
      <w:r w:rsidRPr="003E492F">
        <w:lastRenderedPageBreak/>
        <w:t xml:space="preserve">New </w:t>
      </w:r>
      <w:proofErr w:type="spellStart"/>
      <w:r w:rsidR="00A61159">
        <w:t>Nanocatalyst</w:t>
      </w:r>
      <w:proofErr w:type="spellEnd"/>
      <w:r w:rsidR="00A61159">
        <w:t xml:space="preserve"> for VOCs Removal from Recycled P</w:t>
      </w:r>
      <w:r w:rsidRPr="003E492F">
        <w:t xml:space="preserve">lastics </w:t>
      </w:r>
    </w:p>
    <w:p w:rsidR="00E978D0" w:rsidRPr="0057154B" w:rsidRDefault="0057154B" w:rsidP="00A61159">
      <w:pPr>
        <w:pStyle w:val="CETAuthors"/>
        <w:rPr>
          <w:lang w:val="it-IT"/>
        </w:rPr>
      </w:pPr>
      <w:r w:rsidRPr="0057154B">
        <w:rPr>
          <w:lang w:val="it-IT"/>
        </w:rPr>
        <w:t>Maria Sarno</w:t>
      </w:r>
      <w:r w:rsidR="00600535" w:rsidRPr="0057154B">
        <w:rPr>
          <w:lang w:val="it-IT"/>
        </w:rPr>
        <w:t xml:space="preserve">, </w:t>
      </w:r>
      <w:r w:rsidRPr="0057154B">
        <w:rPr>
          <w:lang w:val="it-IT"/>
        </w:rPr>
        <w:t>Davide Scarpa</w:t>
      </w:r>
      <w:r w:rsidR="00600535" w:rsidRPr="0057154B">
        <w:rPr>
          <w:lang w:val="it-IT"/>
        </w:rPr>
        <w:t xml:space="preserve">*, </w:t>
      </w:r>
      <w:r w:rsidRPr="0057154B">
        <w:rPr>
          <w:lang w:val="it-IT"/>
        </w:rPr>
        <w:t>Claudia Cirillo</w:t>
      </w:r>
      <w:r w:rsidR="000C2822">
        <w:rPr>
          <w:lang w:val="it-IT"/>
        </w:rPr>
        <w:t>, Carmela Scudieri</w:t>
      </w:r>
    </w:p>
    <w:p w:rsidR="0057154B" w:rsidRPr="00956EC1" w:rsidRDefault="0057154B" w:rsidP="00A61159">
      <w:pPr>
        <w:pStyle w:val="CETAddress"/>
        <w:spacing w:line="264" w:lineRule="auto"/>
      </w:pPr>
      <w:r w:rsidRPr="00956EC1">
        <w:t xml:space="preserve">Department of Industrial Engineering and Centre NANO_MATES University of Salerno </w:t>
      </w:r>
    </w:p>
    <w:p w:rsidR="0057154B" w:rsidRPr="00956EC1" w:rsidRDefault="0057154B" w:rsidP="00A61159">
      <w:pPr>
        <w:pStyle w:val="CETAddress"/>
        <w:spacing w:line="264" w:lineRule="auto"/>
        <w:rPr>
          <w:lang w:val="it-IT"/>
        </w:rPr>
      </w:pPr>
      <w:r w:rsidRPr="00956EC1">
        <w:rPr>
          <w:lang w:val="it-IT"/>
        </w:rPr>
        <w:t xml:space="preserve">Via Giovanni Paolo II ,132 -  84084 Fisciano (SA), Italy  </w:t>
      </w:r>
    </w:p>
    <w:p w:rsidR="00E978D0" w:rsidRDefault="0057154B" w:rsidP="00A61159">
      <w:pPr>
        <w:pStyle w:val="CETemail"/>
        <w:spacing w:line="264" w:lineRule="auto"/>
        <w:rPr>
          <w:rStyle w:val="Collegamentoipertestuale"/>
          <w:rFonts w:eastAsia="Calibri"/>
        </w:rPr>
      </w:pPr>
      <w:r w:rsidRPr="00A61159">
        <w:rPr>
          <w:rFonts w:eastAsia="Calibri"/>
        </w:rPr>
        <w:t>davidescarpa93@libero.it</w:t>
      </w:r>
      <w:r w:rsidRPr="000C2822">
        <w:rPr>
          <w:rStyle w:val="Collegamentoipertestuale"/>
          <w:rFonts w:eastAsia="Calibri"/>
        </w:rPr>
        <w:t xml:space="preserve"> </w:t>
      </w:r>
    </w:p>
    <w:p w:rsidR="000C2822" w:rsidRPr="00F05C95" w:rsidRDefault="000F71CF" w:rsidP="00A61159">
      <w:pPr>
        <w:pStyle w:val="CETHeading1"/>
        <w:numPr>
          <w:ilvl w:val="0"/>
          <w:numId w:val="0"/>
        </w:numPr>
        <w:spacing w:line="264" w:lineRule="auto"/>
        <w:jc w:val="both"/>
        <w:rPr>
          <w:b w:val="0"/>
          <w:sz w:val="18"/>
          <w:szCs w:val="18"/>
          <w:lang w:val="en-GB"/>
        </w:rPr>
      </w:pPr>
      <w:r w:rsidRPr="000F71CF">
        <w:rPr>
          <w:b w:val="0"/>
          <w:sz w:val="18"/>
          <w:szCs w:val="18"/>
          <w:lang w:val="en-GB"/>
        </w:rPr>
        <w:t>Graphene-based supports for catalysis are currently attracting great attention due to their unique and advantageous properties. However, their application in gas-phase thermal catalysis including catalytic oxidation of volatile organic compounds (VOCs) remains a theoretical research stage. Here, a new use of a graphene-based material as a catalyst support for 2-ethyl-1-hexanol (2-EH) oxidation</w:t>
      </w:r>
      <w:r w:rsidR="00C177E1">
        <w:rPr>
          <w:b w:val="0"/>
          <w:sz w:val="18"/>
          <w:szCs w:val="18"/>
          <w:lang w:val="en-GB"/>
        </w:rPr>
        <w:t xml:space="preserve"> </w:t>
      </w:r>
      <w:r w:rsidR="00C177E1" w:rsidRPr="00C333D8">
        <w:rPr>
          <w:b w:val="0"/>
          <w:sz w:val="18"/>
          <w:szCs w:val="18"/>
          <w:lang w:val="en-GB"/>
        </w:rPr>
        <w:t>was developed</w:t>
      </w:r>
      <w:r w:rsidRPr="000F71CF">
        <w:rPr>
          <w:b w:val="0"/>
          <w:sz w:val="18"/>
          <w:szCs w:val="18"/>
          <w:lang w:val="en-GB"/>
        </w:rPr>
        <w:t xml:space="preserve">. The design of </w:t>
      </w:r>
      <w:proofErr w:type="spellStart"/>
      <w:r w:rsidRPr="000F71CF">
        <w:rPr>
          <w:b w:val="0"/>
          <w:sz w:val="18"/>
          <w:szCs w:val="18"/>
          <w:lang w:val="en-GB"/>
        </w:rPr>
        <w:t>CuO</w:t>
      </w:r>
      <w:proofErr w:type="spellEnd"/>
      <w:r w:rsidRPr="000F71CF">
        <w:rPr>
          <w:b w:val="0"/>
          <w:sz w:val="18"/>
          <w:szCs w:val="18"/>
          <w:lang w:val="en-GB"/>
        </w:rPr>
        <w:t xml:space="preserve">/Ag catalyst incorporated into </w:t>
      </w:r>
      <w:r w:rsidR="00A77BD7">
        <w:rPr>
          <w:b w:val="0"/>
          <w:sz w:val="18"/>
          <w:szCs w:val="18"/>
          <w:lang w:val="en-GB"/>
        </w:rPr>
        <w:t xml:space="preserve">the porous structure of </w:t>
      </w:r>
      <w:r w:rsidR="00C96A3A">
        <w:rPr>
          <w:b w:val="0"/>
          <w:sz w:val="18"/>
          <w:szCs w:val="18"/>
          <w:lang w:val="en-GB"/>
        </w:rPr>
        <w:t xml:space="preserve">reduced </w:t>
      </w:r>
      <w:r w:rsidRPr="000F71CF">
        <w:rPr>
          <w:b w:val="0"/>
          <w:sz w:val="18"/>
          <w:szCs w:val="18"/>
          <w:lang w:val="en-GB"/>
        </w:rPr>
        <w:t>graphene oxide aerogel (</w:t>
      </w:r>
      <w:r w:rsidR="00C96A3A">
        <w:rPr>
          <w:b w:val="0"/>
          <w:sz w:val="18"/>
          <w:szCs w:val="18"/>
          <w:lang w:val="en-GB"/>
        </w:rPr>
        <w:t>r</w:t>
      </w:r>
      <w:r w:rsidRPr="000F71CF">
        <w:rPr>
          <w:b w:val="0"/>
          <w:sz w:val="18"/>
          <w:szCs w:val="18"/>
          <w:lang w:val="en-GB"/>
        </w:rPr>
        <w:t>GOA) exposes m</w:t>
      </w:r>
      <w:r w:rsidR="00E60C8A">
        <w:rPr>
          <w:b w:val="0"/>
          <w:sz w:val="18"/>
          <w:szCs w:val="18"/>
          <w:lang w:val="en-GB"/>
        </w:rPr>
        <w:t>ore active surface for catalysis</w:t>
      </w:r>
      <w:r w:rsidRPr="000F71CF">
        <w:rPr>
          <w:b w:val="0"/>
          <w:sz w:val="18"/>
          <w:szCs w:val="18"/>
          <w:lang w:val="en-GB"/>
        </w:rPr>
        <w:t xml:space="preserve">. Therefore, this hybrid design enables great performance enhancements in 2-EH oxidation, displaying a </w:t>
      </w:r>
      <w:r w:rsidR="00057B74">
        <w:rPr>
          <w:b w:val="0"/>
          <w:sz w:val="18"/>
          <w:szCs w:val="18"/>
          <w:lang w:val="en-GB"/>
        </w:rPr>
        <w:sym w:font="Symbol" w:char="F07E"/>
      </w:r>
      <w:r w:rsidR="00057B74">
        <w:rPr>
          <w:b w:val="0"/>
          <w:sz w:val="18"/>
          <w:szCs w:val="18"/>
          <w:lang w:val="en-GB"/>
        </w:rPr>
        <w:t xml:space="preserve"> </w:t>
      </w:r>
      <w:r w:rsidRPr="000F71CF">
        <w:rPr>
          <w:b w:val="0"/>
          <w:sz w:val="18"/>
          <w:szCs w:val="18"/>
          <w:lang w:val="en-GB"/>
        </w:rPr>
        <w:t xml:space="preserve">99% removal at a temperature of 350 °C. Highly stable performance and excellent recycling ability are observed over </w:t>
      </w:r>
      <w:proofErr w:type="spellStart"/>
      <w:r w:rsidRPr="000F71CF">
        <w:rPr>
          <w:b w:val="0"/>
          <w:sz w:val="18"/>
          <w:szCs w:val="18"/>
          <w:lang w:val="en-GB"/>
        </w:rPr>
        <w:t>CuO</w:t>
      </w:r>
      <w:proofErr w:type="spellEnd"/>
      <w:r w:rsidRPr="000F71CF">
        <w:rPr>
          <w:b w:val="0"/>
          <w:sz w:val="18"/>
          <w:szCs w:val="18"/>
          <w:lang w:val="en-GB"/>
        </w:rPr>
        <w:t>/Ag-</w:t>
      </w:r>
      <w:proofErr w:type="spellStart"/>
      <w:r w:rsidR="00C96A3A">
        <w:rPr>
          <w:b w:val="0"/>
          <w:sz w:val="18"/>
          <w:szCs w:val="18"/>
          <w:lang w:val="en-GB"/>
        </w:rPr>
        <w:t>r</w:t>
      </w:r>
      <w:r w:rsidRPr="000F71CF">
        <w:rPr>
          <w:b w:val="0"/>
          <w:sz w:val="18"/>
          <w:szCs w:val="18"/>
          <w:lang w:val="en-GB"/>
        </w:rPr>
        <w:t>GOA</w:t>
      </w:r>
      <w:proofErr w:type="spellEnd"/>
      <w:r w:rsidRPr="000F71CF">
        <w:rPr>
          <w:b w:val="0"/>
          <w:sz w:val="18"/>
          <w:szCs w:val="18"/>
          <w:lang w:val="en-GB"/>
        </w:rPr>
        <w:t xml:space="preserve"> dual function adsorbent-catalyst</w:t>
      </w:r>
      <w:r w:rsidR="00E60C8A">
        <w:rPr>
          <w:b w:val="0"/>
          <w:sz w:val="18"/>
          <w:szCs w:val="18"/>
          <w:lang w:val="en-GB"/>
        </w:rPr>
        <w:t xml:space="preserve"> material</w:t>
      </w:r>
      <w:r w:rsidRPr="000F71CF">
        <w:rPr>
          <w:b w:val="0"/>
          <w:sz w:val="18"/>
          <w:szCs w:val="18"/>
          <w:lang w:val="en-GB"/>
        </w:rPr>
        <w:t xml:space="preserve">. The high activity and good stability of </w:t>
      </w:r>
      <w:proofErr w:type="spellStart"/>
      <w:r w:rsidRPr="000F71CF">
        <w:rPr>
          <w:b w:val="0"/>
          <w:sz w:val="18"/>
          <w:szCs w:val="18"/>
          <w:lang w:val="en-GB"/>
        </w:rPr>
        <w:t>CuO</w:t>
      </w:r>
      <w:proofErr w:type="spellEnd"/>
      <w:r w:rsidRPr="000F71CF">
        <w:rPr>
          <w:b w:val="0"/>
          <w:sz w:val="18"/>
          <w:szCs w:val="18"/>
          <w:lang w:val="en-GB"/>
        </w:rPr>
        <w:t>/Ag-</w:t>
      </w:r>
      <w:proofErr w:type="spellStart"/>
      <w:r w:rsidR="00C96A3A">
        <w:rPr>
          <w:b w:val="0"/>
          <w:sz w:val="18"/>
          <w:szCs w:val="18"/>
          <w:lang w:val="en-GB"/>
        </w:rPr>
        <w:t>r</w:t>
      </w:r>
      <w:r w:rsidRPr="000F71CF">
        <w:rPr>
          <w:b w:val="0"/>
          <w:sz w:val="18"/>
          <w:szCs w:val="18"/>
          <w:lang w:val="en-GB"/>
        </w:rPr>
        <w:t>GOA</w:t>
      </w:r>
      <w:proofErr w:type="spellEnd"/>
      <w:r w:rsidRPr="000F71CF">
        <w:rPr>
          <w:b w:val="0"/>
          <w:sz w:val="18"/>
          <w:szCs w:val="18"/>
          <w:lang w:val="en-GB"/>
        </w:rPr>
        <w:t xml:space="preserve"> make it an excellent candidate for the developm</w:t>
      </w:r>
      <w:r>
        <w:rPr>
          <w:b w:val="0"/>
          <w:sz w:val="18"/>
          <w:szCs w:val="18"/>
          <w:lang w:val="en-GB"/>
        </w:rPr>
        <w:t>ent of 2-EH oxidation catalys</w:t>
      </w:r>
      <w:r w:rsidR="00E863F7">
        <w:rPr>
          <w:b w:val="0"/>
          <w:sz w:val="18"/>
          <w:szCs w:val="18"/>
          <w:lang w:val="en-GB"/>
        </w:rPr>
        <w:t>is</w:t>
      </w:r>
      <w:r w:rsidR="00234C1A" w:rsidRPr="00F05C95">
        <w:rPr>
          <w:b w:val="0"/>
          <w:sz w:val="18"/>
          <w:szCs w:val="18"/>
          <w:lang w:val="en-GB"/>
        </w:rPr>
        <w:t>.</w:t>
      </w:r>
    </w:p>
    <w:p w:rsidR="00AC15E2" w:rsidRDefault="00600535" w:rsidP="00A61159">
      <w:pPr>
        <w:pStyle w:val="CETHeading1"/>
        <w:spacing w:line="264" w:lineRule="auto"/>
        <w:rPr>
          <w:lang w:val="en-GB"/>
        </w:rPr>
      </w:pPr>
      <w:r w:rsidRPr="00B57B36">
        <w:rPr>
          <w:lang w:val="en-GB"/>
        </w:rPr>
        <w:t>Introduction</w:t>
      </w:r>
    </w:p>
    <w:p w:rsidR="000353A9" w:rsidRPr="00F520F7" w:rsidRDefault="00510FD7" w:rsidP="00A61159">
      <w:pPr>
        <w:pStyle w:val="CETBodytext"/>
        <w:rPr>
          <w:szCs w:val="18"/>
        </w:rPr>
      </w:pPr>
      <w:r w:rsidRPr="00F05C95">
        <w:rPr>
          <w:szCs w:val="18"/>
          <w:lang w:val="en-GB"/>
        </w:rPr>
        <w:t xml:space="preserve">Volatile organic compounds (VOCs) are defined as “any compound of carbon, excluding carbon monoxide, carbon </w:t>
      </w:r>
      <w:r w:rsidRPr="00F520F7">
        <w:rPr>
          <w:szCs w:val="18"/>
          <w:lang w:val="en-GB"/>
        </w:rPr>
        <w:t>dioxide, carbonic acid, metallic carbides or carbonates, and ammonium carbonate, which participates in atmospheric photochemical reactions” by U.S. Environmental Protection Agency (Environmental Protection Agency, 1990). Therefore, they are a large group of carbon-based chemicals that easily evaporate at room temperature (</w:t>
      </w:r>
      <w:proofErr w:type="spellStart"/>
      <w:r w:rsidRPr="00F520F7">
        <w:rPr>
          <w:szCs w:val="18"/>
          <w:lang w:val="en-GB"/>
        </w:rPr>
        <w:t>Ojala</w:t>
      </w:r>
      <w:proofErr w:type="spellEnd"/>
      <w:r w:rsidRPr="00F520F7">
        <w:rPr>
          <w:szCs w:val="18"/>
          <w:lang w:val="en-GB"/>
        </w:rPr>
        <w:t xml:space="preserve"> et al., 2011). VOCs severely threaten human health and ecological environment because most of them are toxic, mutagenic, and carcinogenic (Peng and Wang, 2007). Rapid urbanization and industrialization contributed to the growing emissions of VOCs into the environment. Emissions of VOCs can be from a wide range of outdoor (chemical industries, paper production, food processing, petroleum refineries, etc.) and indoor sources (household production, pressed woods, heat-exchanger systems, office supplies, printers, etc.) (Liotta et al., 2010). Type and nature of VOCs depend on the source of emission. In particular, nowadays, emission during processing of strongly odorous VOCs is one of the major problems related to the usage of recycled plastics. The most common VOCs are halogenated compounds, aldehydes, alcohols, ketones, aromatic compounds, and ethers (</w:t>
      </w:r>
      <w:proofErr w:type="spellStart"/>
      <w:r w:rsidRPr="00F520F7">
        <w:rPr>
          <w:szCs w:val="18"/>
          <w:lang w:val="en-GB"/>
        </w:rPr>
        <w:t>Ojala</w:t>
      </w:r>
      <w:proofErr w:type="spellEnd"/>
      <w:r w:rsidRPr="00F520F7">
        <w:rPr>
          <w:szCs w:val="18"/>
          <w:lang w:val="en-GB"/>
        </w:rPr>
        <w:t xml:space="preserve"> et al., 2011; Olsen and Nielsen, 2001).</w:t>
      </w:r>
      <w:r w:rsidRPr="00F520F7">
        <w:rPr>
          <w:szCs w:val="18"/>
        </w:rPr>
        <w:t xml:space="preserve"> </w:t>
      </w:r>
    </w:p>
    <w:p w:rsidR="000B56FE" w:rsidRPr="00F520F7" w:rsidRDefault="00510FD7" w:rsidP="00A61159">
      <w:pPr>
        <w:pStyle w:val="CETBodytext"/>
        <w:rPr>
          <w:rStyle w:val="shorttext"/>
          <w:lang w:val="en"/>
        </w:rPr>
      </w:pPr>
      <w:r w:rsidRPr="00F520F7">
        <w:rPr>
          <w:szCs w:val="18"/>
          <w:lang w:val="en-GB"/>
        </w:rPr>
        <w:t>As a consequence of the persistent increase of VOCs and their harmful impact on human health and ecological environment, a stringent emission regulation has been proposed according to the Gothenburg protocol (Gothenburg Protocol to reduce transboundary air pollution, 1999), which stipulates that the reduction of VOCs emission by 2020 should be half of the amount released in 2000 (Huang et al., 2015). Consequently, the reduction of VOC emissions is becoming imperative,</w:t>
      </w:r>
      <w:r w:rsidRPr="00F520F7">
        <w:rPr>
          <w:b/>
          <w:szCs w:val="18"/>
          <w:lang w:val="en-GB"/>
        </w:rPr>
        <w:t xml:space="preserve"> </w:t>
      </w:r>
      <w:r w:rsidRPr="00F520F7">
        <w:rPr>
          <w:szCs w:val="18"/>
          <w:lang w:val="en-GB"/>
        </w:rPr>
        <w:t>thus the development of effective VOCs elimination techniques is of great importance and crucial. The VOCs control methods can be generally divided into: recovery methods (adsorption, absorption, membrane separation and condensation, etc.) (</w:t>
      </w:r>
      <w:proofErr w:type="spellStart"/>
      <w:r w:rsidRPr="00F520F7">
        <w:rPr>
          <w:szCs w:val="18"/>
          <w:lang w:val="en-GB"/>
        </w:rPr>
        <w:t>Kujawa</w:t>
      </w:r>
      <w:proofErr w:type="spellEnd"/>
      <w:r w:rsidRPr="00F520F7">
        <w:rPr>
          <w:szCs w:val="18"/>
          <w:lang w:val="en-GB"/>
        </w:rPr>
        <w:t xml:space="preserve"> et al., 2015) and destruction methods (plasma catalysis, biological degradation, photocatalytic oxidation, thermal oxidation, catalytic oxidation, etc.) (; Moretti, 2002).</w:t>
      </w:r>
      <w:r w:rsidRPr="00F520F7">
        <w:rPr>
          <w:b/>
          <w:szCs w:val="18"/>
          <w:lang w:val="en-GB"/>
        </w:rPr>
        <w:t xml:space="preserve"> </w:t>
      </w:r>
      <w:r w:rsidRPr="00F520F7">
        <w:rPr>
          <w:szCs w:val="18"/>
          <w:lang w:val="en-GB"/>
        </w:rPr>
        <w:t>Among these methods, heterogeneous catalytic oxidation is regarded as the most favourable technology to control VOCs emission with low energy consumption and with selective conversion into harmless molecules (</w:t>
      </w:r>
      <w:r w:rsidRPr="00F520F7">
        <w:rPr>
          <w:rFonts w:ascii="URWPalladioL-Roma" w:eastAsiaTheme="minorHAnsi" w:hAnsi="URWPalladioL-Roma" w:cs="URWPalladioL-Roma"/>
          <w:szCs w:val="18"/>
        </w:rPr>
        <w:t>Quiroz Torres et al., 2013</w:t>
      </w:r>
      <w:r w:rsidRPr="00F520F7">
        <w:rPr>
          <w:szCs w:val="18"/>
          <w:lang w:val="en-GB"/>
        </w:rPr>
        <w:t xml:space="preserve">). During the catalytic oxidation process, pollutants, which are usually contained in a gaseous stream, are oxidized in the presence of suitable catalysts at much lower temperature (250 </w:t>
      </w:r>
      <w:r w:rsidRPr="00F520F7">
        <w:rPr>
          <w:rFonts w:cs="Arial"/>
          <w:szCs w:val="18"/>
          <w:lang w:val="en-GB"/>
        </w:rPr>
        <w:t>÷</w:t>
      </w:r>
      <w:r w:rsidRPr="00F520F7">
        <w:rPr>
          <w:szCs w:val="18"/>
          <w:lang w:val="en-GB"/>
        </w:rPr>
        <w:t xml:space="preserve"> 500 °C) that thermal oxidation process (~ 1200 °C), resulting in a fuel saving of 40 - 60% and in a lower operation cost (</w:t>
      </w:r>
      <w:proofErr w:type="spellStart"/>
      <w:r w:rsidRPr="00F520F7">
        <w:rPr>
          <w:szCs w:val="18"/>
          <w:lang w:val="en-GB"/>
        </w:rPr>
        <w:t>Carabineiro</w:t>
      </w:r>
      <w:proofErr w:type="spellEnd"/>
      <w:r w:rsidRPr="00F520F7">
        <w:rPr>
          <w:szCs w:val="18"/>
          <w:lang w:val="en-GB"/>
        </w:rPr>
        <w:t xml:space="preserve"> et al., 2015; </w:t>
      </w:r>
      <w:r w:rsidRPr="00F520F7">
        <w:rPr>
          <w:rFonts w:eastAsiaTheme="minorHAnsi" w:cs="Arial"/>
          <w:color w:val="000000"/>
          <w:szCs w:val="18"/>
        </w:rPr>
        <w:t>Chen et al., 2014</w:t>
      </w:r>
      <w:r w:rsidRPr="00F520F7">
        <w:rPr>
          <w:szCs w:val="18"/>
          <w:lang w:val="en-GB"/>
        </w:rPr>
        <w:t xml:space="preserve">). The catalytic oxidation aims at the complete destruction of VOCs rather than transferring it to another phase as in </w:t>
      </w:r>
      <w:r w:rsidRPr="00F520F7">
        <w:rPr>
          <w:szCs w:val="18"/>
          <w:lang w:val="en-GB"/>
        </w:rPr>
        <w:lastRenderedPageBreak/>
        <w:t>other techniques, such as in condensation and adsorption. The desired reaction is the total oxidation to H</w:t>
      </w:r>
      <w:r w:rsidRPr="00F520F7">
        <w:rPr>
          <w:szCs w:val="18"/>
          <w:vertAlign w:val="subscript"/>
          <w:lang w:val="en-GB"/>
        </w:rPr>
        <w:t>2</w:t>
      </w:r>
      <w:r w:rsidRPr="00F520F7">
        <w:rPr>
          <w:szCs w:val="18"/>
          <w:lang w:val="en-GB"/>
        </w:rPr>
        <w:t>O and CO</w:t>
      </w:r>
      <w:r w:rsidRPr="00F520F7">
        <w:rPr>
          <w:szCs w:val="18"/>
          <w:vertAlign w:val="subscript"/>
          <w:lang w:val="en-GB"/>
        </w:rPr>
        <w:t>2</w:t>
      </w:r>
      <w:r w:rsidRPr="00F520F7">
        <w:rPr>
          <w:szCs w:val="18"/>
          <w:lang w:val="en-GB"/>
        </w:rPr>
        <w:t xml:space="preserve"> without formation of by-products. As catalytic combustion takes place at lower operating temperatures, its start-up fuel requirement is lower. Therefore, moderate volumes of contaminated air can be treated at much lower fuel costs (Peng and Wang, </w:t>
      </w:r>
      <w:r w:rsidRPr="00F520F7">
        <w:rPr>
          <w:szCs w:val="18"/>
        </w:rPr>
        <w:t xml:space="preserve">2007). </w:t>
      </w:r>
      <w:r w:rsidRPr="00F520F7">
        <w:rPr>
          <w:szCs w:val="18"/>
          <w:lang w:val="en-GB"/>
        </w:rPr>
        <w:t>Although catalytic oxidation can be applied effectively to treat waste gas streams with varying concentrations and flow rates of VOCs, it is most suitable for moderate flow rates and a low concentration of VOCs (</w:t>
      </w:r>
      <w:proofErr w:type="spellStart"/>
      <w:r w:rsidRPr="00F520F7">
        <w:rPr>
          <w:szCs w:val="18"/>
          <w:lang w:val="en-GB"/>
        </w:rPr>
        <w:t>Ojala</w:t>
      </w:r>
      <w:proofErr w:type="spellEnd"/>
      <w:r w:rsidRPr="00F520F7">
        <w:rPr>
          <w:szCs w:val="18"/>
          <w:lang w:val="en-GB"/>
        </w:rPr>
        <w:t xml:space="preserve"> et al., 2011). Other advantages of catalytic destruction are that this technique is relatively more environmentally friendly due to its low temperature operation and to its potential for excellent selectivity towards the formation of dioxins and non-hazardous reaction products (</w:t>
      </w:r>
      <w:proofErr w:type="spellStart"/>
      <w:r w:rsidRPr="00F520F7">
        <w:rPr>
          <w:szCs w:val="18"/>
          <w:lang w:val="en-GB"/>
        </w:rPr>
        <w:t>Jamalzadeh</w:t>
      </w:r>
      <w:proofErr w:type="spellEnd"/>
      <w:r w:rsidRPr="00F520F7">
        <w:rPr>
          <w:szCs w:val="18"/>
          <w:lang w:val="en-GB"/>
        </w:rPr>
        <w:t xml:space="preserve"> et al., 2013). One of the main challenges of catalytic destruction of VOCs is the selection of the proper catalysts from a large number of available catalysts. Due to their wide variety and nature of the range of mixtures of VOCs, it is most often difficult to identify the best possible catalysts. </w:t>
      </w:r>
      <w:r w:rsidR="009A39DF" w:rsidRPr="00F520F7">
        <w:rPr>
          <w:szCs w:val="18"/>
          <w:lang w:val="en-GB"/>
        </w:rPr>
        <w:t>Noble metals are preferred as catalysts because of their high specific activity, strong resistance to deactivation and ability to be regene</w:t>
      </w:r>
      <w:r w:rsidR="00340953" w:rsidRPr="00F520F7">
        <w:rPr>
          <w:szCs w:val="18"/>
          <w:lang w:val="en-GB"/>
        </w:rPr>
        <w:t xml:space="preserve">rated. </w:t>
      </w:r>
      <w:r w:rsidR="009A39DF" w:rsidRPr="00F520F7">
        <w:rPr>
          <w:szCs w:val="18"/>
          <w:lang w:val="en-GB"/>
        </w:rPr>
        <w:t xml:space="preserve">Moreover, their industrial application is limited by their high cost, </w:t>
      </w:r>
      <w:r w:rsidR="009A39DF" w:rsidRPr="00F520F7">
        <w:rPr>
          <w:rStyle w:val="shorttext"/>
          <w:lang w:val="en"/>
        </w:rPr>
        <w:t>susceptibility</w:t>
      </w:r>
      <w:r w:rsidR="009A39DF" w:rsidRPr="00F520F7">
        <w:rPr>
          <w:szCs w:val="18"/>
          <w:lang w:val="en-GB"/>
        </w:rPr>
        <w:t xml:space="preserve"> to poisoning by chlorine/chloride compounds. In addition, if used alone (e.g. in the absence of oxides,..) they are not selective enough. However, catalysts based on transition metal (Ni, Co, Fe, </w:t>
      </w:r>
      <w:proofErr w:type="spellStart"/>
      <w:r w:rsidR="009A39DF" w:rsidRPr="00F520F7">
        <w:rPr>
          <w:szCs w:val="18"/>
          <w:lang w:val="en-GB"/>
        </w:rPr>
        <w:t>Mn</w:t>
      </w:r>
      <w:proofErr w:type="spellEnd"/>
      <w:r w:rsidR="009A39DF" w:rsidRPr="00F520F7">
        <w:rPr>
          <w:szCs w:val="18"/>
          <w:lang w:val="en-GB"/>
        </w:rPr>
        <w:t xml:space="preserve">, Cu, </w:t>
      </w:r>
      <w:proofErr w:type="spellStart"/>
      <w:r w:rsidR="009A39DF" w:rsidRPr="00F520F7">
        <w:rPr>
          <w:szCs w:val="18"/>
          <w:lang w:val="en-GB"/>
        </w:rPr>
        <w:t>etc</w:t>
      </w:r>
      <w:proofErr w:type="spellEnd"/>
      <w:r w:rsidR="009A39DF" w:rsidRPr="00F520F7">
        <w:rPr>
          <w:szCs w:val="18"/>
          <w:lang w:val="en-GB"/>
        </w:rPr>
        <w:t>…), transition metal oxides and/or mixture of them exhibit</w:t>
      </w:r>
      <w:r w:rsidR="009A39DF" w:rsidRPr="00F520F7">
        <w:rPr>
          <w:lang w:val="en"/>
        </w:rPr>
        <w:t xml:space="preserve"> several advantages, which make them an effective alternative to the noble metals catalysts. In particular, they are </w:t>
      </w:r>
      <w:r w:rsidR="009A39DF" w:rsidRPr="00F520F7">
        <w:rPr>
          <w:szCs w:val="18"/>
          <w:lang w:val="en-GB"/>
        </w:rPr>
        <w:t>not expensive and have</w:t>
      </w:r>
      <w:r w:rsidR="009A39DF" w:rsidRPr="00F520F7">
        <w:rPr>
          <w:lang w:val="en"/>
        </w:rPr>
        <w:t xml:space="preserve"> a long life, tolerance, regeneration capacity and availability of a range of metal oxides of different sizes and shapes. The catalytic activity of </w:t>
      </w:r>
      <w:r w:rsidR="009A39DF" w:rsidRPr="00F520F7">
        <w:rPr>
          <w:szCs w:val="18"/>
          <w:lang w:val="en-GB"/>
        </w:rPr>
        <w:t>catalysts based on transition metal</w:t>
      </w:r>
      <w:r w:rsidR="009A39DF" w:rsidRPr="00F520F7">
        <w:rPr>
          <w:lang w:val="en"/>
        </w:rPr>
        <w:t xml:space="preserve"> is generally lower than noble metals, but the combination of the former ones would enable to achieve a catalytic efficiency comparable to the latter ones due to the synergistic effect of two or more </w:t>
      </w:r>
      <w:r w:rsidR="009A39DF" w:rsidRPr="00F520F7">
        <w:rPr>
          <w:szCs w:val="18"/>
          <w:lang w:val="en-GB"/>
        </w:rPr>
        <w:t>transition</w:t>
      </w:r>
      <w:r w:rsidR="009A39DF" w:rsidRPr="00F520F7">
        <w:rPr>
          <w:lang w:val="en"/>
        </w:rPr>
        <w:t xml:space="preserve"> metals, </w:t>
      </w:r>
      <w:r w:rsidR="009A39DF" w:rsidRPr="00F520F7">
        <w:rPr>
          <w:szCs w:val="18"/>
          <w:lang w:val="en-GB"/>
        </w:rPr>
        <w:t>transition metal oxides and/or mix of them</w:t>
      </w:r>
      <w:r w:rsidR="009A39DF" w:rsidRPr="00F520F7">
        <w:rPr>
          <w:lang w:val="en"/>
        </w:rPr>
        <w:t xml:space="preserve">. </w:t>
      </w:r>
      <w:r w:rsidR="00DA702C" w:rsidRPr="00F520F7">
        <w:rPr>
          <w:szCs w:val="18"/>
          <w:lang w:val="en-GB"/>
        </w:rPr>
        <w:t>Dual function adsorbent-catalyst</w:t>
      </w:r>
      <w:r w:rsidRPr="00F520F7">
        <w:rPr>
          <w:szCs w:val="18"/>
          <w:lang w:val="en-GB"/>
        </w:rPr>
        <w:t xml:space="preserve"> with both support adsorption and catalyst function was recently suggested as an appropriate control method for treating low concentration levels of VOCs in waste gases as adsorption is performed at low temperature (</w:t>
      </w:r>
      <w:r w:rsidRPr="00F520F7">
        <w:rPr>
          <w:rFonts w:eastAsiaTheme="minorHAnsi" w:cs="Arial"/>
          <w:color w:val="000000"/>
          <w:szCs w:val="18"/>
        </w:rPr>
        <w:t>Atwood et al., 1998)</w:t>
      </w:r>
      <w:r w:rsidRPr="00F520F7">
        <w:rPr>
          <w:szCs w:val="18"/>
          <w:lang w:val="en-GB"/>
        </w:rPr>
        <w:t>. In particular, it appears to be a cost-effective alternative to other classes of catalysts, which could be used to treat VOCs in two steps.</w:t>
      </w:r>
      <w:r w:rsidR="00E060BD" w:rsidRPr="00F520F7">
        <w:rPr>
          <w:szCs w:val="18"/>
          <w:lang w:val="en-GB"/>
        </w:rPr>
        <w:t xml:space="preserve"> </w:t>
      </w:r>
      <w:r w:rsidRPr="00F520F7">
        <w:rPr>
          <w:szCs w:val="18"/>
          <w:lang w:val="en-GB"/>
        </w:rPr>
        <w:t xml:space="preserve">Silver (Ag) has been well known for its epoxidation activity and the deep oxidation of CO and </w:t>
      </w:r>
      <w:r w:rsidRPr="00F520F7">
        <w:t xml:space="preserve">methane </w:t>
      </w:r>
      <w:r w:rsidRPr="00F520F7">
        <w:rPr>
          <w:szCs w:val="18"/>
          <w:lang w:val="en-GB"/>
        </w:rPr>
        <w:t>(</w:t>
      </w:r>
      <w:proofErr w:type="spellStart"/>
      <w:r w:rsidRPr="00F520F7">
        <w:rPr>
          <w:rFonts w:eastAsiaTheme="minorHAnsi" w:cs="Arial"/>
          <w:color w:val="000000"/>
          <w:szCs w:val="18"/>
        </w:rPr>
        <w:t>Kundakovic</w:t>
      </w:r>
      <w:proofErr w:type="spellEnd"/>
      <w:r w:rsidRPr="00F520F7">
        <w:rPr>
          <w:rFonts w:eastAsiaTheme="minorHAnsi" w:cs="Arial"/>
          <w:color w:val="000000"/>
          <w:szCs w:val="18"/>
        </w:rPr>
        <w:t xml:space="preserve"> et al., 1999</w:t>
      </w:r>
      <w:r w:rsidRPr="00F520F7">
        <w:rPr>
          <w:szCs w:val="18"/>
          <w:lang w:val="en-GB"/>
        </w:rPr>
        <w:t>). Furthermore, in recent years, many researchers have shown</w:t>
      </w:r>
      <w:r w:rsidR="009A39DF" w:rsidRPr="00F520F7">
        <w:rPr>
          <w:szCs w:val="18"/>
          <w:lang w:val="en-GB"/>
        </w:rPr>
        <w:t xml:space="preserve"> that metal oxide catalyst, </w:t>
      </w:r>
      <w:r w:rsidRPr="00F520F7">
        <w:rPr>
          <w:szCs w:val="18"/>
          <w:lang w:val="en-GB"/>
        </w:rPr>
        <w:t>with the highest catalyst activity</w:t>
      </w:r>
      <w:r w:rsidR="009A39DF" w:rsidRPr="00F520F7">
        <w:rPr>
          <w:szCs w:val="18"/>
          <w:lang w:val="en-GB"/>
        </w:rPr>
        <w:t>,</w:t>
      </w:r>
      <w:r w:rsidRPr="00F520F7">
        <w:rPr>
          <w:szCs w:val="18"/>
          <w:lang w:val="en-GB"/>
        </w:rPr>
        <w:t xml:space="preserve"> are copper based metal oxide catalyst (</w:t>
      </w:r>
      <w:proofErr w:type="spellStart"/>
      <w:r w:rsidRPr="00F520F7">
        <w:rPr>
          <w:szCs w:val="18"/>
          <w:lang w:val="en-GB"/>
        </w:rPr>
        <w:t>CuO</w:t>
      </w:r>
      <w:proofErr w:type="spellEnd"/>
      <w:r w:rsidRPr="00F520F7">
        <w:rPr>
          <w:szCs w:val="18"/>
          <w:lang w:val="en-GB"/>
        </w:rPr>
        <w:t>) (</w:t>
      </w:r>
      <w:r w:rsidRPr="00F520F7">
        <w:rPr>
          <w:rFonts w:eastAsiaTheme="minorHAnsi" w:cs="Arial"/>
          <w:color w:val="000000"/>
          <w:szCs w:val="18"/>
        </w:rPr>
        <w:t>Li et al., 2015</w:t>
      </w:r>
      <w:r w:rsidRPr="00F520F7">
        <w:rPr>
          <w:szCs w:val="18"/>
          <w:lang w:val="en-GB"/>
        </w:rPr>
        <w:t>). Recently, graphene oxide (GO) has drawn increasing attention as an ideal support material due to its special layered structure and surface properties. GO contains abundant oxygen functional groups (hydroxyl, epoxy, carbonyl, carboxyl groups) (</w:t>
      </w:r>
      <w:proofErr w:type="spellStart"/>
      <w:r w:rsidRPr="00F520F7">
        <w:rPr>
          <w:szCs w:val="18"/>
          <w:lang w:val="en-GB"/>
        </w:rPr>
        <w:t>Santra</w:t>
      </w:r>
      <w:proofErr w:type="spellEnd"/>
      <w:r w:rsidRPr="00F520F7">
        <w:rPr>
          <w:szCs w:val="18"/>
          <w:lang w:val="en-GB"/>
        </w:rPr>
        <w:t xml:space="preserve"> et al., 2013) on its surface. These functional groups can also serve as anchoring sites to decorate metal or metal oxide nanoparticles onto the GO surface, thus guaranteeing fertile opportunities to synthesize novel functional catalysts. </w:t>
      </w:r>
      <w:r w:rsidRPr="00F520F7">
        <w:rPr>
          <w:rStyle w:val="shorttext"/>
          <w:lang w:val="en-GB"/>
        </w:rPr>
        <w:t>Furthermore</w:t>
      </w:r>
      <w:r w:rsidRPr="00F520F7">
        <w:rPr>
          <w:rStyle w:val="shorttext"/>
          <w:lang w:val="en"/>
        </w:rPr>
        <w:t>, by loading a catalyst on a GO support, the exposed active sites of the resulting system are far more compared to what would be expected from simple catalyst nanoparticles, thus achieving the maximum efficiency in the use of active sites (</w:t>
      </w:r>
      <w:proofErr w:type="spellStart"/>
      <w:r w:rsidRPr="00F520F7">
        <w:rPr>
          <w:rFonts w:eastAsiaTheme="minorHAnsi" w:cs="Arial"/>
          <w:color w:val="000000"/>
          <w:szCs w:val="18"/>
        </w:rPr>
        <w:t>Albero</w:t>
      </w:r>
      <w:proofErr w:type="spellEnd"/>
      <w:r w:rsidRPr="00F520F7">
        <w:rPr>
          <w:rFonts w:eastAsiaTheme="minorHAnsi" w:cs="Arial"/>
          <w:color w:val="000000"/>
          <w:szCs w:val="18"/>
        </w:rPr>
        <w:t xml:space="preserve"> et al., 2015</w:t>
      </w:r>
      <w:r w:rsidRPr="00F520F7">
        <w:rPr>
          <w:rStyle w:val="shorttext"/>
          <w:lang w:val="en"/>
        </w:rPr>
        <w:t>). Typically, aerogels are regarded as suitable candidates to be adopted as catalyst supports thanks to their fascinating textural and structural properties, and to the versatility of their synthesis route, which allows a flexible control of the texture, composition, homogeneity and structural features of solids at a molecular level (</w:t>
      </w:r>
      <w:r w:rsidR="009E0E40" w:rsidRPr="00F520F7">
        <w:rPr>
          <w:rFonts w:eastAsiaTheme="minorHAnsi" w:cs="Arial"/>
          <w:color w:val="000000"/>
          <w:szCs w:val="18"/>
        </w:rPr>
        <w:t>Zhang et al., 2017</w:t>
      </w:r>
      <w:r w:rsidRPr="00F520F7">
        <w:rPr>
          <w:rFonts w:eastAsiaTheme="minorHAnsi" w:cs="Arial"/>
          <w:color w:val="000000"/>
          <w:szCs w:val="18"/>
        </w:rPr>
        <w:t>)</w:t>
      </w:r>
      <w:r w:rsidRPr="00F520F7">
        <w:rPr>
          <w:rStyle w:val="shorttext"/>
          <w:lang w:val="en"/>
        </w:rPr>
        <w:t>. On the other hand, carbon aerogel, in</w:t>
      </w:r>
      <w:r w:rsidR="00DA702C" w:rsidRPr="00F520F7">
        <w:rPr>
          <w:rStyle w:val="shorttext"/>
          <w:lang w:val="en"/>
        </w:rPr>
        <w:t xml:space="preserve"> particular graphene aerogel (G</w:t>
      </w:r>
      <w:r w:rsidRPr="00F520F7">
        <w:rPr>
          <w:rStyle w:val="shorttext"/>
          <w:lang w:val="en"/>
        </w:rPr>
        <w:t xml:space="preserve">A), has shown high catalytic performances as catalyst support for VOCs combustion due to two major reasons: (i) its hydrophobic character allows performing VOC combustion at relatively low temperatures with minimum water vapor chemisorption on the catalyst surface; (ii) its tunable textural properties enable a homogeneous and high dispersion of the active metal phase on it, along with a good adsorption performance toward VOCs </w:t>
      </w:r>
      <w:r w:rsidRPr="00C333D8">
        <w:rPr>
          <w:rStyle w:val="shorttext"/>
          <w:lang w:val="en"/>
        </w:rPr>
        <w:t>(</w:t>
      </w:r>
      <w:r w:rsidR="00E76C57" w:rsidRPr="00C333D8">
        <w:rPr>
          <w:rStyle w:val="shorttext"/>
          <w:lang w:val="en"/>
        </w:rPr>
        <w:t xml:space="preserve">Roland at., 2014; </w:t>
      </w:r>
      <w:r w:rsidRPr="00C333D8">
        <w:rPr>
          <w:rStyle w:val="shorttext"/>
          <w:lang w:val="en"/>
        </w:rPr>
        <w:t>Morales-Torres et al., 2015</w:t>
      </w:r>
      <w:r w:rsidR="004E1C5E" w:rsidRPr="00C333D8">
        <w:rPr>
          <w:rStyle w:val="shorttext"/>
          <w:lang w:val="en"/>
        </w:rPr>
        <w:t xml:space="preserve">; </w:t>
      </w:r>
      <w:proofErr w:type="spellStart"/>
      <w:r w:rsidR="004E1C5E" w:rsidRPr="00C333D8">
        <w:rPr>
          <w:rStyle w:val="shorttext"/>
          <w:lang w:val="en"/>
        </w:rPr>
        <w:t>Tomatis</w:t>
      </w:r>
      <w:proofErr w:type="spellEnd"/>
      <w:r w:rsidR="004E1C5E" w:rsidRPr="00C333D8">
        <w:rPr>
          <w:rStyle w:val="shorttext"/>
          <w:lang w:val="en"/>
        </w:rPr>
        <w:t xml:space="preserve"> et al., 2016</w:t>
      </w:r>
      <w:r w:rsidR="00E76C57" w:rsidRPr="00C333D8">
        <w:rPr>
          <w:rStyle w:val="shorttext"/>
          <w:lang w:val="en"/>
        </w:rPr>
        <w:t>).</w:t>
      </w:r>
    </w:p>
    <w:p w:rsidR="00510FD7" w:rsidRPr="0063465C" w:rsidRDefault="00510FD7" w:rsidP="00A61159">
      <w:pPr>
        <w:pStyle w:val="CETBodytext"/>
        <w:rPr>
          <w:szCs w:val="18"/>
          <w:lang w:val="en-GB"/>
        </w:rPr>
      </w:pPr>
      <w:r w:rsidRPr="00C333D8">
        <w:rPr>
          <w:rStyle w:val="shorttext"/>
          <w:lang w:val="en"/>
        </w:rPr>
        <w:t>Among VOCs, 2-ethyl-1-hexanol (2-EH) can be naturally present in food and it is typically produced through petrochemical synthesis and predominately used for the production of plastics. The presence of 2-EH in the atmosphere can cause severe health problems.</w:t>
      </w:r>
      <w:r w:rsidR="00A61159">
        <w:rPr>
          <w:rStyle w:val="shorttext"/>
          <w:lang w:val="en"/>
        </w:rPr>
        <w:t xml:space="preserve"> </w:t>
      </w:r>
      <w:r w:rsidRPr="00F520F7">
        <w:rPr>
          <w:rStyle w:val="shorttext"/>
          <w:lang w:val="en"/>
        </w:rPr>
        <w:t>In this work, the removal of 2-EH from a VOCs stream emitted from recycled plastics, by means of catalytic</w:t>
      </w:r>
      <w:r w:rsidR="003A35A9">
        <w:rPr>
          <w:rStyle w:val="shorttext"/>
          <w:lang w:val="en"/>
        </w:rPr>
        <w:t xml:space="preserve"> </w:t>
      </w:r>
      <w:r w:rsidR="00DA702C" w:rsidRPr="00F520F7">
        <w:rPr>
          <w:rStyle w:val="shorttext"/>
          <w:lang w:val="en"/>
        </w:rPr>
        <w:t xml:space="preserve">oxidation through a novel dual </w:t>
      </w:r>
      <w:r w:rsidR="00DA702C" w:rsidRPr="00C333D8">
        <w:rPr>
          <w:rStyle w:val="shorttext"/>
          <w:lang w:val="en"/>
        </w:rPr>
        <w:t xml:space="preserve">function adsorbent-catalyst </w:t>
      </w:r>
      <w:r w:rsidR="000B56FE" w:rsidRPr="00C333D8">
        <w:rPr>
          <w:rStyle w:val="shorttext"/>
          <w:lang w:val="en"/>
        </w:rPr>
        <w:t>material</w:t>
      </w:r>
      <w:r w:rsidRPr="00F520F7">
        <w:rPr>
          <w:rStyle w:val="shorttext"/>
          <w:lang w:val="en"/>
        </w:rPr>
        <w:t xml:space="preserve">, </w:t>
      </w:r>
      <w:r w:rsidR="00DA702C" w:rsidRPr="00F520F7">
        <w:rPr>
          <w:rStyle w:val="shorttext"/>
          <w:lang w:val="en"/>
        </w:rPr>
        <w:t>made of snowman-</w:t>
      </w:r>
      <w:r w:rsidR="000B56FE" w:rsidRPr="00F520F7">
        <w:rPr>
          <w:rStyle w:val="shorttext"/>
          <w:lang w:val="en"/>
        </w:rPr>
        <w:t xml:space="preserve">like nanoparticles of </w:t>
      </w:r>
      <w:proofErr w:type="spellStart"/>
      <w:r w:rsidR="000B56FE" w:rsidRPr="00C333D8">
        <w:rPr>
          <w:rStyle w:val="shorttext"/>
          <w:lang w:val="en"/>
        </w:rPr>
        <w:t>CuO</w:t>
      </w:r>
      <w:proofErr w:type="spellEnd"/>
      <w:r w:rsidR="000B56FE" w:rsidRPr="00C333D8">
        <w:rPr>
          <w:rStyle w:val="shorttext"/>
          <w:lang w:val="en"/>
        </w:rPr>
        <w:t xml:space="preserve"> and </w:t>
      </w:r>
      <w:r w:rsidRPr="00C333D8">
        <w:rPr>
          <w:rStyle w:val="shorttext"/>
          <w:lang w:val="en"/>
        </w:rPr>
        <w:t>Ag</w:t>
      </w:r>
      <w:r w:rsidR="000B56FE" w:rsidRPr="00C333D8">
        <w:rPr>
          <w:rStyle w:val="shorttext"/>
          <w:lang w:val="en"/>
        </w:rPr>
        <w:t xml:space="preserve"> embedded in a </w:t>
      </w:r>
      <w:r w:rsidR="00DA702C" w:rsidRPr="00F520F7">
        <w:rPr>
          <w:rStyle w:val="shorttext"/>
          <w:lang w:val="en"/>
        </w:rPr>
        <w:t>graphene oxide aerogel (</w:t>
      </w:r>
      <w:r w:rsidRPr="00C333D8">
        <w:rPr>
          <w:rStyle w:val="shorttext"/>
          <w:lang w:val="en"/>
        </w:rPr>
        <w:t>GOA</w:t>
      </w:r>
      <w:r w:rsidR="00DA702C" w:rsidRPr="00C333D8">
        <w:rPr>
          <w:rStyle w:val="shorttext"/>
          <w:lang w:val="en"/>
        </w:rPr>
        <w:t>)</w:t>
      </w:r>
      <w:r w:rsidR="000B56FE" w:rsidRPr="00C333D8">
        <w:rPr>
          <w:rStyle w:val="shorttext"/>
          <w:lang w:val="en"/>
        </w:rPr>
        <w:t xml:space="preserve"> porous matrix</w:t>
      </w:r>
      <w:r w:rsidR="00C177E1" w:rsidRPr="00C333D8">
        <w:rPr>
          <w:rStyle w:val="shorttext"/>
          <w:lang w:val="en"/>
        </w:rPr>
        <w:t xml:space="preserve"> was proposed</w:t>
      </w:r>
      <w:r w:rsidRPr="00C333D8">
        <w:rPr>
          <w:rStyle w:val="shorttext"/>
          <w:lang w:val="en"/>
        </w:rPr>
        <w:t>.</w:t>
      </w:r>
      <w:r w:rsidRPr="00F520F7">
        <w:rPr>
          <w:szCs w:val="18"/>
          <w:lang w:val="en-GB"/>
        </w:rPr>
        <w:t xml:space="preserve"> The combination of the highly activ</w:t>
      </w:r>
      <w:r w:rsidR="000B56FE" w:rsidRPr="00F520F7">
        <w:rPr>
          <w:szCs w:val="18"/>
          <w:lang w:val="en-GB"/>
        </w:rPr>
        <w:t xml:space="preserve">e phases of </w:t>
      </w:r>
      <w:proofErr w:type="spellStart"/>
      <w:r w:rsidR="000B56FE" w:rsidRPr="00F520F7">
        <w:rPr>
          <w:szCs w:val="18"/>
          <w:lang w:val="en-GB"/>
        </w:rPr>
        <w:t>CuO</w:t>
      </w:r>
      <w:proofErr w:type="spellEnd"/>
      <w:r w:rsidR="000B56FE" w:rsidRPr="00F520F7">
        <w:rPr>
          <w:szCs w:val="18"/>
          <w:lang w:val="en-GB"/>
        </w:rPr>
        <w:t xml:space="preserve">/Ag and </w:t>
      </w:r>
      <w:r w:rsidR="005D6D55" w:rsidRPr="00F520F7">
        <w:rPr>
          <w:szCs w:val="18"/>
          <w:lang w:val="en-GB"/>
        </w:rPr>
        <w:t>the adsorption ability of graph</w:t>
      </w:r>
      <w:r w:rsidR="000B56FE" w:rsidRPr="00F520F7">
        <w:rPr>
          <w:szCs w:val="18"/>
          <w:lang w:val="en-GB"/>
        </w:rPr>
        <w:t xml:space="preserve">ene, which favours the reaction and stabilizes the nanoparticles, </w:t>
      </w:r>
      <w:r w:rsidRPr="00F520F7">
        <w:rPr>
          <w:szCs w:val="18"/>
          <w:lang w:val="en-GB"/>
        </w:rPr>
        <w:t xml:space="preserve">leads to the </w:t>
      </w:r>
      <w:r w:rsidR="000B56FE" w:rsidRPr="00F520F7">
        <w:rPr>
          <w:szCs w:val="18"/>
          <w:lang w:val="en-GB"/>
        </w:rPr>
        <w:t>quasi-</w:t>
      </w:r>
      <w:r w:rsidRPr="00F520F7">
        <w:rPr>
          <w:szCs w:val="18"/>
          <w:lang w:val="en-GB"/>
        </w:rPr>
        <w:t>complete abatement of 2-EH</w:t>
      </w:r>
      <w:r w:rsidR="000B56FE" w:rsidRPr="00F520F7">
        <w:rPr>
          <w:szCs w:val="18"/>
          <w:lang w:val="en-GB"/>
        </w:rPr>
        <w:t xml:space="preserve"> (&gt;98 %)</w:t>
      </w:r>
      <w:r w:rsidRPr="00F520F7">
        <w:rPr>
          <w:szCs w:val="18"/>
          <w:lang w:val="en-GB"/>
        </w:rPr>
        <w:t>.</w:t>
      </w:r>
    </w:p>
    <w:p w:rsidR="003205CE" w:rsidRDefault="009B2AD0" w:rsidP="00A61159">
      <w:pPr>
        <w:pStyle w:val="CETHeading1"/>
        <w:tabs>
          <w:tab w:val="num" w:pos="360"/>
        </w:tabs>
        <w:spacing w:line="264" w:lineRule="auto"/>
        <w:rPr>
          <w:lang w:val="en-GB"/>
        </w:rPr>
      </w:pPr>
      <w:r w:rsidRPr="00D644C7">
        <w:rPr>
          <w:lang w:val="en-GB"/>
        </w:rPr>
        <w:t>Experimental</w:t>
      </w:r>
    </w:p>
    <w:p w:rsidR="004B6BAF" w:rsidRDefault="004B6BAF" w:rsidP="00A61159">
      <w:pPr>
        <w:pStyle w:val="CETheadingx"/>
        <w:spacing w:line="264" w:lineRule="auto"/>
      </w:pPr>
      <w:r>
        <w:t xml:space="preserve">Preparation of graphene </w:t>
      </w:r>
      <w:r w:rsidR="00470BD9">
        <w:t xml:space="preserve">oxide </w:t>
      </w:r>
    </w:p>
    <w:p w:rsidR="004B6BAF" w:rsidRPr="00F520F7" w:rsidRDefault="004260C6" w:rsidP="00A61159">
      <w:pPr>
        <w:pStyle w:val="CETBodytext"/>
      </w:pPr>
      <w:r>
        <w:t xml:space="preserve">The preparation of </w:t>
      </w:r>
      <w:r w:rsidR="00C70E38">
        <w:t>GO</w:t>
      </w:r>
      <w:r>
        <w:t xml:space="preserve"> </w:t>
      </w:r>
      <w:r w:rsidRPr="00C94297">
        <w:rPr>
          <w:color w:val="000000"/>
          <w:szCs w:val="18"/>
          <w:lang w:val="en-GB"/>
        </w:rPr>
        <w:t xml:space="preserve">was carried </w:t>
      </w:r>
      <w:r>
        <w:rPr>
          <w:color w:val="000000"/>
          <w:szCs w:val="18"/>
          <w:lang w:val="en-GB"/>
        </w:rPr>
        <w:t xml:space="preserve">out by using </w:t>
      </w:r>
      <w:r w:rsidRPr="00C94297">
        <w:rPr>
          <w:color w:val="000000"/>
          <w:szCs w:val="18"/>
          <w:lang w:val="en-GB"/>
        </w:rPr>
        <w:t>commercially</w:t>
      </w:r>
      <w:r w:rsidRPr="00C94297">
        <w:rPr>
          <w:color w:val="000000"/>
          <w:lang w:val="en-GB"/>
        </w:rPr>
        <w:t xml:space="preserve"> </w:t>
      </w:r>
      <w:r w:rsidRPr="00C94297">
        <w:rPr>
          <w:color w:val="000000"/>
          <w:szCs w:val="18"/>
          <w:lang w:val="en-GB"/>
        </w:rPr>
        <w:t>available reag</w:t>
      </w:r>
      <w:r>
        <w:rPr>
          <w:color w:val="000000"/>
          <w:szCs w:val="18"/>
          <w:lang w:val="en-GB"/>
        </w:rPr>
        <w:t>ents</w:t>
      </w:r>
      <w:r>
        <w:t>. In particular, g</w:t>
      </w:r>
      <w:r w:rsidRPr="00174415">
        <w:t>ra</w:t>
      </w:r>
      <w:r w:rsidR="00E84A91">
        <w:t>phite powder (synthetic, 99.9</w:t>
      </w:r>
      <w:r>
        <w:t>%</w:t>
      </w:r>
      <w:r w:rsidRPr="00174415">
        <w:t>), sulfuric acid (H</w:t>
      </w:r>
      <w:r w:rsidRPr="00174415">
        <w:rPr>
          <w:vertAlign w:val="subscript"/>
        </w:rPr>
        <w:t>2</w:t>
      </w:r>
      <w:r w:rsidRPr="00174415">
        <w:t>SO</w:t>
      </w:r>
      <w:r w:rsidRPr="00174415">
        <w:rPr>
          <w:vertAlign w:val="subscript"/>
        </w:rPr>
        <w:t>4</w:t>
      </w:r>
      <w:r w:rsidRPr="00174415">
        <w:t>, 95-97</w:t>
      </w:r>
      <w:r>
        <w:t>%</w:t>
      </w:r>
      <w:r w:rsidRPr="00174415">
        <w:t>), potassium permanganate (KMnO</w:t>
      </w:r>
      <w:r w:rsidRPr="00174415">
        <w:rPr>
          <w:vertAlign w:val="subscript"/>
        </w:rPr>
        <w:t>4</w:t>
      </w:r>
      <w:r w:rsidRPr="00174415">
        <w:t>, ≥ 99</w:t>
      </w:r>
      <w:r>
        <w:t>%</w:t>
      </w:r>
      <w:r w:rsidRPr="00174415">
        <w:t xml:space="preserve">), </w:t>
      </w:r>
      <w:r w:rsidRPr="00F520F7">
        <w:t>hydrogen peroxide (H</w:t>
      </w:r>
      <w:r w:rsidRPr="00F520F7">
        <w:rPr>
          <w:vertAlign w:val="subscript"/>
        </w:rPr>
        <w:t>2</w:t>
      </w:r>
      <w:r w:rsidRPr="00F520F7">
        <w:t>O</w:t>
      </w:r>
      <w:r w:rsidRPr="00F520F7">
        <w:rPr>
          <w:vertAlign w:val="subscript"/>
        </w:rPr>
        <w:t>2</w:t>
      </w:r>
      <w:r w:rsidRPr="00F520F7">
        <w:t>, 30%)</w:t>
      </w:r>
      <w:r w:rsidRPr="00F520F7">
        <w:rPr>
          <w:color w:val="000000"/>
          <w:szCs w:val="18"/>
          <w:lang w:val="en-GB"/>
        </w:rPr>
        <w:t xml:space="preserve">, </w:t>
      </w:r>
      <w:r w:rsidR="00E60C8A" w:rsidRPr="00F520F7">
        <w:rPr>
          <w:color w:val="000000"/>
          <w:szCs w:val="18"/>
          <w:lang w:val="en-GB"/>
        </w:rPr>
        <w:t xml:space="preserve">were </w:t>
      </w:r>
      <w:r w:rsidRPr="00F520F7">
        <w:rPr>
          <w:color w:val="000000"/>
          <w:szCs w:val="18"/>
          <w:lang w:val="en-GB"/>
        </w:rPr>
        <w:t>purchased from Aldrich Chemical Co</w:t>
      </w:r>
      <w:r w:rsidRPr="00F520F7">
        <w:t xml:space="preserve"> and L-Phenylalanine (Ultra ≥ </w:t>
      </w:r>
      <w:r w:rsidRPr="00F520F7">
        <w:lastRenderedPageBreak/>
        <w:t>99%),</w:t>
      </w:r>
      <w:r w:rsidRPr="00F520F7">
        <w:rPr>
          <w:color w:val="000000"/>
          <w:szCs w:val="18"/>
          <w:lang w:val="en-GB"/>
        </w:rPr>
        <w:t xml:space="preserve"> </w:t>
      </w:r>
      <w:r w:rsidR="00E60C8A" w:rsidRPr="00F520F7">
        <w:rPr>
          <w:color w:val="000000"/>
          <w:szCs w:val="18"/>
          <w:lang w:val="en-GB"/>
        </w:rPr>
        <w:t xml:space="preserve">was </w:t>
      </w:r>
      <w:r w:rsidRPr="00F520F7">
        <w:rPr>
          <w:color w:val="000000"/>
          <w:szCs w:val="18"/>
          <w:lang w:val="en-GB"/>
        </w:rPr>
        <w:t xml:space="preserve">purchased from </w:t>
      </w:r>
      <w:proofErr w:type="spellStart"/>
      <w:r w:rsidRPr="00F520F7">
        <w:t>Fluka</w:t>
      </w:r>
      <w:proofErr w:type="spellEnd"/>
      <w:r w:rsidRPr="00F520F7">
        <w:t>,</w:t>
      </w:r>
      <w:r w:rsidR="00E60C8A" w:rsidRPr="00F520F7">
        <w:t xml:space="preserve"> and </w:t>
      </w:r>
      <w:r w:rsidRPr="00F520F7">
        <w:t>used as received. The graphene oxide (GO) was prepared from pristine graphite through a modified Hummers’ method and subsequent sonication, as previously reported (Casa et al., 2018)</w:t>
      </w:r>
      <w:r w:rsidR="00396AAA" w:rsidRPr="00F520F7">
        <w:t>.</w:t>
      </w:r>
    </w:p>
    <w:p w:rsidR="00901CBB" w:rsidRPr="00F520F7" w:rsidRDefault="00901CBB" w:rsidP="00A61159">
      <w:pPr>
        <w:pStyle w:val="CETheadingx"/>
        <w:spacing w:line="264" w:lineRule="auto"/>
      </w:pPr>
      <w:r w:rsidRPr="00F520F7">
        <w:t xml:space="preserve">Preparation of graphene </w:t>
      </w:r>
      <w:r w:rsidR="00470BD9" w:rsidRPr="00F520F7">
        <w:t xml:space="preserve">oxide </w:t>
      </w:r>
      <w:r w:rsidRPr="00F520F7">
        <w:t>aerogel</w:t>
      </w:r>
      <w:r w:rsidR="008A6CD0" w:rsidRPr="00F520F7">
        <w:t xml:space="preserve"> </w:t>
      </w:r>
    </w:p>
    <w:p w:rsidR="00901CBB" w:rsidRPr="00F520F7" w:rsidRDefault="009910B7" w:rsidP="00A61159">
      <w:pPr>
        <w:pStyle w:val="CETBodytext"/>
        <w:rPr>
          <w:rStyle w:val="shorttext"/>
          <w:lang w:val="en"/>
        </w:rPr>
      </w:pPr>
      <w:r w:rsidRPr="00F520F7">
        <w:t>The G</w:t>
      </w:r>
      <w:r w:rsidR="00470BD9" w:rsidRPr="00F520F7">
        <w:t>O</w:t>
      </w:r>
      <w:r w:rsidR="00446CFD" w:rsidRPr="00F520F7">
        <w:t>A</w:t>
      </w:r>
      <w:r w:rsidRPr="00F520F7">
        <w:t xml:space="preserve"> </w:t>
      </w:r>
      <w:r w:rsidR="00901CBB" w:rsidRPr="00F520F7">
        <w:t xml:space="preserve">was prepared by in situ chemical reduction-induced assembly using L-phenylalanine as a reducing agent, </w:t>
      </w:r>
      <w:r w:rsidR="00901CBB" w:rsidRPr="00F520F7">
        <w:rPr>
          <w:rStyle w:val="shorttext"/>
          <w:lang w:val="en"/>
        </w:rPr>
        <w:t xml:space="preserve">as described </w:t>
      </w:r>
      <w:r w:rsidR="00AA2F94" w:rsidRPr="00F520F7">
        <w:rPr>
          <w:rStyle w:val="shorttext"/>
          <w:lang w:val="en"/>
        </w:rPr>
        <w:t xml:space="preserve">elsewhere </w:t>
      </w:r>
      <w:r w:rsidR="00901CBB" w:rsidRPr="00F520F7">
        <w:rPr>
          <w:rStyle w:val="shorttext"/>
          <w:lang w:val="en"/>
        </w:rPr>
        <w:t>(</w:t>
      </w:r>
      <w:proofErr w:type="spellStart"/>
      <w:r w:rsidR="00901CBB" w:rsidRPr="00F520F7">
        <w:rPr>
          <w:rStyle w:val="shorttext"/>
          <w:lang w:val="en"/>
        </w:rPr>
        <w:t>Sarno</w:t>
      </w:r>
      <w:proofErr w:type="spellEnd"/>
      <w:r w:rsidR="00901CBB" w:rsidRPr="00F520F7">
        <w:rPr>
          <w:rStyle w:val="shorttext"/>
          <w:lang w:val="en"/>
        </w:rPr>
        <w:t xml:space="preserve"> </w:t>
      </w:r>
      <w:r w:rsidR="00911CD9" w:rsidRPr="00F520F7">
        <w:rPr>
          <w:rStyle w:val="shorttext"/>
          <w:lang w:val="en"/>
        </w:rPr>
        <w:t xml:space="preserve">and </w:t>
      </w:r>
      <w:proofErr w:type="spellStart"/>
      <w:r w:rsidR="00911CD9" w:rsidRPr="00F520F7">
        <w:rPr>
          <w:rStyle w:val="shorttext"/>
          <w:lang w:val="en"/>
        </w:rPr>
        <w:t>Cirillo</w:t>
      </w:r>
      <w:proofErr w:type="spellEnd"/>
      <w:r w:rsidR="00901CBB" w:rsidRPr="00F520F7">
        <w:rPr>
          <w:rStyle w:val="shorttext"/>
          <w:lang w:val="en"/>
        </w:rPr>
        <w:t>, 2018)</w:t>
      </w:r>
      <w:r w:rsidRPr="00F520F7">
        <w:rPr>
          <w:rStyle w:val="shorttext"/>
          <w:lang w:val="en"/>
        </w:rPr>
        <w:t>.</w:t>
      </w:r>
    </w:p>
    <w:p w:rsidR="00901CBB" w:rsidRPr="00F520F7" w:rsidRDefault="009910B7" w:rsidP="00A61159">
      <w:pPr>
        <w:pStyle w:val="CETheadingx"/>
        <w:spacing w:line="264" w:lineRule="auto"/>
      </w:pPr>
      <w:r w:rsidRPr="00F520F7">
        <w:t xml:space="preserve">Preparation of </w:t>
      </w:r>
      <w:proofErr w:type="spellStart"/>
      <w:r w:rsidRPr="00F520F7">
        <w:t>CuO</w:t>
      </w:r>
      <w:proofErr w:type="spellEnd"/>
      <w:r w:rsidRPr="00F520F7">
        <w:t>/Ag-</w:t>
      </w:r>
      <w:proofErr w:type="spellStart"/>
      <w:r w:rsidR="00C64F27" w:rsidRPr="00F520F7">
        <w:t>r</w:t>
      </w:r>
      <w:r w:rsidR="00470BD9" w:rsidRPr="00F520F7">
        <w:t>GO</w:t>
      </w:r>
      <w:r w:rsidR="00275FFD" w:rsidRPr="00F520F7">
        <w:t>A</w:t>
      </w:r>
      <w:proofErr w:type="spellEnd"/>
      <w:r w:rsidRPr="00F520F7">
        <w:t xml:space="preserve"> </w:t>
      </w:r>
    </w:p>
    <w:p w:rsidR="008871F0" w:rsidRPr="00F520F7" w:rsidRDefault="00D644C7" w:rsidP="00A61159">
      <w:pPr>
        <w:pStyle w:val="CETBodytext"/>
        <w:rPr>
          <w:color w:val="000000"/>
          <w:szCs w:val="18"/>
          <w:lang w:val="en-GB"/>
        </w:rPr>
      </w:pPr>
      <w:r w:rsidRPr="00F520F7">
        <w:rPr>
          <w:color w:val="000000"/>
          <w:szCs w:val="18"/>
          <w:lang w:val="en-GB"/>
        </w:rPr>
        <w:t xml:space="preserve">The preparation of the </w:t>
      </w:r>
      <w:proofErr w:type="spellStart"/>
      <w:r w:rsidR="00594559" w:rsidRPr="00F520F7">
        <w:t>CuO</w:t>
      </w:r>
      <w:proofErr w:type="spellEnd"/>
      <w:r w:rsidR="00594559" w:rsidRPr="00F520F7">
        <w:t>/Ag-G</w:t>
      </w:r>
      <w:r w:rsidR="00325F39" w:rsidRPr="00F520F7">
        <w:t>O</w:t>
      </w:r>
      <w:r w:rsidR="00594559" w:rsidRPr="00F520F7">
        <w:t xml:space="preserve">A </w:t>
      </w:r>
      <w:r w:rsidR="00325F39" w:rsidRPr="00F520F7">
        <w:t xml:space="preserve">catalyst </w:t>
      </w:r>
      <w:r w:rsidR="007A6416" w:rsidRPr="00F520F7">
        <w:t>(Figure 1</w:t>
      </w:r>
      <w:r w:rsidR="00245920" w:rsidRPr="00F520F7">
        <w:t>a)</w:t>
      </w:r>
      <w:r w:rsidR="00BA0265" w:rsidRPr="00F520F7">
        <w:t xml:space="preserve"> </w:t>
      </w:r>
      <w:r w:rsidRPr="00F520F7">
        <w:rPr>
          <w:color w:val="000000"/>
          <w:szCs w:val="18"/>
          <w:lang w:val="en-GB"/>
        </w:rPr>
        <w:t xml:space="preserve">was carried out </w:t>
      </w:r>
      <w:r w:rsidR="00C70E38" w:rsidRPr="00F520F7">
        <w:rPr>
          <w:color w:val="000000"/>
          <w:szCs w:val="18"/>
          <w:lang w:val="en-GB"/>
        </w:rPr>
        <w:t xml:space="preserve">by means </w:t>
      </w:r>
      <w:r w:rsidR="008871F0" w:rsidRPr="00F520F7">
        <w:rPr>
          <w:color w:val="000000"/>
          <w:szCs w:val="18"/>
          <w:lang w:val="en-GB"/>
        </w:rPr>
        <w:t xml:space="preserve">of </w:t>
      </w:r>
      <w:r w:rsidRPr="00F520F7">
        <w:rPr>
          <w:color w:val="000000"/>
          <w:szCs w:val="18"/>
          <w:lang w:val="en-GB"/>
        </w:rPr>
        <w:t>commercially</w:t>
      </w:r>
      <w:r w:rsidRPr="00F520F7">
        <w:rPr>
          <w:color w:val="000000"/>
          <w:lang w:val="en-GB"/>
        </w:rPr>
        <w:t xml:space="preserve"> </w:t>
      </w:r>
      <w:r w:rsidRPr="00F520F7">
        <w:rPr>
          <w:color w:val="000000"/>
          <w:szCs w:val="18"/>
          <w:lang w:val="en-GB"/>
        </w:rPr>
        <w:t xml:space="preserve">available </w:t>
      </w:r>
      <w:r w:rsidR="005B52B3" w:rsidRPr="00F520F7">
        <w:rPr>
          <w:color w:val="000000"/>
          <w:szCs w:val="18"/>
          <w:lang w:val="en-GB"/>
        </w:rPr>
        <w:t>chemical</w:t>
      </w:r>
      <w:r w:rsidRPr="00F520F7">
        <w:rPr>
          <w:color w:val="000000"/>
          <w:szCs w:val="18"/>
          <w:lang w:val="en-GB"/>
        </w:rPr>
        <w:t>s. B</w:t>
      </w:r>
      <w:r w:rsidR="00C44058" w:rsidRPr="00F520F7">
        <w:rPr>
          <w:color w:val="000000"/>
          <w:szCs w:val="18"/>
          <w:lang w:val="en-GB"/>
        </w:rPr>
        <w:t xml:space="preserve">enzyl ether (99%), </w:t>
      </w:r>
      <w:r w:rsidRPr="00F520F7">
        <w:rPr>
          <w:color w:val="000000"/>
          <w:szCs w:val="18"/>
          <w:lang w:val="en-GB"/>
        </w:rPr>
        <w:t xml:space="preserve">1,2-hexadecanediol (97%), oleic acid (90%), </w:t>
      </w:r>
      <w:proofErr w:type="spellStart"/>
      <w:r w:rsidRPr="00F520F7">
        <w:rPr>
          <w:color w:val="000000"/>
          <w:szCs w:val="18"/>
          <w:lang w:val="en-GB"/>
        </w:rPr>
        <w:t>oleylamine</w:t>
      </w:r>
      <w:proofErr w:type="spellEnd"/>
      <w:r w:rsidRPr="00F520F7">
        <w:rPr>
          <w:color w:val="000000"/>
          <w:szCs w:val="18"/>
          <w:lang w:val="en-GB"/>
        </w:rPr>
        <w:t xml:space="preserve"> (&gt;70%), </w:t>
      </w:r>
      <w:r w:rsidR="004B6BAF" w:rsidRPr="00F520F7">
        <w:rPr>
          <w:color w:val="000000"/>
          <w:szCs w:val="18"/>
          <w:lang w:val="en-GB"/>
        </w:rPr>
        <w:t>c</w:t>
      </w:r>
      <w:r w:rsidR="00A70FC8" w:rsidRPr="00F520F7">
        <w:rPr>
          <w:color w:val="000000"/>
          <w:szCs w:val="18"/>
          <w:lang w:val="en-GB"/>
        </w:rPr>
        <w:t>o</w:t>
      </w:r>
      <w:r w:rsidRPr="00F520F7">
        <w:rPr>
          <w:color w:val="000000"/>
          <w:szCs w:val="18"/>
          <w:lang w:val="en-GB"/>
        </w:rPr>
        <w:t xml:space="preserve">pper (II) </w:t>
      </w:r>
      <w:proofErr w:type="spellStart"/>
      <w:r w:rsidRPr="00F520F7">
        <w:rPr>
          <w:color w:val="000000"/>
          <w:szCs w:val="18"/>
          <w:lang w:val="en-GB"/>
        </w:rPr>
        <w:t>acetylacetonate</w:t>
      </w:r>
      <w:proofErr w:type="spellEnd"/>
      <w:r w:rsidR="004B6BAF" w:rsidRPr="00F520F7">
        <w:rPr>
          <w:color w:val="000000"/>
          <w:szCs w:val="18"/>
          <w:lang w:val="en-GB"/>
        </w:rPr>
        <w:t xml:space="preserve">, </w:t>
      </w:r>
      <w:r w:rsidR="004B6BAF" w:rsidRPr="00F520F7">
        <w:rPr>
          <w:rStyle w:val="shorttext"/>
          <w:lang w:val="en"/>
        </w:rPr>
        <w:t>silver nitrate</w:t>
      </w:r>
      <w:r w:rsidRPr="00F520F7">
        <w:rPr>
          <w:color w:val="000000"/>
          <w:szCs w:val="18"/>
          <w:lang w:val="en-GB"/>
        </w:rPr>
        <w:t xml:space="preserve"> </w:t>
      </w:r>
      <w:r w:rsidR="00C20262" w:rsidRPr="00F520F7">
        <w:rPr>
          <w:color w:val="000000"/>
          <w:szCs w:val="18"/>
          <w:lang w:val="en-GB"/>
        </w:rPr>
        <w:t>(</w:t>
      </w:r>
      <w:r w:rsidR="00C20262" w:rsidRPr="00F520F7">
        <w:rPr>
          <w:rStyle w:val="st"/>
        </w:rPr>
        <w:t>≥99.0%</w:t>
      </w:r>
      <w:r w:rsidR="00C20262" w:rsidRPr="00F520F7">
        <w:rPr>
          <w:color w:val="000000"/>
          <w:szCs w:val="18"/>
          <w:lang w:val="en-GB"/>
        </w:rPr>
        <w:t xml:space="preserve">) </w:t>
      </w:r>
      <w:r w:rsidRPr="00F520F7">
        <w:rPr>
          <w:color w:val="000000"/>
          <w:szCs w:val="18"/>
          <w:lang w:val="en-GB"/>
        </w:rPr>
        <w:t xml:space="preserve">were purchased from Aldrich Chemical Co. </w:t>
      </w:r>
      <w:r w:rsidR="008871F0" w:rsidRPr="00F520F7">
        <w:rPr>
          <w:color w:val="000000"/>
          <w:szCs w:val="18"/>
          <w:lang w:val="en-GB"/>
        </w:rPr>
        <w:t>In particular, Cu(C</w:t>
      </w:r>
      <w:r w:rsidR="008871F0" w:rsidRPr="00F520F7">
        <w:rPr>
          <w:color w:val="000000"/>
          <w:szCs w:val="18"/>
          <w:vertAlign w:val="subscript"/>
          <w:lang w:val="en-GB"/>
        </w:rPr>
        <w:t>5</w:t>
      </w:r>
      <w:r w:rsidR="008871F0" w:rsidRPr="00F520F7">
        <w:rPr>
          <w:color w:val="000000"/>
          <w:szCs w:val="18"/>
          <w:lang w:val="en-GB"/>
        </w:rPr>
        <w:t>H</w:t>
      </w:r>
      <w:r w:rsidR="008871F0" w:rsidRPr="00F520F7">
        <w:rPr>
          <w:color w:val="000000"/>
          <w:szCs w:val="18"/>
          <w:vertAlign w:val="subscript"/>
          <w:lang w:val="en-GB"/>
        </w:rPr>
        <w:t>7</w:t>
      </w:r>
      <w:r w:rsidR="008871F0" w:rsidRPr="00F520F7">
        <w:rPr>
          <w:color w:val="000000"/>
          <w:szCs w:val="18"/>
          <w:lang w:val="en-GB"/>
        </w:rPr>
        <w:t>O</w:t>
      </w:r>
      <w:r w:rsidR="008871F0" w:rsidRPr="00F520F7">
        <w:rPr>
          <w:color w:val="000000"/>
          <w:szCs w:val="18"/>
          <w:vertAlign w:val="subscript"/>
          <w:lang w:val="en-GB"/>
        </w:rPr>
        <w:t>2</w:t>
      </w:r>
      <w:r w:rsidR="008871F0" w:rsidRPr="00F520F7">
        <w:rPr>
          <w:color w:val="000000"/>
          <w:szCs w:val="18"/>
          <w:lang w:val="en-GB"/>
        </w:rPr>
        <w:t>)</w:t>
      </w:r>
      <w:r w:rsidR="008871F0" w:rsidRPr="00F520F7">
        <w:rPr>
          <w:color w:val="000000"/>
          <w:szCs w:val="18"/>
          <w:vertAlign w:val="subscript"/>
          <w:lang w:val="en-GB"/>
        </w:rPr>
        <w:t>2</w:t>
      </w:r>
      <w:r w:rsidR="008871F0" w:rsidRPr="00F520F7">
        <w:rPr>
          <w:color w:val="000000"/>
          <w:szCs w:val="18"/>
          <w:lang w:val="en-GB"/>
        </w:rPr>
        <w:t xml:space="preserve"> (2 </w:t>
      </w:r>
      <w:proofErr w:type="spellStart"/>
      <w:r w:rsidR="008871F0" w:rsidRPr="00F520F7">
        <w:rPr>
          <w:color w:val="000000"/>
          <w:szCs w:val="18"/>
          <w:lang w:val="en-GB"/>
        </w:rPr>
        <w:t>mmol</w:t>
      </w:r>
      <w:proofErr w:type="spellEnd"/>
      <w:r w:rsidR="008871F0" w:rsidRPr="00F520F7">
        <w:rPr>
          <w:color w:val="000000"/>
          <w:szCs w:val="18"/>
          <w:lang w:val="en-GB"/>
        </w:rPr>
        <w:t xml:space="preserve">), 1,2-hexadecanediol (10 </w:t>
      </w:r>
      <w:proofErr w:type="spellStart"/>
      <w:r w:rsidR="008871F0" w:rsidRPr="00F520F7">
        <w:rPr>
          <w:color w:val="000000"/>
          <w:szCs w:val="18"/>
          <w:lang w:val="en-GB"/>
        </w:rPr>
        <w:t>mmol</w:t>
      </w:r>
      <w:proofErr w:type="spellEnd"/>
      <w:r w:rsidR="008871F0" w:rsidRPr="00F520F7">
        <w:rPr>
          <w:color w:val="000000"/>
          <w:szCs w:val="18"/>
          <w:lang w:val="en-GB"/>
        </w:rPr>
        <w:t xml:space="preserve">), oleic acid (6 </w:t>
      </w:r>
      <w:proofErr w:type="spellStart"/>
      <w:r w:rsidR="008871F0" w:rsidRPr="00F520F7">
        <w:rPr>
          <w:color w:val="000000"/>
          <w:szCs w:val="18"/>
          <w:lang w:val="en-GB"/>
        </w:rPr>
        <w:t>mmol</w:t>
      </w:r>
      <w:proofErr w:type="spellEnd"/>
      <w:r w:rsidR="008871F0" w:rsidRPr="00F520F7">
        <w:rPr>
          <w:color w:val="000000"/>
          <w:szCs w:val="18"/>
          <w:lang w:val="en-GB"/>
        </w:rPr>
        <w:t xml:space="preserve">), </w:t>
      </w:r>
      <w:proofErr w:type="spellStart"/>
      <w:r w:rsidR="008871F0" w:rsidRPr="00F520F7">
        <w:rPr>
          <w:color w:val="000000"/>
          <w:szCs w:val="18"/>
          <w:lang w:val="en-GB"/>
        </w:rPr>
        <w:t>oleylamine</w:t>
      </w:r>
      <w:proofErr w:type="spellEnd"/>
      <w:r w:rsidR="008871F0" w:rsidRPr="00F520F7">
        <w:rPr>
          <w:color w:val="000000"/>
          <w:szCs w:val="18"/>
          <w:lang w:val="en-GB"/>
        </w:rPr>
        <w:t xml:space="preserve"> (6 </w:t>
      </w:r>
      <w:proofErr w:type="spellStart"/>
      <w:r w:rsidR="008871F0" w:rsidRPr="00F520F7">
        <w:rPr>
          <w:color w:val="000000"/>
          <w:szCs w:val="18"/>
          <w:lang w:val="en-GB"/>
        </w:rPr>
        <w:t>mmol</w:t>
      </w:r>
      <w:proofErr w:type="spellEnd"/>
      <w:r w:rsidR="008871F0" w:rsidRPr="00F520F7">
        <w:rPr>
          <w:color w:val="000000"/>
          <w:szCs w:val="18"/>
          <w:lang w:val="en-GB"/>
        </w:rPr>
        <w:t>), 0.035 g of silver nitrate were mixed and magnetically stirred in presence of 0.5 g of graphene oxide aerogel under a nitrogen flow, following standard airless procedures (</w:t>
      </w:r>
      <w:proofErr w:type="spellStart"/>
      <w:r w:rsidR="00A11D45" w:rsidRPr="00F520F7">
        <w:rPr>
          <w:rStyle w:val="shorttext"/>
          <w:lang w:val="en"/>
        </w:rPr>
        <w:t>Sarno</w:t>
      </w:r>
      <w:proofErr w:type="spellEnd"/>
      <w:r w:rsidR="00A11D45" w:rsidRPr="00F520F7">
        <w:rPr>
          <w:rStyle w:val="shorttext"/>
          <w:lang w:val="en"/>
        </w:rPr>
        <w:t xml:space="preserve"> et al., 2016</w:t>
      </w:r>
      <w:r w:rsidR="008871F0" w:rsidRPr="00F520F7">
        <w:rPr>
          <w:color w:val="000000"/>
          <w:szCs w:val="18"/>
          <w:lang w:val="en-GB"/>
        </w:rPr>
        <w:t xml:space="preserve">). </w:t>
      </w:r>
    </w:p>
    <w:p w:rsidR="000339E2" w:rsidRPr="00F520F7" w:rsidRDefault="000339E2" w:rsidP="00A61159">
      <w:pPr>
        <w:pStyle w:val="CETheadingx"/>
        <w:spacing w:line="264" w:lineRule="auto"/>
      </w:pPr>
      <w:r w:rsidRPr="00F520F7">
        <w:t>Catalyst activity</w:t>
      </w:r>
    </w:p>
    <w:p w:rsidR="000339E2" w:rsidRDefault="000339E2" w:rsidP="00A61159">
      <w:pPr>
        <w:pStyle w:val="CETBodytext"/>
      </w:pPr>
      <w:r w:rsidRPr="00F520F7">
        <w:t>The activity of the as-prepared catalyst for 2-EH oxidation was evaluated by a laboratory apparatus (</w:t>
      </w:r>
      <w:r w:rsidR="00B06D06" w:rsidRPr="00F520F7">
        <w:t>Figure 1b</w:t>
      </w:r>
      <w:r w:rsidRPr="00F520F7">
        <w:t xml:space="preserve">) consisting of a fixed-bed reactor under atmospheric pressure. A total amount of 100 mg of catalyst was loaded into a quartz tube reactor (length = 300 mm, inner diameter = 16 mm; external diameter = 35 mm). Gaseous 2-EH was generated by blow a purified air flow on a 2-EH solution in an incubator kept at 0°C. The total flow rate was </w:t>
      </w:r>
      <w:r w:rsidRPr="0098660E">
        <w:t>50 mL min</w:t>
      </w:r>
      <w:r w:rsidRPr="0098660E">
        <w:rPr>
          <w:vertAlign w:val="superscript"/>
        </w:rPr>
        <w:t>-1</w:t>
      </w:r>
      <w:r w:rsidR="0098660E">
        <w:t xml:space="preserve"> with 130 ppm of 2-EH.</w:t>
      </w:r>
      <w:r w:rsidRPr="0098660E">
        <w:t xml:space="preserve"> The composition</w:t>
      </w:r>
      <w:r w:rsidRPr="00F520F7">
        <w:t xml:space="preserve"> of gas from the catalytic unit was monitored with a gas chromatograph GC-MS, after passing in the catalytic unit for </w:t>
      </w:r>
      <w:proofErr w:type="spellStart"/>
      <w:r w:rsidRPr="00F520F7">
        <w:t>methanation</w:t>
      </w:r>
      <w:proofErr w:type="spellEnd"/>
      <w:r w:rsidRPr="00F520F7">
        <w:t xml:space="preserve"> (catalyst based on Ni under an hydrogen flow for carbon oxides conversion</w:t>
      </w:r>
      <w:r>
        <w:t>). The 2-EH conversion was determined adopting the following equation:</w:t>
      </w:r>
    </w:p>
    <w:tbl>
      <w:tblPr>
        <w:tblW w:w="5000" w:type="pct"/>
        <w:tblLook w:val="04A0" w:firstRow="1" w:lastRow="0" w:firstColumn="1" w:lastColumn="0" w:noHBand="0" w:noVBand="1"/>
      </w:tblPr>
      <w:tblGrid>
        <w:gridCol w:w="8188"/>
        <w:gridCol w:w="815"/>
      </w:tblGrid>
      <w:tr w:rsidR="000339E2" w:rsidRPr="0014466F" w:rsidTr="00430A87">
        <w:tc>
          <w:tcPr>
            <w:tcW w:w="8188" w:type="dxa"/>
            <w:shd w:val="clear" w:color="auto" w:fill="auto"/>
            <w:vAlign w:val="center"/>
          </w:tcPr>
          <w:p w:rsidR="000339E2" w:rsidRPr="007214B1" w:rsidRDefault="000339E2" w:rsidP="00A61159">
            <w:pPr>
              <w:pStyle w:val="Nessunaspaziatura"/>
              <w:spacing w:line="264" w:lineRule="auto"/>
              <w:rPr>
                <w:rStyle w:val="Enfasiintensa"/>
                <w:rFonts w:cs="Arial"/>
              </w:rPr>
            </w:pPr>
            <m:oMathPara>
              <m:oMathParaPr>
                <m:jc m:val="left"/>
              </m:oMathParaPr>
              <m:oMath>
                <m:r>
                  <m:rPr>
                    <m:nor/>
                  </m:rPr>
                  <w:rPr>
                    <w:rStyle w:val="Enfasiintensa"/>
                    <w:rFonts w:cs="Arial"/>
                    <w:b w:val="0"/>
                    <w:bCs w:val="0"/>
                    <w:i w:val="0"/>
                    <w:iCs w:val="0"/>
                    <w:color w:val="auto"/>
                  </w:rPr>
                  <m:t xml:space="preserve">2-EH Conversion </m:t>
                </m:r>
                <m:d>
                  <m:dPr>
                    <m:ctrlPr>
                      <w:rPr>
                        <w:rStyle w:val="Enfasiintensa"/>
                        <w:rFonts w:ascii="Cambria Math" w:hAnsi="Cambria Math" w:cs="Arial"/>
                        <w:b w:val="0"/>
                        <w:bCs w:val="0"/>
                        <w:i w:val="0"/>
                        <w:iCs w:val="0"/>
                        <w:color w:val="auto"/>
                      </w:rPr>
                    </m:ctrlPr>
                  </m:dPr>
                  <m:e>
                    <m:r>
                      <m:rPr>
                        <m:nor/>
                      </m:rPr>
                      <w:rPr>
                        <w:rStyle w:val="Enfasiintensa"/>
                        <w:rFonts w:cs="Arial"/>
                        <w:b w:val="0"/>
                        <w:bCs w:val="0"/>
                        <w:i w:val="0"/>
                        <w:iCs w:val="0"/>
                        <w:color w:val="auto"/>
                      </w:rPr>
                      <m:t>%</m:t>
                    </m:r>
                  </m:e>
                </m:d>
                <m:r>
                  <m:rPr>
                    <m:nor/>
                  </m:rPr>
                  <w:rPr>
                    <w:rStyle w:val="Enfasiintensa"/>
                    <w:rFonts w:cs="Arial"/>
                    <w:b w:val="0"/>
                    <w:bCs w:val="0"/>
                    <w:i w:val="0"/>
                    <w:iCs w:val="0"/>
                    <w:color w:val="auto"/>
                  </w:rPr>
                  <m:t>=C</m:t>
                </m:r>
                <m:sSub>
                  <m:sSubPr>
                    <m:ctrlPr>
                      <w:rPr>
                        <w:rStyle w:val="Enfasiintensa"/>
                        <w:rFonts w:ascii="Cambria Math" w:hAnsi="Cambria Math" w:cs="Arial"/>
                        <w:b w:val="0"/>
                        <w:bCs w:val="0"/>
                        <w:i w:val="0"/>
                        <w:iCs w:val="0"/>
                        <w:color w:val="auto"/>
                      </w:rPr>
                    </m:ctrlPr>
                  </m:sSubPr>
                  <m:e>
                    <m:r>
                      <m:rPr>
                        <m:nor/>
                      </m:rPr>
                      <w:rPr>
                        <w:rStyle w:val="Enfasiintensa"/>
                        <w:rFonts w:cs="Arial"/>
                        <w:b w:val="0"/>
                        <w:bCs w:val="0"/>
                        <w:i w:val="0"/>
                        <w:iCs w:val="0"/>
                        <w:color w:val="auto"/>
                      </w:rPr>
                      <m:t>O</m:t>
                    </m:r>
                  </m:e>
                  <m:sub>
                    <m:r>
                      <m:rPr>
                        <m:nor/>
                      </m:rPr>
                      <w:rPr>
                        <w:rStyle w:val="Enfasiintensa"/>
                        <w:rFonts w:cs="Arial"/>
                        <w:b w:val="0"/>
                        <w:bCs w:val="0"/>
                        <w:i w:val="0"/>
                        <w:iCs w:val="0"/>
                        <w:color w:val="auto"/>
                      </w:rPr>
                      <m:t>2</m:t>
                    </m:r>
                  </m:sub>
                </m:sSub>
                <m:r>
                  <m:rPr>
                    <m:nor/>
                  </m:rPr>
                  <w:rPr>
                    <w:rStyle w:val="Enfasiintensa"/>
                    <w:rFonts w:cs="Arial"/>
                    <w:b w:val="0"/>
                    <w:bCs w:val="0"/>
                    <w:i w:val="0"/>
                    <w:iCs w:val="0"/>
                    <w:color w:val="auto"/>
                  </w:rPr>
                  <m:t xml:space="preserve">yield </m:t>
                </m:r>
                <m:d>
                  <m:dPr>
                    <m:ctrlPr>
                      <w:rPr>
                        <w:rStyle w:val="Enfasiintensa"/>
                        <w:rFonts w:ascii="Cambria Math" w:hAnsi="Cambria Math" w:cs="Arial"/>
                        <w:b w:val="0"/>
                        <w:bCs w:val="0"/>
                        <w:i w:val="0"/>
                        <w:iCs w:val="0"/>
                        <w:color w:val="auto"/>
                      </w:rPr>
                    </m:ctrlPr>
                  </m:dPr>
                  <m:e>
                    <m:r>
                      <m:rPr>
                        <m:nor/>
                      </m:rPr>
                      <w:rPr>
                        <w:rStyle w:val="Enfasiintensa"/>
                        <w:rFonts w:cs="Arial"/>
                        <w:b w:val="0"/>
                        <w:bCs w:val="0"/>
                        <w:i w:val="0"/>
                        <w:iCs w:val="0"/>
                        <w:color w:val="auto"/>
                      </w:rPr>
                      <m:t>%</m:t>
                    </m:r>
                  </m:e>
                </m:d>
                <m:r>
                  <m:rPr>
                    <m:nor/>
                  </m:rPr>
                  <w:rPr>
                    <w:rStyle w:val="Enfasiintensa"/>
                    <w:rFonts w:cs="Arial"/>
                    <w:b w:val="0"/>
                    <w:bCs w:val="0"/>
                    <w:i w:val="0"/>
                    <w:iCs w:val="0"/>
                    <w:color w:val="auto"/>
                  </w:rPr>
                  <m:t>=</m:t>
                </m:r>
                <m:f>
                  <m:fPr>
                    <m:ctrlPr>
                      <w:rPr>
                        <w:rStyle w:val="Enfasiintensa"/>
                        <w:rFonts w:ascii="Cambria Math" w:hAnsi="Cambria Math" w:cs="Arial"/>
                        <w:b w:val="0"/>
                        <w:bCs w:val="0"/>
                        <w:i w:val="0"/>
                        <w:iCs w:val="0"/>
                        <w:color w:val="auto"/>
                      </w:rPr>
                    </m:ctrlPr>
                  </m:fPr>
                  <m:num>
                    <m:sSub>
                      <m:sSubPr>
                        <m:ctrlPr>
                          <w:rPr>
                            <w:rStyle w:val="Enfasiintensa"/>
                            <w:rFonts w:ascii="Cambria Math" w:hAnsi="Cambria Math" w:cs="Arial"/>
                            <w:b w:val="0"/>
                            <w:bCs w:val="0"/>
                            <w:i w:val="0"/>
                            <w:iCs w:val="0"/>
                            <w:color w:val="auto"/>
                          </w:rPr>
                        </m:ctrlPr>
                      </m:sSubPr>
                      <m:e>
                        <m:d>
                          <m:dPr>
                            <m:begChr m:val="["/>
                            <m:endChr m:val="]"/>
                            <m:ctrlPr>
                              <w:rPr>
                                <w:rStyle w:val="Enfasiintensa"/>
                                <w:rFonts w:ascii="Cambria Math" w:hAnsi="Cambria Math" w:cs="Arial"/>
                                <w:b w:val="0"/>
                                <w:bCs w:val="0"/>
                                <w:i w:val="0"/>
                                <w:iCs w:val="0"/>
                                <w:color w:val="auto"/>
                              </w:rPr>
                            </m:ctrlPr>
                          </m:dPr>
                          <m:e>
                            <m:r>
                              <m:rPr>
                                <m:nor/>
                              </m:rPr>
                              <w:rPr>
                                <w:rStyle w:val="Enfasiintensa"/>
                                <w:rFonts w:cs="Arial"/>
                                <w:b w:val="0"/>
                                <w:bCs w:val="0"/>
                                <w:i w:val="0"/>
                                <w:iCs w:val="0"/>
                                <w:color w:val="auto"/>
                              </w:rPr>
                              <m:t>C</m:t>
                            </m:r>
                            <m:sSub>
                              <m:sSubPr>
                                <m:ctrlPr>
                                  <w:rPr>
                                    <w:rStyle w:val="Enfasiintensa"/>
                                    <w:rFonts w:ascii="Cambria Math" w:hAnsi="Cambria Math" w:cs="Arial"/>
                                    <w:b w:val="0"/>
                                    <w:bCs w:val="0"/>
                                    <w:i w:val="0"/>
                                    <w:iCs w:val="0"/>
                                    <w:color w:val="auto"/>
                                  </w:rPr>
                                </m:ctrlPr>
                              </m:sSubPr>
                              <m:e>
                                <m:r>
                                  <m:rPr>
                                    <m:nor/>
                                  </m:rPr>
                                  <w:rPr>
                                    <w:rStyle w:val="Enfasiintensa"/>
                                    <w:rFonts w:cs="Arial"/>
                                    <w:b w:val="0"/>
                                    <w:bCs w:val="0"/>
                                    <w:i w:val="0"/>
                                    <w:iCs w:val="0"/>
                                    <w:color w:val="auto"/>
                                  </w:rPr>
                                  <m:t>O</m:t>
                                </m:r>
                              </m:e>
                              <m:sub>
                                <m:r>
                                  <m:rPr>
                                    <m:nor/>
                                  </m:rPr>
                                  <w:rPr>
                                    <w:rStyle w:val="Enfasiintensa"/>
                                    <w:rFonts w:cs="Arial"/>
                                    <w:b w:val="0"/>
                                    <w:bCs w:val="0"/>
                                    <w:i w:val="0"/>
                                    <w:iCs w:val="0"/>
                                    <w:color w:val="auto"/>
                                  </w:rPr>
                                  <m:t>2</m:t>
                                </m:r>
                              </m:sub>
                            </m:sSub>
                          </m:e>
                        </m:d>
                      </m:e>
                      <m:sub>
                        <m:r>
                          <m:rPr>
                            <m:nor/>
                          </m:rPr>
                          <w:rPr>
                            <w:rStyle w:val="Enfasiintensa"/>
                            <w:rFonts w:cs="Arial"/>
                            <w:b w:val="0"/>
                            <w:bCs w:val="0"/>
                            <w:i w:val="0"/>
                            <w:iCs w:val="0"/>
                            <w:color w:val="auto"/>
                          </w:rPr>
                          <m:t>out</m:t>
                        </m:r>
                      </m:sub>
                    </m:sSub>
                  </m:num>
                  <m:den>
                    <m:sSub>
                      <m:sSubPr>
                        <m:ctrlPr>
                          <w:rPr>
                            <w:rStyle w:val="Enfasiintensa"/>
                            <w:rFonts w:ascii="Cambria Math" w:hAnsi="Cambria Math" w:cs="Arial"/>
                            <w:b w:val="0"/>
                            <w:bCs w:val="0"/>
                            <w:i w:val="0"/>
                            <w:iCs w:val="0"/>
                            <w:color w:val="auto"/>
                          </w:rPr>
                        </m:ctrlPr>
                      </m:sSubPr>
                      <m:e>
                        <m:d>
                          <m:dPr>
                            <m:begChr m:val="["/>
                            <m:endChr m:val="]"/>
                            <m:ctrlPr>
                              <w:rPr>
                                <w:rStyle w:val="Enfasiintensa"/>
                                <w:rFonts w:ascii="Cambria Math" w:hAnsi="Cambria Math" w:cs="Arial"/>
                                <w:b w:val="0"/>
                                <w:bCs w:val="0"/>
                                <w:i w:val="0"/>
                                <w:iCs w:val="0"/>
                                <w:color w:val="auto"/>
                              </w:rPr>
                            </m:ctrlPr>
                          </m:dPr>
                          <m:e>
                            <m:r>
                              <m:rPr>
                                <m:nor/>
                              </m:rPr>
                              <w:rPr>
                                <w:rStyle w:val="Enfasiintensa"/>
                                <w:rFonts w:cs="Arial"/>
                                <w:b w:val="0"/>
                                <w:bCs w:val="0"/>
                                <w:i w:val="0"/>
                                <w:iCs w:val="0"/>
                                <w:color w:val="auto"/>
                              </w:rPr>
                              <m:t>2-EH</m:t>
                            </m:r>
                          </m:e>
                        </m:d>
                      </m:e>
                      <m:sub>
                        <m:r>
                          <m:rPr>
                            <m:nor/>
                          </m:rPr>
                          <w:rPr>
                            <w:rStyle w:val="Enfasiintensa"/>
                            <w:rFonts w:cs="Arial"/>
                            <w:b w:val="0"/>
                            <w:bCs w:val="0"/>
                            <w:i w:val="0"/>
                            <w:iCs w:val="0"/>
                            <w:color w:val="auto"/>
                          </w:rPr>
                          <m:t>in</m:t>
                        </m:r>
                      </m:sub>
                    </m:sSub>
                  </m:den>
                </m:f>
                <m:r>
                  <m:rPr>
                    <m:nor/>
                  </m:rPr>
                  <w:rPr>
                    <w:rStyle w:val="Enfasiintensa"/>
                    <w:rFonts w:cs="Arial"/>
                    <w:b w:val="0"/>
                    <w:bCs w:val="0"/>
                    <w:i w:val="0"/>
                    <w:iCs w:val="0"/>
                    <w:color w:val="auto"/>
                  </w:rPr>
                  <m:t>x 100%</m:t>
                </m:r>
                <m:r>
                  <w:rPr>
                    <w:rStyle w:val="Enfasiintensa"/>
                    <w:rFonts w:ascii="Cambria Math" w:hAnsi="Cambria Math" w:cs="Arial"/>
                    <w:color w:val="auto"/>
                  </w:rPr>
                  <m:t xml:space="preserve">   </m:t>
                </m:r>
              </m:oMath>
            </m:oMathPara>
          </w:p>
        </w:tc>
        <w:tc>
          <w:tcPr>
            <w:tcW w:w="815" w:type="dxa"/>
            <w:shd w:val="clear" w:color="auto" w:fill="auto"/>
            <w:vAlign w:val="center"/>
          </w:tcPr>
          <w:p w:rsidR="000339E2" w:rsidRPr="0014466F" w:rsidRDefault="000339E2" w:rsidP="00A61159">
            <w:pPr>
              <w:pStyle w:val="CETEquation"/>
              <w:jc w:val="right"/>
            </w:pPr>
            <w:r w:rsidRPr="0014466F">
              <w:t>(1)</w:t>
            </w:r>
          </w:p>
        </w:tc>
      </w:tr>
    </w:tbl>
    <w:p w:rsidR="000339E2" w:rsidRDefault="000339E2" w:rsidP="00A61159">
      <w:pPr>
        <w:pStyle w:val="CETBodytext"/>
      </w:pPr>
    </w:p>
    <w:p w:rsidR="000339E2" w:rsidRDefault="000339E2" w:rsidP="00A61159">
      <w:pPr>
        <w:pStyle w:val="CETBodytext"/>
      </w:pPr>
      <w:r>
        <w:t>where [CO</w:t>
      </w:r>
      <w:r w:rsidRPr="00BD44C3">
        <w:rPr>
          <w:vertAlign w:val="subscript"/>
        </w:rPr>
        <w:t>2</w:t>
      </w:r>
      <w:r>
        <w:t>] is CO</w:t>
      </w:r>
      <w:r w:rsidRPr="00BD44C3">
        <w:rPr>
          <w:vertAlign w:val="subscript"/>
        </w:rPr>
        <w:t>2</w:t>
      </w:r>
      <w:r>
        <w:t xml:space="preserve"> concentration in the effluent, and [2-EH] is the 2-EH concentration in the feed gas. </w:t>
      </w:r>
    </w:p>
    <w:p w:rsidR="00716E48" w:rsidRDefault="00B02054" w:rsidP="00A61159">
      <w:pPr>
        <w:pStyle w:val="CETBodytext"/>
        <w:rPr>
          <w:lang w:val="en-GB"/>
        </w:rPr>
      </w:pPr>
      <w:r w:rsidRPr="00591ABB">
        <w:rPr>
          <w:i/>
          <w:noProof/>
          <w:lang w:val="it-IT" w:eastAsia="it-IT"/>
        </w:rPr>
        <mc:AlternateContent>
          <mc:Choice Requires="wps">
            <w:drawing>
              <wp:anchor distT="0" distB="0" distL="114300" distR="114300" simplePos="0" relativeHeight="251672576" behindDoc="0" locked="0" layoutInCell="1" allowOverlap="1" wp14:anchorId="2D1934ED" wp14:editId="3B102756">
                <wp:simplePos x="0" y="0"/>
                <wp:positionH relativeFrom="column">
                  <wp:posOffset>2110740</wp:posOffset>
                </wp:positionH>
                <wp:positionV relativeFrom="paragraph">
                  <wp:posOffset>63817</wp:posOffset>
                </wp:positionV>
                <wp:extent cx="257175" cy="299720"/>
                <wp:effectExtent l="0" t="0" r="0" b="508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9720"/>
                        </a:xfrm>
                        <a:prstGeom prst="rect">
                          <a:avLst/>
                        </a:prstGeom>
                        <a:noFill/>
                        <a:ln w="9525">
                          <a:noFill/>
                          <a:miter lim="800000"/>
                          <a:headEnd/>
                          <a:tailEnd/>
                        </a:ln>
                      </wps:spPr>
                      <wps:txbx>
                        <w:txbxContent>
                          <w:p w:rsidR="00716E48" w:rsidRPr="007D2848" w:rsidRDefault="00716E48" w:rsidP="00716E48">
                            <w:pPr>
                              <w:rPr>
                                <w:b/>
                                <w:sz w:val="24"/>
                                <w:szCs w:val="24"/>
                                <w:lang w:val="it-IT"/>
                              </w:rPr>
                            </w:pPr>
                            <w:r>
                              <w:rPr>
                                <w:b/>
                                <w:sz w:val="24"/>
                                <w:szCs w:val="24"/>
                                <w:lang w:val="it-IT"/>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66.2pt;margin-top:5pt;width:20.25pt;height:2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" filled="f" stroked="f">
                <v:textbox>
                  <w:txbxContent>
                    <w:p w:rsidR="00716E48" w:rsidRPr="007D2848" w:rsidRDefault="00716E48" w:rsidP="00716E48">
                      <w:pPr>
                        <w:rPr>
                          <w:b/>
                          <w:sz w:val="24"/>
                          <w:szCs w:val="24"/>
                          <w:lang w:val="it-IT"/>
                        </w:rPr>
                      </w:pPr>
                      <w:r>
                        <w:rPr>
                          <w:b/>
                          <w:sz w:val="24"/>
                          <w:szCs w:val="24"/>
                          <w:lang w:val="it-IT"/>
                        </w:rPr>
                        <w:t>b</w:t>
                      </w:r>
                    </w:p>
                  </w:txbxContent>
                </v:textbox>
              </v:shape>
            </w:pict>
          </mc:Fallback>
        </mc:AlternateContent>
      </w:r>
      <w:r w:rsidRPr="00591ABB">
        <w:rPr>
          <w:i/>
          <w:noProof/>
          <w:lang w:val="it-IT" w:eastAsia="it-IT"/>
        </w:rPr>
        <mc:AlternateContent>
          <mc:Choice Requires="wps">
            <w:drawing>
              <wp:anchor distT="0" distB="0" distL="114300" distR="114300" simplePos="0" relativeHeight="251671552" behindDoc="0" locked="0" layoutInCell="1" allowOverlap="1" wp14:anchorId="75C1F3C4" wp14:editId="2CB1AB21">
                <wp:simplePos x="0" y="0"/>
                <wp:positionH relativeFrom="column">
                  <wp:posOffset>666750</wp:posOffset>
                </wp:positionH>
                <wp:positionV relativeFrom="paragraph">
                  <wp:posOffset>74930</wp:posOffset>
                </wp:positionV>
                <wp:extent cx="257175" cy="27432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4320"/>
                        </a:xfrm>
                        <a:prstGeom prst="rect">
                          <a:avLst/>
                        </a:prstGeom>
                        <a:noFill/>
                        <a:ln w="9525">
                          <a:noFill/>
                          <a:miter lim="800000"/>
                          <a:headEnd/>
                          <a:tailEnd/>
                        </a:ln>
                      </wps:spPr>
                      <wps:txbx>
                        <w:txbxContent>
                          <w:p w:rsidR="00716E48" w:rsidRPr="00C64F27" w:rsidRDefault="00716E48" w:rsidP="00716E48">
                            <w:pPr>
                              <w:rPr>
                                <w:b/>
                                <w:sz w:val="24"/>
                                <w:szCs w:val="24"/>
                                <w:lang w:val="it-IT"/>
                              </w:rPr>
                            </w:pPr>
                            <w:r w:rsidRPr="00C64F27">
                              <w:rPr>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2.5pt;margin-top:5.9pt;width:20.25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" filled="f" stroked="f">
                <v:textbox>
                  <w:txbxContent>
                    <w:p w:rsidR="00716E48" w:rsidRPr="00C64F27" w:rsidRDefault="00716E48" w:rsidP="00716E48">
                      <w:pPr>
                        <w:rPr>
                          <w:b/>
                          <w:sz w:val="24"/>
                          <w:szCs w:val="24"/>
                          <w:lang w:val="it-IT"/>
                        </w:rPr>
                      </w:pPr>
                      <w:r w:rsidRPr="00C64F27">
                        <w:rPr>
                          <w:b/>
                          <w:sz w:val="24"/>
                          <w:szCs w:val="24"/>
                        </w:rPr>
                        <w:t>a</w:t>
                      </w:r>
                    </w:p>
                  </w:txbxContent>
                </v:textbox>
              </v:shape>
            </w:pict>
          </mc:Fallback>
        </mc:AlternateContent>
      </w:r>
      <w:r w:rsidR="00245920">
        <w:rPr>
          <w:noProof/>
          <w:lang w:val="it-IT" w:eastAsia="it-IT"/>
        </w:rPr>
        <w:drawing>
          <wp:inline distT="0" distB="0" distL="0" distR="0" wp14:anchorId="36FECD4E" wp14:editId="68170BA4">
            <wp:extent cx="1599998" cy="900000"/>
            <wp:effectExtent l="26035" t="12065" r="26670" b="26670"/>
            <wp:docPr id="1026" name="Picture 2" descr="D:\Dropbox\NINE2019\Abbattimento di VOC da polimeri di riciclo_ Claudia e Davide e Lina\20181130_12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ropbox\NINE2019\Abbattimento di VOC da polimeri di riciclo_ Claudia e Davide e Lina\20181130_1252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599998" cy="900000"/>
                    </a:xfrm>
                    <a:prstGeom prst="rect">
                      <a:avLst/>
                    </a:prstGeom>
                    <a:noFill/>
                    <a:ln>
                      <a:solidFill>
                        <a:srgbClr val="92D050"/>
                      </a:solidFill>
                    </a:ln>
                    <a:extLst/>
                  </pic:spPr>
                </pic:pic>
              </a:graphicData>
            </a:graphic>
          </wp:inline>
        </w:drawing>
      </w:r>
      <w:r w:rsidR="00716E48" w:rsidRPr="003205CE">
        <w:rPr>
          <w:noProof/>
          <w:lang w:val="it-IT" w:eastAsia="it-IT"/>
        </w:rPr>
        <w:drawing>
          <wp:inline distT="0" distB="0" distL="0" distR="0" wp14:anchorId="57267868" wp14:editId="79E601D9">
            <wp:extent cx="1475117" cy="164173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2727" cy="1650203"/>
                    </a:xfrm>
                    <a:prstGeom prst="rect">
                      <a:avLst/>
                    </a:prstGeom>
                    <a:noFill/>
                    <a:ln>
                      <a:noFill/>
                    </a:ln>
                  </pic:spPr>
                </pic:pic>
              </a:graphicData>
            </a:graphic>
          </wp:inline>
        </w:drawing>
      </w:r>
      <w:r w:rsidR="00716E48" w:rsidRPr="00021685">
        <w:rPr>
          <w:lang w:val="en-GB"/>
        </w:rPr>
        <w:t xml:space="preserve"> </w:t>
      </w:r>
      <w:r w:rsidR="00716E48">
        <w:rPr>
          <w:lang w:val="en-GB"/>
        </w:rPr>
        <w:t xml:space="preserve"> </w:t>
      </w:r>
    </w:p>
    <w:p w:rsidR="00716E48" w:rsidRDefault="00245920" w:rsidP="00A61159">
      <w:pPr>
        <w:pStyle w:val="CETBodytext"/>
        <w:rPr>
          <w:i/>
        </w:rPr>
      </w:pPr>
      <w:r>
        <w:rPr>
          <w:i/>
        </w:rPr>
        <w:t>Figure 1</w:t>
      </w:r>
      <w:r w:rsidR="00B26187">
        <w:rPr>
          <w:i/>
        </w:rPr>
        <w:t>:</w:t>
      </w:r>
      <w:r w:rsidR="00716E48">
        <w:rPr>
          <w:i/>
        </w:rPr>
        <w:t xml:space="preserve"> </w:t>
      </w:r>
      <w:r>
        <w:rPr>
          <w:i/>
        </w:rPr>
        <w:t xml:space="preserve">A </w:t>
      </w:r>
      <w:r w:rsidRPr="007D4B14">
        <w:rPr>
          <w:i/>
        </w:rPr>
        <w:t xml:space="preserve">photo </w:t>
      </w:r>
      <w:r>
        <w:rPr>
          <w:i/>
        </w:rPr>
        <w:t xml:space="preserve">of catalysts based on reduced graphene oxide (a). </w:t>
      </w:r>
      <w:r w:rsidR="00716E48">
        <w:rPr>
          <w:i/>
        </w:rPr>
        <w:t>Schematic representation of the experimental units used for the catalytic oxidation of 2-EH</w:t>
      </w:r>
      <w:r>
        <w:rPr>
          <w:i/>
        </w:rPr>
        <w:t xml:space="preserve"> </w:t>
      </w:r>
      <w:r w:rsidR="00716E48">
        <w:rPr>
          <w:i/>
        </w:rPr>
        <w:t>(b)</w:t>
      </w:r>
    </w:p>
    <w:p w:rsidR="00D658B6" w:rsidRPr="001209C8" w:rsidRDefault="009B34ED" w:rsidP="00A61159">
      <w:pPr>
        <w:pStyle w:val="CETheadingx"/>
        <w:spacing w:line="264" w:lineRule="auto"/>
      </w:pPr>
      <w:r>
        <w:t>Materials c</w:t>
      </w:r>
      <w:r w:rsidR="00D658B6" w:rsidRPr="001209C8">
        <w:t>haracterization</w:t>
      </w:r>
    </w:p>
    <w:p w:rsidR="00D658B6" w:rsidRDefault="00D658B6" w:rsidP="00A61159">
      <w:pPr>
        <w:pStyle w:val="CETBodytext"/>
        <w:rPr>
          <w:lang w:val="en-GB"/>
        </w:rPr>
      </w:pPr>
      <w:r w:rsidRPr="00C94297">
        <w:rPr>
          <w:color w:val="000000"/>
          <w:szCs w:val="18"/>
          <w:lang w:val="en-GB"/>
        </w:rPr>
        <w:t xml:space="preserve">The characterization </w:t>
      </w:r>
      <w:r w:rsidR="00076EB9" w:rsidRPr="00076EB9">
        <w:rPr>
          <w:color w:val="000000"/>
          <w:szCs w:val="18"/>
          <w:lang w:val="en-GB"/>
        </w:rPr>
        <w:t xml:space="preserve">was performed </w:t>
      </w:r>
      <w:r w:rsidRPr="00C94297">
        <w:rPr>
          <w:color w:val="000000"/>
          <w:szCs w:val="18"/>
          <w:lang w:val="en-GB"/>
        </w:rPr>
        <w:t>by</w:t>
      </w:r>
      <w:r>
        <w:rPr>
          <w:color w:val="000000"/>
          <w:szCs w:val="18"/>
          <w:lang w:val="en-GB"/>
        </w:rPr>
        <w:t xml:space="preserve"> using</w:t>
      </w:r>
      <w:r w:rsidRPr="00C94297">
        <w:rPr>
          <w:color w:val="000000"/>
          <w:szCs w:val="18"/>
          <w:lang w:val="en-GB"/>
        </w:rPr>
        <w:t xml:space="preserve"> </w:t>
      </w:r>
      <w:r w:rsidR="00076EB9" w:rsidRPr="00076EB9">
        <w:rPr>
          <w:color w:val="000000"/>
          <w:szCs w:val="18"/>
          <w:lang w:val="en-GB"/>
        </w:rPr>
        <w:t xml:space="preserve">several </w:t>
      </w:r>
      <w:r w:rsidRPr="00C94297">
        <w:rPr>
          <w:color w:val="000000"/>
          <w:szCs w:val="18"/>
          <w:lang w:val="en-GB"/>
        </w:rPr>
        <w:t>techniques.</w:t>
      </w:r>
      <w:r w:rsidRPr="0006108A">
        <w:rPr>
          <w:szCs w:val="18"/>
          <w:lang w:val="en-GB"/>
        </w:rPr>
        <w:t xml:space="preserve"> </w:t>
      </w:r>
      <w:r w:rsidR="005855A9" w:rsidRPr="005855A9">
        <w:rPr>
          <w:szCs w:val="18"/>
          <w:lang w:val="en-GB"/>
        </w:rPr>
        <w:t>Transmission electron microscopy</w:t>
      </w:r>
      <w:r w:rsidR="005855A9">
        <w:rPr>
          <w:szCs w:val="18"/>
          <w:lang w:val="en-GB"/>
        </w:rPr>
        <w:t xml:space="preserve"> (</w:t>
      </w:r>
      <w:r w:rsidR="002E15B1">
        <w:t>TEM</w:t>
      </w:r>
      <w:r w:rsidR="005855A9">
        <w:t>)</w:t>
      </w:r>
      <w:r w:rsidR="002E15B1">
        <w:t xml:space="preserve"> images were obtained with a FEI </w:t>
      </w:r>
      <w:proofErr w:type="spellStart"/>
      <w:r w:rsidR="002E15B1">
        <w:t>Tecnai</w:t>
      </w:r>
      <w:proofErr w:type="spellEnd"/>
      <w:r w:rsidR="002E15B1">
        <w:t xml:space="preserve"> electron microscope operating at 200 kV with a LaB</w:t>
      </w:r>
      <w:r w:rsidR="002E15B1" w:rsidRPr="00BC1C31">
        <w:rPr>
          <w:vertAlign w:val="subscript"/>
        </w:rPr>
        <w:t>6</w:t>
      </w:r>
      <w:r w:rsidR="002E15B1">
        <w:t xml:space="preserve"> filament as the source of electrons. The preparation of samples for TEM analysis involved sonication in ethanol for 2–5 min and deposition on a carbon grid. </w:t>
      </w:r>
      <w:r>
        <w:rPr>
          <w:szCs w:val="18"/>
          <w:lang w:val="en-GB"/>
        </w:rPr>
        <w:t xml:space="preserve">Scanning electron </w:t>
      </w:r>
      <w:r w:rsidRPr="00453157">
        <w:rPr>
          <w:szCs w:val="18"/>
          <w:lang w:val="en-GB"/>
        </w:rPr>
        <w:t xml:space="preserve">microscopy (SEM) images were obtained by the use of a LEO 1525 electron microscope. </w:t>
      </w:r>
      <w:r w:rsidRPr="00453157">
        <w:rPr>
          <w:color w:val="000000"/>
          <w:szCs w:val="18"/>
          <w:lang w:val="en-GB"/>
        </w:rPr>
        <w:t xml:space="preserve">Raman spectra were obtained at room temperature with a micro-Raman spectrometer Renishaw </w:t>
      </w:r>
      <w:proofErr w:type="spellStart"/>
      <w:r w:rsidRPr="00453157">
        <w:rPr>
          <w:color w:val="000000"/>
          <w:szCs w:val="18"/>
          <w:lang w:val="en-GB"/>
        </w:rPr>
        <w:t>inVia</w:t>
      </w:r>
      <w:proofErr w:type="spellEnd"/>
      <w:r w:rsidRPr="00453157">
        <w:rPr>
          <w:color w:val="000000"/>
          <w:szCs w:val="18"/>
          <w:lang w:val="en-GB"/>
        </w:rPr>
        <w:t xml:space="preserve"> with a 514 nm excitation wavelength (laser power 30 </w:t>
      </w:r>
      <w:proofErr w:type="spellStart"/>
      <w:r w:rsidRPr="00453157">
        <w:rPr>
          <w:color w:val="000000"/>
          <w:szCs w:val="18"/>
          <w:lang w:val="en-GB"/>
        </w:rPr>
        <w:t>mW</w:t>
      </w:r>
      <w:proofErr w:type="spellEnd"/>
      <w:r w:rsidRPr="00453157">
        <w:rPr>
          <w:color w:val="000000"/>
          <w:szCs w:val="18"/>
          <w:lang w:val="en-GB"/>
        </w:rPr>
        <w:t>) in the range 100-3000 cm</w:t>
      </w:r>
      <w:r w:rsidRPr="00453157">
        <w:rPr>
          <w:color w:val="000000"/>
          <w:szCs w:val="18"/>
          <w:vertAlign w:val="superscript"/>
          <w:lang w:val="en-GB"/>
        </w:rPr>
        <w:t>-1</w:t>
      </w:r>
      <w:r w:rsidRPr="00453157">
        <w:rPr>
          <w:color w:val="000000"/>
          <w:szCs w:val="18"/>
          <w:lang w:val="en-GB"/>
        </w:rPr>
        <w:t>. XRD measurements were p</w:t>
      </w:r>
      <w:r w:rsidR="004D63BE">
        <w:rPr>
          <w:color w:val="000000"/>
          <w:szCs w:val="18"/>
          <w:lang w:val="en-GB"/>
        </w:rPr>
        <w:t xml:space="preserve">erformed with a Bruker D8 X-ray </w:t>
      </w:r>
      <w:r w:rsidRPr="00453157">
        <w:rPr>
          <w:color w:val="000000"/>
          <w:szCs w:val="18"/>
          <w:lang w:val="en-GB"/>
        </w:rPr>
        <w:t xml:space="preserve">diffractometer using </w:t>
      </w:r>
      <w:proofErr w:type="spellStart"/>
      <w:r w:rsidRPr="00453157">
        <w:rPr>
          <w:color w:val="000000"/>
          <w:szCs w:val="18"/>
          <w:lang w:val="en-GB"/>
        </w:rPr>
        <w:t>CuK</w:t>
      </w:r>
      <w:proofErr w:type="spellEnd"/>
      <w:r w:rsidRPr="00453157">
        <w:rPr>
          <w:color w:val="000000"/>
          <w:szCs w:val="18"/>
          <w:lang w:val="en-GB"/>
        </w:rPr>
        <w:sym w:font="Symbol" w:char="F061"/>
      </w:r>
      <w:r w:rsidRPr="00453157">
        <w:rPr>
          <w:color w:val="000000"/>
          <w:szCs w:val="18"/>
          <w:lang w:val="en-GB"/>
        </w:rPr>
        <w:t xml:space="preserve"> radiation. </w:t>
      </w:r>
      <w:r w:rsidRPr="00453157">
        <w:rPr>
          <w:lang w:val="en-GB"/>
        </w:rPr>
        <w:t>The reaction products were determined</w:t>
      </w:r>
      <w:r w:rsidRPr="001209C8">
        <w:rPr>
          <w:lang w:val="en-GB"/>
        </w:rPr>
        <w:t xml:space="preserve"> using a gas chr</w:t>
      </w:r>
      <w:r w:rsidR="004D63BE">
        <w:rPr>
          <w:lang w:val="en-GB"/>
        </w:rPr>
        <w:t xml:space="preserve">omatography </w:t>
      </w:r>
      <w:r w:rsidRPr="001209C8">
        <w:rPr>
          <w:lang w:val="en-GB"/>
        </w:rPr>
        <w:t xml:space="preserve">mass spectrometry </w:t>
      </w:r>
      <w:r w:rsidR="004D63BE">
        <w:t xml:space="preserve">(GC-MS) </w:t>
      </w:r>
      <w:r w:rsidRPr="001209C8">
        <w:t>(Thermo Fischer Scientific)</w:t>
      </w:r>
      <w:r w:rsidR="004D63BE">
        <w:t xml:space="preserve"> by using HP-5 capillary column </w:t>
      </w:r>
      <w:r w:rsidRPr="001209C8">
        <w:t>(0.25</w:t>
      </w:r>
      <w:r w:rsidRPr="001209C8">
        <w:rPr>
          <w:lang w:val="it-IT"/>
        </w:rPr>
        <w:t>μ</w:t>
      </w:r>
      <w:r w:rsidRPr="001209C8">
        <w:t>m~0.25mm</w:t>
      </w:r>
      <w:r w:rsidRPr="001209C8">
        <w:rPr>
          <w:rFonts w:cs="Arial"/>
        </w:rPr>
        <w:t>×</w:t>
      </w:r>
      <w:r w:rsidRPr="001209C8">
        <w:t xml:space="preserve">30m). </w:t>
      </w:r>
      <w:r w:rsidR="008871F0" w:rsidRPr="008871F0">
        <w:rPr>
          <w:lang w:val="en-GB"/>
        </w:rPr>
        <w:t>Temperature setting was as follows: injectio</w:t>
      </w:r>
      <w:r w:rsidR="004D63BE">
        <w:rPr>
          <w:lang w:val="en-GB"/>
        </w:rPr>
        <w:t xml:space="preserve">n port = 100 °C, column = 100 °C, </w:t>
      </w:r>
      <w:r w:rsidR="008871F0" w:rsidRPr="008871F0">
        <w:rPr>
          <w:lang w:val="en-GB"/>
        </w:rPr>
        <w:t>detector</w:t>
      </w:r>
      <w:r w:rsidR="004D63BE">
        <w:rPr>
          <w:lang w:val="en-GB"/>
        </w:rPr>
        <w:t xml:space="preserve"> </w:t>
      </w:r>
      <w:r w:rsidR="008871F0" w:rsidRPr="008871F0">
        <w:rPr>
          <w:lang w:val="en-GB"/>
        </w:rPr>
        <w:t>= 120 °C. The chromatogram was calibrated with gases at known concentrations as standard mixtures. Hel</w:t>
      </w:r>
      <w:r w:rsidR="008871F0">
        <w:rPr>
          <w:lang w:val="en-GB"/>
        </w:rPr>
        <w:t>ium was used as the carrier gas</w:t>
      </w:r>
      <w:r w:rsidRPr="001209C8">
        <w:rPr>
          <w:lang w:val="en-GB"/>
        </w:rPr>
        <w:t>.</w:t>
      </w:r>
    </w:p>
    <w:p w:rsidR="003205CE" w:rsidRDefault="003205CE" w:rsidP="00A61159">
      <w:pPr>
        <w:pStyle w:val="CETHeading1"/>
        <w:numPr>
          <w:ilvl w:val="1"/>
          <w:numId w:val="25"/>
        </w:numPr>
        <w:spacing w:line="264" w:lineRule="auto"/>
      </w:pPr>
      <w:r w:rsidRPr="00D644C7">
        <w:lastRenderedPageBreak/>
        <w:t>Results and discussion</w:t>
      </w:r>
    </w:p>
    <w:p w:rsidR="009A4A91" w:rsidRDefault="00C8670B" w:rsidP="00A61159">
      <w:pPr>
        <w:pStyle w:val="CETBodytext"/>
        <w:rPr>
          <w:color w:val="000000"/>
          <w:szCs w:val="18"/>
        </w:rPr>
      </w:pPr>
      <w:r>
        <w:t xml:space="preserve">The </w:t>
      </w:r>
      <w:r w:rsidR="00233DDD">
        <w:t xml:space="preserve">structural </w:t>
      </w:r>
      <w:r>
        <w:t xml:space="preserve">characteristic of </w:t>
      </w:r>
      <w:proofErr w:type="spellStart"/>
      <w:r>
        <w:rPr>
          <w:szCs w:val="18"/>
          <w:lang w:val="en-GB"/>
        </w:rPr>
        <w:t>CuO</w:t>
      </w:r>
      <w:proofErr w:type="spellEnd"/>
      <w:r>
        <w:rPr>
          <w:szCs w:val="18"/>
          <w:lang w:val="en-GB"/>
        </w:rPr>
        <w:t>/Ag-</w:t>
      </w:r>
      <w:proofErr w:type="spellStart"/>
      <w:r w:rsidR="00C64F27">
        <w:rPr>
          <w:szCs w:val="18"/>
          <w:lang w:val="en-GB"/>
        </w:rPr>
        <w:t>r</w:t>
      </w:r>
      <w:r>
        <w:rPr>
          <w:szCs w:val="18"/>
          <w:lang w:val="en-GB"/>
        </w:rPr>
        <w:t>GOA</w:t>
      </w:r>
      <w:proofErr w:type="spellEnd"/>
      <w:r>
        <w:rPr>
          <w:szCs w:val="18"/>
          <w:lang w:val="en-GB"/>
        </w:rPr>
        <w:t xml:space="preserve"> w</w:t>
      </w:r>
      <w:r w:rsidR="001375FE">
        <w:rPr>
          <w:szCs w:val="18"/>
          <w:lang w:val="en-GB"/>
        </w:rPr>
        <w:t>as</w:t>
      </w:r>
      <w:r>
        <w:rPr>
          <w:szCs w:val="18"/>
          <w:lang w:val="en-GB"/>
        </w:rPr>
        <w:t xml:space="preserve"> examined by </w:t>
      </w:r>
      <w:r w:rsidR="001375FE">
        <w:rPr>
          <w:szCs w:val="18"/>
          <w:lang w:val="en-GB"/>
        </w:rPr>
        <w:t>S</w:t>
      </w:r>
      <w:r>
        <w:rPr>
          <w:szCs w:val="18"/>
          <w:lang w:val="en-GB"/>
        </w:rPr>
        <w:t xml:space="preserve">canning and </w:t>
      </w:r>
      <w:r w:rsidR="001375FE">
        <w:rPr>
          <w:szCs w:val="18"/>
          <w:lang w:val="en-GB"/>
        </w:rPr>
        <w:t>Transmission E</w:t>
      </w:r>
      <w:r>
        <w:rPr>
          <w:szCs w:val="18"/>
          <w:lang w:val="en-GB"/>
        </w:rPr>
        <w:t xml:space="preserve">lectron </w:t>
      </w:r>
      <w:r w:rsidR="001375FE">
        <w:rPr>
          <w:szCs w:val="18"/>
          <w:lang w:val="en-GB"/>
        </w:rPr>
        <w:t>M</w:t>
      </w:r>
      <w:r>
        <w:rPr>
          <w:szCs w:val="18"/>
          <w:lang w:val="en-GB"/>
        </w:rPr>
        <w:t>icroscopy.</w:t>
      </w:r>
      <w:r>
        <w:rPr>
          <w:lang w:val="en-GB"/>
        </w:rPr>
        <w:t xml:space="preserve"> </w:t>
      </w:r>
      <w:r>
        <w:t xml:space="preserve">SEM image, at 30,00 KX of magnification (Figure </w:t>
      </w:r>
      <w:r w:rsidR="007A6416">
        <w:t>2</w:t>
      </w:r>
      <w:r w:rsidR="00CF0050">
        <w:t>a</w:t>
      </w:r>
      <w:r>
        <w:t xml:space="preserve">), of </w:t>
      </w:r>
      <w:proofErr w:type="spellStart"/>
      <w:r>
        <w:t>CuO</w:t>
      </w:r>
      <w:proofErr w:type="spellEnd"/>
      <w:r>
        <w:t>/Ag-</w:t>
      </w:r>
      <w:proofErr w:type="spellStart"/>
      <w:r w:rsidR="00C64F27">
        <w:t>r</w:t>
      </w:r>
      <w:r>
        <w:t>GOA</w:t>
      </w:r>
      <w:proofErr w:type="spellEnd"/>
      <w:r>
        <w:t xml:space="preserve"> displays a porous morphology</w:t>
      </w:r>
      <w:r w:rsidR="00233DDD">
        <w:t xml:space="preserve">, showing that </w:t>
      </w:r>
      <w:r>
        <w:t xml:space="preserve">the material possesses well-defined </w:t>
      </w:r>
      <w:proofErr w:type="spellStart"/>
      <w:r>
        <w:t>macropores</w:t>
      </w:r>
      <w:proofErr w:type="spellEnd"/>
      <w:r>
        <w:t xml:space="preserve"> and </w:t>
      </w:r>
      <w:proofErr w:type="spellStart"/>
      <w:r>
        <w:t>mesopores</w:t>
      </w:r>
      <w:proofErr w:type="spellEnd"/>
      <w:r>
        <w:t xml:space="preserve">. In particular, the SEM image reveals the presence of </w:t>
      </w:r>
      <w:r w:rsidR="00233DDD">
        <w:t>quasi-</w:t>
      </w:r>
      <w:r>
        <w:t xml:space="preserve">spherical aggregates of </w:t>
      </w:r>
      <w:proofErr w:type="spellStart"/>
      <w:r>
        <w:t>CuO</w:t>
      </w:r>
      <w:proofErr w:type="spellEnd"/>
      <w:r>
        <w:t xml:space="preserve">/Ag nanoparticles </w:t>
      </w:r>
      <w:r w:rsidR="00233DDD">
        <w:t>embedded in</w:t>
      </w:r>
      <w:r>
        <w:t xml:space="preserve"> the </w:t>
      </w:r>
      <w:r w:rsidR="00233DDD">
        <w:t>aerogel</w:t>
      </w:r>
      <w:r>
        <w:t xml:space="preserve">. </w:t>
      </w:r>
      <w:r>
        <w:rPr>
          <w:szCs w:val="18"/>
        </w:rPr>
        <w:t xml:space="preserve">In addition, the morphology of </w:t>
      </w:r>
      <w:proofErr w:type="spellStart"/>
      <w:r>
        <w:rPr>
          <w:szCs w:val="18"/>
        </w:rPr>
        <w:t>CuO</w:t>
      </w:r>
      <w:proofErr w:type="spellEnd"/>
      <w:r>
        <w:rPr>
          <w:szCs w:val="18"/>
        </w:rPr>
        <w:t>/Ag-</w:t>
      </w:r>
      <w:proofErr w:type="spellStart"/>
      <w:r w:rsidR="00C64F27">
        <w:rPr>
          <w:szCs w:val="18"/>
        </w:rPr>
        <w:t>r</w:t>
      </w:r>
      <w:r>
        <w:rPr>
          <w:szCs w:val="18"/>
        </w:rPr>
        <w:t>GOA</w:t>
      </w:r>
      <w:proofErr w:type="spellEnd"/>
      <w:r>
        <w:rPr>
          <w:szCs w:val="18"/>
        </w:rPr>
        <w:t xml:space="preserve"> catalyst was observed by TEM analysis (Figure </w:t>
      </w:r>
      <w:r w:rsidR="007A6416">
        <w:rPr>
          <w:szCs w:val="18"/>
        </w:rPr>
        <w:t>2</w:t>
      </w:r>
      <w:r w:rsidR="00CF0050">
        <w:rPr>
          <w:szCs w:val="18"/>
        </w:rPr>
        <w:t>b</w:t>
      </w:r>
      <w:r>
        <w:rPr>
          <w:szCs w:val="18"/>
        </w:rPr>
        <w:t xml:space="preserve">). </w:t>
      </w:r>
      <w:r>
        <w:t xml:space="preserve">TEM </w:t>
      </w:r>
      <w:r w:rsidRPr="003403B4">
        <w:t xml:space="preserve">image </w:t>
      </w:r>
      <w:r w:rsidR="006E6885" w:rsidRPr="003403B4">
        <w:t xml:space="preserve">at higher magnification </w:t>
      </w:r>
      <w:r w:rsidR="00A05C7A" w:rsidRPr="003403B4">
        <w:t xml:space="preserve">clearly reveals </w:t>
      </w:r>
      <w:r w:rsidRPr="003403B4">
        <w:t xml:space="preserve">that the as synthesized </w:t>
      </w:r>
      <w:r w:rsidRPr="003403B4">
        <w:rPr>
          <w:szCs w:val="18"/>
        </w:rPr>
        <w:t xml:space="preserve">catalyst </w:t>
      </w:r>
      <w:r w:rsidRPr="003403B4">
        <w:t xml:space="preserve">consists of snowman-like </w:t>
      </w:r>
      <w:proofErr w:type="spellStart"/>
      <w:r w:rsidRPr="003403B4">
        <w:rPr>
          <w:szCs w:val="18"/>
        </w:rPr>
        <w:t>CuO</w:t>
      </w:r>
      <w:proofErr w:type="spellEnd"/>
      <w:r w:rsidRPr="003403B4">
        <w:t>/Ag</w:t>
      </w:r>
      <w:r w:rsidRPr="003403B4">
        <w:rPr>
          <w:vertAlign w:val="subscript"/>
        </w:rPr>
        <w:t xml:space="preserve"> </w:t>
      </w:r>
      <w:r w:rsidRPr="003403B4">
        <w:t>NPs, characteri</w:t>
      </w:r>
      <w:r w:rsidR="00A05C7A" w:rsidRPr="003403B4">
        <w:t xml:space="preserve">zed by quasi-spherical </w:t>
      </w:r>
      <w:proofErr w:type="spellStart"/>
      <w:r w:rsidR="00A05C7A" w:rsidRPr="003403B4">
        <w:t>CuO</w:t>
      </w:r>
      <w:proofErr w:type="spellEnd"/>
      <w:r w:rsidR="00A05C7A" w:rsidRPr="003403B4">
        <w:t xml:space="preserve"> NPs </w:t>
      </w:r>
      <w:r w:rsidR="00161947" w:rsidRPr="003403B4">
        <w:t xml:space="preserve">(about 8 nm diameter) </w:t>
      </w:r>
      <w:r w:rsidRPr="003403B4">
        <w:t xml:space="preserve">supporting faceted Ag NPs </w:t>
      </w:r>
      <w:r w:rsidR="00161947" w:rsidRPr="003403B4">
        <w:t xml:space="preserve">(&lt; 2 nm) </w:t>
      </w:r>
      <w:r w:rsidRPr="003403B4">
        <w:t xml:space="preserve">dispersed </w:t>
      </w:r>
      <w:r w:rsidR="00233DDD" w:rsidRPr="003403B4">
        <w:t>in the</w:t>
      </w:r>
      <w:r w:rsidRPr="003403B4">
        <w:t xml:space="preserve"> </w:t>
      </w:r>
      <w:proofErr w:type="spellStart"/>
      <w:r w:rsidR="001375FE" w:rsidRPr="003403B4">
        <w:t>r</w:t>
      </w:r>
      <w:r w:rsidR="00233DDD" w:rsidRPr="003403B4">
        <w:t>GO</w:t>
      </w:r>
      <w:proofErr w:type="spellEnd"/>
      <w:r w:rsidR="00233DDD" w:rsidRPr="003403B4">
        <w:t xml:space="preserve"> aerogel</w:t>
      </w:r>
      <w:r w:rsidRPr="003403B4">
        <w:t xml:space="preserve">. </w:t>
      </w:r>
    </w:p>
    <w:p w:rsidR="000F497E" w:rsidRDefault="002D07E0" w:rsidP="00A61159">
      <w:pPr>
        <w:pStyle w:val="CETBodytext"/>
        <w:jc w:val="left"/>
        <w:rPr>
          <w:i/>
        </w:rPr>
      </w:pPr>
      <w:r w:rsidRPr="00591ABB">
        <w:rPr>
          <w:i/>
          <w:noProof/>
          <w:lang w:val="it-IT" w:eastAsia="it-IT"/>
        </w:rPr>
        <mc:AlternateContent>
          <mc:Choice Requires="wps">
            <w:drawing>
              <wp:anchor distT="0" distB="0" distL="114300" distR="114300" simplePos="0" relativeHeight="251675648" behindDoc="0" locked="0" layoutInCell="1" allowOverlap="1" wp14:anchorId="07E1DA65" wp14:editId="7E841234">
                <wp:simplePos x="0" y="0"/>
                <wp:positionH relativeFrom="column">
                  <wp:posOffset>5223510</wp:posOffset>
                </wp:positionH>
                <wp:positionV relativeFrom="paragraph">
                  <wp:posOffset>1116330</wp:posOffset>
                </wp:positionV>
                <wp:extent cx="257175" cy="140398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1F5084" w:rsidRPr="001F5084" w:rsidRDefault="001F5084" w:rsidP="001F5084">
                            <w:pPr>
                              <w:rPr>
                                <w:b/>
                                <w:sz w:val="24"/>
                                <w:szCs w:val="24"/>
                                <w:lang w:val="it-IT"/>
                              </w:rPr>
                            </w:pPr>
                            <w:r w:rsidRPr="001F5084">
                              <w:rPr>
                                <w:b/>
                                <w:sz w:val="24"/>
                                <w:szCs w:val="24"/>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11.3pt;margin-top:87.9pt;width:20.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" filled="f" stroked="f">
                <v:textbox style="mso-fit-shape-to-text:t">
                  <w:txbxContent>
                    <w:p w:rsidR="001F5084" w:rsidRPr="001F5084" w:rsidRDefault="001F5084" w:rsidP="001F5084">
                      <w:pPr>
                        <w:rPr>
                          <w:b/>
                          <w:sz w:val="24"/>
                          <w:szCs w:val="24"/>
                          <w:lang w:val="it-IT"/>
                        </w:rPr>
                      </w:pPr>
                      <w:r w:rsidRPr="001F5084">
                        <w:rPr>
                          <w:b/>
                          <w:sz w:val="24"/>
                          <w:szCs w:val="24"/>
                        </w:rPr>
                        <w:t>c</w:t>
                      </w:r>
                    </w:p>
                  </w:txbxContent>
                </v:textbox>
              </v:shape>
            </w:pict>
          </mc:Fallback>
        </mc:AlternateContent>
      </w:r>
      <w:r w:rsidRPr="00591ABB">
        <w:rPr>
          <w:i/>
          <w:noProof/>
          <w:lang w:val="it-IT" w:eastAsia="it-IT"/>
        </w:rPr>
        <mc:AlternateContent>
          <mc:Choice Requires="wps">
            <w:drawing>
              <wp:anchor distT="0" distB="0" distL="114300" distR="114300" simplePos="0" relativeHeight="251669504" behindDoc="0" locked="0" layoutInCell="1" allowOverlap="1" wp14:anchorId="2BBB59F7" wp14:editId="4D7722FC">
                <wp:simplePos x="0" y="0"/>
                <wp:positionH relativeFrom="column">
                  <wp:posOffset>3366547</wp:posOffset>
                </wp:positionH>
                <wp:positionV relativeFrom="paragraph">
                  <wp:posOffset>1113790</wp:posOffset>
                </wp:positionV>
                <wp:extent cx="257175" cy="1403985"/>
                <wp:effectExtent l="0" t="0" r="0" b="0"/>
                <wp:wrapNone/>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7E1A3B" w:rsidRPr="001F5084" w:rsidRDefault="007E1A3B" w:rsidP="007E1A3B">
                            <w:pPr>
                              <w:rPr>
                                <w:b/>
                                <w:sz w:val="24"/>
                                <w:szCs w:val="24"/>
                                <w:lang w:val="it-IT"/>
                              </w:rPr>
                            </w:pPr>
                            <w:r w:rsidRPr="001F5084">
                              <w:rPr>
                                <w:b/>
                                <w:sz w:val="24"/>
                                <w:szCs w:val="24"/>
                                <w:lang w:val="it-IT"/>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65.1pt;margin-top:87.7pt;width:20.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" filled="f" stroked="f">
                <v:textbox style="mso-fit-shape-to-text:t">
                  <w:txbxContent>
                    <w:p w:rsidR="007E1A3B" w:rsidRPr="001F5084" w:rsidRDefault="007E1A3B" w:rsidP="007E1A3B">
                      <w:pPr>
                        <w:rPr>
                          <w:b/>
                          <w:sz w:val="24"/>
                          <w:szCs w:val="24"/>
                          <w:lang w:val="it-IT"/>
                        </w:rPr>
                      </w:pPr>
                      <w:r w:rsidRPr="001F5084">
                        <w:rPr>
                          <w:b/>
                          <w:sz w:val="24"/>
                          <w:szCs w:val="24"/>
                          <w:lang w:val="it-IT"/>
                        </w:rPr>
                        <w:t>b</w:t>
                      </w:r>
                    </w:p>
                  </w:txbxContent>
                </v:textbox>
              </v:shape>
            </w:pict>
          </mc:Fallback>
        </mc:AlternateContent>
      </w:r>
      <w:r w:rsidRPr="00591ABB">
        <w:rPr>
          <w:i/>
          <w:noProof/>
          <w:lang w:val="it-IT" w:eastAsia="it-IT"/>
        </w:rPr>
        <mc:AlternateContent>
          <mc:Choice Requires="wps">
            <w:drawing>
              <wp:anchor distT="0" distB="0" distL="114300" distR="114300" simplePos="0" relativeHeight="251667456" behindDoc="0" locked="0" layoutInCell="1" allowOverlap="1" wp14:anchorId="6E85F79C" wp14:editId="24790240">
                <wp:simplePos x="0" y="0"/>
                <wp:positionH relativeFrom="column">
                  <wp:posOffset>1963832</wp:posOffset>
                </wp:positionH>
                <wp:positionV relativeFrom="paragraph">
                  <wp:posOffset>1111250</wp:posOffset>
                </wp:positionV>
                <wp:extent cx="257175" cy="1403985"/>
                <wp:effectExtent l="0" t="0" r="0" b="0"/>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7E1A3B" w:rsidRPr="007E1A3B" w:rsidRDefault="007E1A3B" w:rsidP="007E1A3B">
                            <w:pPr>
                              <w:rPr>
                                <w:b/>
                                <w:color w:val="FFFFFF" w:themeColor="background1"/>
                                <w:sz w:val="24"/>
                                <w:szCs w:val="24"/>
                                <w:lang w:val="it-IT"/>
                              </w:rPr>
                            </w:pPr>
                            <w:r w:rsidRPr="007E1A3B">
                              <w:rPr>
                                <w:b/>
                                <w:color w:val="FFFFFF" w:themeColor="background1"/>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54.65pt;margin-top:87.5pt;width:20.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" filled="f" stroked="f">
                <v:textbox style="mso-fit-shape-to-text:t">
                  <w:txbxContent>
                    <w:p w:rsidR="007E1A3B" w:rsidRPr="007E1A3B" w:rsidRDefault="007E1A3B" w:rsidP="007E1A3B">
                      <w:pPr>
                        <w:rPr>
                          <w:b/>
                          <w:color w:val="FFFFFF" w:themeColor="background1"/>
                          <w:sz w:val="24"/>
                          <w:szCs w:val="24"/>
                          <w:lang w:val="it-IT"/>
                        </w:rPr>
                      </w:pPr>
                      <w:r w:rsidRPr="007E1A3B">
                        <w:rPr>
                          <w:b/>
                          <w:color w:val="FFFFFF" w:themeColor="background1"/>
                          <w:sz w:val="24"/>
                          <w:szCs w:val="24"/>
                        </w:rPr>
                        <w:t>a</w:t>
                      </w:r>
                    </w:p>
                  </w:txbxContent>
                </v:textbox>
              </v:shape>
            </w:pict>
          </mc:Fallback>
        </mc:AlternateContent>
      </w:r>
      <w:r w:rsidR="00322DB8" w:rsidRPr="001F5084">
        <w:rPr>
          <w:noProof/>
          <w:lang w:val="it-IT" w:eastAsia="it-IT"/>
        </w:rPr>
        <w:drawing>
          <wp:anchor distT="0" distB="0" distL="114300" distR="114300" simplePos="0" relativeHeight="251673600" behindDoc="0" locked="0" layoutInCell="1" allowOverlap="1" wp14:anchorId="51581E5A" wp14:editId="3C913903">
            <wp:simplePos x="0" y="0"/>
            <wp:positionH relativeFrom="column">
              <wp:posOffset>3755613</wp:posOffset>
            </wp:positionH>
            <wp:positionV relativeFrom="paragraph">
              <wp:posOffset>156845</wp:posOffset>
            </wp:positionV>
            <wp:extent cx="1774825" cy="154749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58" t="10896" r="6900" b="6220"/>
                    <a:stretch/>
                  </pic:blipFill>
                  <pic:spPr bwMode="auto">
                    <a:xfrm>
                      <a:off x="0" y="0"/>
                      <a:ext cx="1774825" cy="154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63C8" w:rsidRPr="000063C8">
        <w:rPr>
          <w:noProof/>
          <w:lang w:val="it-IT" w:eastAsia="it-IT"/>
        </w:rPr>
        <w:drawing>
          <wp:inline distT="0" distB="0" distL="0" distR="0" wp14:anchorId="2A450B85" wp14:editId="35D7C894">
            <wp:extent cx="2245090" cy="1764000"/>
            <wp:effectExtent l="0" t="0" r="3175"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5090" cy="1764000"/>
                    </a:xfrm>
                    <a:prstGeom prst="rect">
                      <a:avLst/>
                    </a:prstGeom>
                    <a:noFill/>
                    <a:ln>
                      <a:noFill/>
                    </a:ln>
                  </pic:spPr>
                </pic:pic>
              </a:graphicData>
            </a:graphic>
          </wp:inline>
        </w:drawing>
      </w:r>
      <w:r w:rsidR="00641E60">
        <w:rPr>
          <w:noProof/>
        </w:rPr>
        <w:t xml:space="preserve"> </w:t>
      </w:r>
      <w:r w:rsidR="00A10FC6" w:rsidRPr="00A10FC6">
        <w:rPr>
          <w:noProof/>
          <w:lang w:val="it-IT" w:eastAsia="it-IT"/>
        </w:rPr>
        <w:drawing>
          <wp:inline distT="0" distB="0" distL="0" distR="0" wp14:anchorId="3236B8BF" wp14:editId="785A4F33">
            <wp:extent cx="1568441" cy="18000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7895" r="6306"/>
                    <a:stretch/>
                  </pic:blipFill>
                  <pic:spPr bwMode="auto">
                    <a:xfrm>
                      <a:off x="0" y="0"/>
                      <a:ext cx="156844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A47F6C" w:rsidRDefault="0095118A" w:rsidP="00A61159">
      <w:pPr>
        <w:pStyle w:val="CETBodytext"/>
        <w:jc w:val="left"/>
        <w:rPr>
          <w:i/>
        </w:rPr>
      </w:pPr>
      <w:r w:rsidRPr="00976F15">
        <w:rPr>
          <w:i/>
        </w:rPr>
        <w:t xml:space="preserve">Figure </w:t>
      </w:r>
      <w:r w:rsidR="00DC3917">
        <w:rPr>
          <w:i/>
        </w:rPr>
        <w:t>2</w:t>
      </w:r>
      <w:r w:rsidR="00A47F6C">
        <w:rPr>
          <w:i/>
        </w:rPr>
        <w:t>:</w:t>
      </w:r>
      <w:r w:rsidRPr="00976F15">
        <w:rPr>
          <w:i/>
        </w:rPr>
        <w:t xml:space="preserve"> SEM image </w:t>
      </w:r>
      <w:r w:rsidR="00D5489C">
        <w:rPr>
          <w:i/>
        </w:rPr>
        <w:t>(a) and</w:t>
      </w:r>
      <w:r>
        <w:rPr>
          <w:i/>
        </w:rPr>
        <w:t xml:space="preserve"> </w:t>
      </w:r>
      <w:r w:rsidRPr="00500D9D">
        <w:rPr>
          <w:i/>
        </w:rPr>
        <w:t>TEM image</w:t>
      </w:r>
      <w:r w:rsidR="006E6885" w:rsidRPr="00847E67">
        <w:rPr>
          <w:i/>
        </w:rPr>
        <w:t>s</w:t>
      </w:r>
      <w:r w:rsidR="006E6885" w:rsidRPr="006E6885">
        <w:rPr>
          <w:i/>
          <w:color w:val="FF0000"/>
        </w:rPr>
        <w:t xml:space="preserve"> </w:t>
      </w:r>
      <w:r w:rsidRPr="00976F15">
        <w:rPr>
          <w:i/>
        </w:rPr>
        <w:t xml:space="preserve">of </w:t>
      </w:r>
      <w:proofErr w:type="spellStart"/>
      <w:r w:rsidRPr="00976F15">
        <w:rPr>
          <w:i/>
        </w:rPr>
        <w:t>CuO</w:t>
      </w:r>
      <w:proofErr w:type="spellEnd"/>
      <w:r w:rsidRPr="00976F15">
        <w:rPr>
          <w:i/>
        </w:rPr>
        <w:t>/Ag-</w:t>
      </w:r>
      <w:proofErr w:type="spellStart"/>
      <w:r>
        <w:rPr>
          <w:i/>
        </w:rPr>
        <w:t>r</w:t>
      </w:r>
      <w:r w:rsidRPr="00976F15">
        <w:rPr>
          <w:i/>
        </w:rPr>
        <w:t>GOA</w:t>
      </w:r>
      <w:proofErr w:type="spellEnd"/>
      <w:r w:rsidRPr="00976F15">
        <w:t xml:space="preserve"> </w:t>
      </w:r>
      <w:r>
        <w:rPr>
          <w:i/>
        </w:rPr>
        <w:t>catalyst</w:t>
      </w:r>
      <w:r w:rsidR="00E84A91">
        <w:rPr>
          <w:i/>
        </w:rPr>
        <w:t xml:space="preserve"> (b)</w:t>
      </w:r>
      <w:r w:rsidR="001F5084">
        <w:rPr>
          <w:i/>
        </w:rPr>
        <w:t xml:space="preserve">; Comparison of Raman Spectra of </w:t>
      </w:r>
      <w:proofErr w:type="spellStart"/>
      <w:r w:rsidR="001F5084" w:rsidRPr="00325F39">
        <w:rPr>
          <w:i/>
        </w:rPr>
        <w:t>CuO</w:t>
      </w:r>
      <w:proofErr w:type="spellEnd"/>
      <w:r w:rsidR="001F5084" w:rsidRPr="00325F39">
        <w:rPr>
          <w:i/>
        </w:rPr>
        <w:t>/Ag-</w:t>
      </w:r>
      <w:proofErr w:type="spellStart"/>
      <w:r w:rsidR="001F5084">
        <w:rPr>
          <w:i/>
        </w:rPr>
        <w:t>r</w:t>
      </w:r>
      <w:r w:rsidR="001F5084" w:rsidRPr="00325F39">
        <w:rPr>
          <w:i/>
        </w:rPr>
        <w:t>GOA</w:t>
      </w:r>
      <w:proofErr w:type="spellEnd"/>
      <w:r w:rsidR="001F5084">
        <w:rPr>
          <w:i/>
        </w:rPr>
        <w:t xml:space="preserve"> and </w:t>
      </w:r>
      <w:proofErr w:type="spellStart"/>
      <w:r w:rsidR="001F5084">
        <w:rPr>
          <w:i/>
        </w:rPr>
        <w:t>CuO</w:t>
      </w:r>
      <w:proofErr w:type="spellEnd"/>
      <w:r w:rsidR="001F5084">
        <w:rPr>
          <w:i/>
        </w:rPr>
        <w:t>/</w:t>
      </w:r>
      <w:proofErr w:type="spellStart"/>
      <w:r w:rsidR="001F5084" w:rsidRPr="009A4A91">
        <w:rPr>
          <w:i/>
        </w:rPr>
        <w:t>rGOA</w:t>
      </w:r>
      <w:proofErr w:type="spellEnd"/>
      <w:r w:rsidR="001F5084" w:rsidRPr="009A4A91">
        <w:rPr>
          <w:i/>
        </w:rPr>
        <w:t xml:space="preserve"> (c)</w:t>
      </w:r>
    </w:p>
    <w:p w:rsidR="00641E60" w:rsidRDefault="00641E60" w:rsidP="00A61159">
      <w:pPr>
        <w:pStyle w:val="CETBodytext"/>
        <w:jc w:val="left"/>
        <w:rPr>
          <w:i/>
        </w:rPr>
      </w:pPr>
    </w:p>
    <w:p w:rsidR="000063C8" w:rsidRPr="00DF33A1" w:rsidRDefault="00716E48" w:rsidP="00A61159">
      <w:pPr>
        <w:pStyle w:val="CETBodytext"/>
        <w:rPr>
          <w:color w:val="FF0000"/>
        </w:rPr>
      </w:pPr>
      <w:r w:rsidRPr="00F520F7">
        <w:t xml:space="preserve">In </w:t>
      </w:r>
      <w:r w:rsidRPr="00D87DD0">
        <w:t xml:space="preserve">Figure </w:t>
      </w:r>
      <w:r w:rsidR="001F5084" w:rsidRPr="00D87DD0">
        <w:t>2c</w:t>
      </w:r>
      <w:r w:rsidRPr="00D87DD0">
        <w:t xml:space="preserve">, </w:t>
      </w:r>
      <w:r w:rsidRPr="00F520F7">
        <w:t xml:space="preserve">Raman spectra of </w:t>
      </w:r>
      <w:proofErr w:type="spellStart"/>
      <w:r w:rsidRPr="00F520F7">
        <w:t>CuO</w:t>
      </w:r>
      <w:proofErr w:type="spellEnd"/>
      <w:r w:rsidRPr="00F520F7">
        <w:t>/Ag-</w:t>
      </w:r>
      <w:proofErr w:type="spellStart"/>
      <w:r w:rsidRPr="00F520F7">
        <w:t>rGOA</w:t>
      </w:r>
      <w:proofErr w:type="spellEnd"/>
      <w:r w:rsidRPr="00F520F7">
        <w:t xml:space="preserve"> and </w:t>
      </w:r>
      <w:proofErr w:type="spellStart"/>
      <w:r w:rsidRPr="00F520F7">
        <w:t>CuO</w:t>
      </w:r>
      <w:proofErr w:type="spellEnd"/>
      <w:r w:rsidRPr="00F520F7">
        <w:t>/</w:t>
      </w:r>
      <w:proofErr w:type="spellStart"/>
      <w:r w:rsidRPr="00F520F7">
        <w:t>rGOA</w:t>
      </w:r>
      <w:proofErr w:type="spellEnd"/>
      <w:r w:rsidRPr="00F520F7">
        <w:t>, in the wavenumber range 240−</w:t>
      </w:r>
      <w:r w:rsidR="00015034" w:rsidRPr="00F520F7">
        <w:t>2900</w:t>
      </w:r>
      <w:r w:rsidRPr="00F520F7">
        <w:t xml:space="preserve"> cm</w:t>
      </w:r>
      <w:r w:rsidRPr="00F520F7">
        <w:rPr>
          <w:vertAlign w:val="superscript"/>
        </w:rPr>
        <w:t>−1</w:t>
      </w:r>
      <w:r w:rsidRPr="00F520F7">
        <w:t xml:space="preserve">, are reported. The main Raman signals of </w:t>
      </w:r>
      <w:proofErr w:type="spellStart"/>
      <w:r w:rsidRPr="00F520F7">
        <w:t>CuO</w:t>
      </w:r>
      <w:proofErr w:type="spellEnd"/>
      <w:r w:rsidRPr="00F520F7">
        <w:t xml:space="preserve"> are found at 295, 335 and 610 cm</w:t>
      </w:r>
      <w:r w:rsidRPr="00F520F7">
        <w:rPr>
          <w:vertAlign w:val="superscript"/>
        </w:rPr>
        <w:t>-1</w:t>
      </w:r>
      <w:r w:rsidRPr="00F520F7">
        <w:t xml:space="preserve"> (Tsai et al., 2018). The typical graphene Raman </w:t>
      </w:r>
      <w:r w:rsidR="00811094" w:rsidRPr="00F520F7">
        <w:t>bands</w:t>
      </w:r>
      <w:r w:rsidRPr="00F520F7">
        <w:t xml:space="preserve"> are also present. In particular, the D band is at around 1355 cm</w:t>
      </w:r>
      <w:r w:rsidRPr="00F520F7">
        <w:rPr>
          <w:vertAlign w:val="superscript"/>
        </w:rPr>
        <w:t>-1</w:t>
      </w:r>
      <w:r w:rsidRPr="00F520F7">
        <w:t>. It is a breathing mode of k-point photons of A</w:t>
      </w:r>
      <w:r w:rsidRPr="00F520F7">
        <w:rPr>
          <w:vertAlign w:val="subscript"/>
        </w:rPr>
        <w:t>1g</w:t>
      </w:r>
      <w:r w:rsidRPr="00F520F7">
        <w:t xml:space="preserve"> and it corresponds to the imperfections and disorders of graphene, particularly the defects located at the edge of it. The G band is at approximately 1587 cm</w:t>
      </w:r>
      <w:r w:rsidRPr="00F520F7">
        <w:rPr>
          <w:vertAlign w:val="superscript"/>
        </w:rPr>
        <w:t>-1</w:t>
      </w:r>
      <w:r w:rsidRPr="00F520F7">
        <w:t>, which represents the E</w:t>
      </w:r>
      <w:r w:rsidRPr="00F520F7">
        <w:rPr>
          <w:vertAlign w:val="subscript"/>
        </w:rPr>
        <w:t>2g</w:t>
      </w:r>
      <w:r w:rsidRPr="00F520F7">
        <w:t xml:space="preserve"> in-plane vibrational mode of sp</w:t>
      </w:r>
      <w:r w:rsidRPr="00F520F7">
        <w:rPr>
          <w:vertAlign w:val="superscript"/>
        </w:rPr>
        <w:t>2</w:t>
      </w:r>
      <w:r w:rsidRPr="00F520F7">
        <w:t xml:space="preserve"> hybridized C atoms (</w:t>
      </w:r>
      <w:proofErr w:type="spellStart"/>
      <w:r w:rsidRPr="00F520F7">
        <w:t>Sarno</w:t>
      </w:r>
      <w:proofErr w:type="spellEnd"/>
      <w:r w:rsidRPr="00F520F7">
        <w:t xml:space="preserve"> et al., 2017</w:t>
      </w:r>
      <w:r w:rsidR="00BC6D48" w:rsidRPr="00F520F7">
        <w:t>a</w:t>
      </w:r>
      <w:r w:rsidRPr="00F520F7">
        <w:t xml:space="preserve">). </w:t>
      </w:r>
    </w:p>
    <w:p w:rsidR="00B02054" w:rsidRDefault="005E14FB" w:rsidP="00A61159">
      <w:pPr>
        <w:pStyle w:val="CETBodytext"/>
        <w:rPr>
          <w:rFonts w:cs="Arial"/>
          <w:szCs w:val="18"/>
        </w:rPr>
      </w:pPr>
      <w:r w:rsidRPr="00F520F7">
        <w:t>The 2D band, located at around 2700 cm</w:t>
      </w:r>
      <w:r w:rsidRPr="00F520F7">
        <w:rPr>
          <w:vertAlign w:val="superscript"/>
        </w:rPr>
        <w:t>-1</w:t>
      </w:r>
      <w:r w:rsidRPr="00F520F7">
        <w:t xml:space="preserve">, is due to a two photon double resonance Raman process. Its presence confirms the reduction of graphene oxide. </w:t>
      </w:r>
      <w:r w:rsidRPr="00F520F7">
        <w:rPr>
          <w:rFonts w:cs="Arial"/>
          <w:szCs w:val="18"/>
        </w:rPr>
        <w:t>Moreover, the appearance of a peak at about 2700 cm</w:t>
      </w:r>
      <w:r w:rsidRPr="00F520F7">
        <w:rPr>
          <w:rFonts w:cs="Arial"/>
          <w:szCs w:val="18"/>
          <w:vertAlign w:val="superscript"/>
        </w:rPr>
        <w:t>-1</w:t>
      </w:r>
      <w:r w:rsidRPr="00F520F7">
        <w:rPr>
          <w:rFonts w:cs="Arial"/>
          <w:szCs w:val="18"/>
        </w:rPr>
        <w:t xml:space="preserve"> is indicative of the GO reduction. This happened during the synthesis procedure for both chemical and thermal phenomena, leading to a reduced graphene oxide (</w:t>
      </w:r>
      <w:proofErr w:type="spellStart"/>
      <w:r w:rsidRPr="00F520F7">
        <w:rPr>
          <w:rFonts w:cs="Arial"/>
          <w:szCs w:val="18"/>
        </w:rPr>
        <w:t>rGO</w:t>
      </w:r>
      <w:proofErr w:type="spellEnd"/>
      <w:r w:rsidRPr="00F520F7">
        <w:rPr>
          <w:rFonts w:cs="Arial"/>
          <w:szCs w:val="18"/>
        </w:rPr>
        <w:t xml:space="preserve">) </w:t>
      </w:r>
      <w:r w:rsidRPr="00F520F7">
        <w:t>(</w:t>
      </w:r>
      <w:proofErr w:type="spellStart"/>
      <w:r w:rsidRPr="00F520F7">
        <w:t>Sarno</w:t>
      </w:r>
      <w:proofErr w:type="spellEnd"/>
      <w:r w:rsidRPr="00F520F7">
        <w:t xml:space="preserve"> et al., 2017b</w:t>
      </w:r>
      <w:r w:rsidRPr="00F520F7">
        <w:rPr>
          <w:rFonts w:cs="Arial"/>
          <w:szCs w:val="18"/>
        </w:rPr>
        <w:t xml:space="preserve">). </w:t>
      </w:r>
    </w:p>
    <w:p w:rsidR="00E84A91" w:rsidRPr="00294A1A" w:rsidRDefault="00B02054" w:rsidP="00A61159">
      <w:pPr>
        <w:pStyle w:val="CETBodytext"/>
      </w:pPr>
      <w:r w:rsidRPr="00F520F7">
        <w:t xml:space="preserve">On the other hand, it is worth noticing that the intensities of the D and G bands of </w:t>
      </w:r>
      <w:proofErr w:type="spellStart"/>
      <w:r w:rsidRPr="00F520F7">
        <w:t>CuO</w:t>
      </w:r>
      <w:proofErr w:type="spellEnd"/>
      <w:r w:rsidRPr="00F520F7">
        <w:t>/Ag-</w:t>
      </w:r>
      <w:proofErr w:type="spellStart"/>
      <w:r w:rsidRPr="00F520F7">
        <w:t>rGOA</w:t>
      </w:r>
      <w:proofErr w:type="spellEnd"/>
      <w:r w:rsidRPr="00F520F7">
        <w:t xml:space="preserve"> were increased after the decoration with Ag NPs. This is due to the Ag NPs enable Raman signals increases, through the Surface-Enhanced Raman Spectroscopy (SERS) effect </w:t>
      </w:r>
      <w:bookmarkStart w:id="1" w:name="ZOTERO_BREF_g8ycUHGKI271"/>
      <w:r w:rsidRPr="00F520F7">
        <w:t>(</w:t>
      </w:r>
      <w:proofErr w:type="spellStart"/>
      <w:r w:rsidRPr="00F520F7">
        <w:t>Sarno</w:t>
      </w:r>
      <w:proofErr w:type="spellEnd"/>
      <w:r w:rsidRPr="00F520F7">
        <w:t xml:space="preserve"> and Casa, 2018</w:t>
      </w:r>
      <w:bookmarkEnd w:id="1"/>
      <w:r w:rsidRPr="00294A1A">
        <w:t>). The Raman spectrum of GOA (</w:t>
      </w:r>
      <w:proofErr w:type="spellStart"/>
      <w:r w:rsidRPr="00294A1A">
        <w:t>Sarno</w:t>
      </w:r>
      <w:proofErr w:type="spellEnd"/>
      <w:r w:rsidRPr="00294A1A">
        <w:t xml:space="preserve"> and </w:t>
      </w:r>
      <w:proofErr w:type="spellStart"/>
      <w:r w:rsidRPr="00294A1A">
        <w:t>Cirillo</w:t>
      </w:r>
      <w:proofErr w:type="spellEnd"/>
      <w:r w:rsidRPr="00294A1A">
        <w:t>, 2018) show</w:t>
      </w:r>
      <w:r w:rsidR="00847E67" w:rsidRPr="00294A1A">
        <w:t>n</w:t>
      </w:r>
      <w:r w:rsidRPr="00294A1A">
        <w:t xml:space="preserve"> that the D and G bands of GOA were located at 1345 and 1601 cm</w:t>
      </w:r>
      <w:r w:rsidRPr="00294A1A">
        <w:rPr>
          <w:vertAlign w:val="superscript"/>
        </w:rPr>
        <w:t>-1</w:t>
      </w:r>
      <w:r w:rsidRPr="00294A1A">
        <w:t xml:space="preserve">, respectively. </w:t>
      </w:r>
    </w:p>
    <w:p w:rsidR="00B02054" w:rsidRDefault="00522114" w:rsidP="00A61159">
      <w:pPr>
        <w:pStyle w:val="CETBodytext"/>
        <w:jc w:val="left"/>
      </w:pPr>
      <w:r w:rsidRPr="00B63818">
        <w:rPr>
          <w:noProof/>
          <w:lang w:val="it-IT" w:eastAsia="it-IT"/>
        </w:rPr>
        <w:drawing>
          <wp:inline distT="0" distB="0" distL="0" distR="0" wp14:anchorId="3B9D533C" wp14:editId="1D8EFA71">
            <wp:extent cx="2386684" cy="16200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80" t="12366" r="8320" b="6492"/>
                    <a:stretch/>
                  </pic:blipFill>
                  <pic:spPr bwMode="auto">
                    <a:xfrm>
                      <a:off x="0" y="0"/>
                      <a:ext cx="2386684" cy="1620000"/>
                    </a:xfrm>
                    <a:prstGeom prst="rect">
                      <a:avLst/>
                    </a:prstGeom>
                    <a:noFill/>
                    <a:ln>
                      <a:noFill/>
                    </a:ln>
                    <a:extLst>
                      <a:ext uri="{53640926-AAD7-44D8-BBD7-CCE9431645EC}">
                        <a14:shadowObscured xmlns:a14="http://schemas.microsoft.com/office/drawing/2010/main"/>
                      </a:ext>
                    </a:extLst>
                  </pic:spPr>
                </pic:pic>
              </a:graphicData>
            </a:graphic>
          </wp:inline>
        </w:drawing>
      </w:r>
      <w:r w:rsidRPr="00787440">
        <w:rPr>
          <w:noProof/>
          <w:lang w:val="it-IT" w:eastAsia="it-IT"/>
        </w:rPr>
        <w:drawing>
          <wp:inline distT="0" distB="0" distL="0" distR="0" wp14:anchorId="112A8C22" wp14:editId="284EA7FB">
            <wp:extent cx="2457708" cy="1650885"/>
            <wp:effectExtent l="0" t="0" r="0" b="698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4558" t="13590" r="10314" b="5537"/>
                    <a:stretch/>
                  </pic:blipFill>
                  <pic:spPr bwMode="auto">
                    <a:xfrm>
                      <a:off x="0" y="0"/>
                      <a:ext cx="2457708" cy="1650885"/>
                    </a:xfrm>
                    <a:prstGeom prst="rect">
                      <a:avLst/>
                    </a:prstGeom>
                    <a:noFill/>
                    <a:ln>
                      <a:noFill/>
                    </a:ln>
                    <a:extLst>
                      <a:ext uri="{53640926-AAD7-44D8-BBD7-CCE9431645EC}">
                        <a14:shadowObscured xmlns:a14="http://schemas.microsoft.com/office/drawing/2010/main"/>
                      </a:ext>
                    </a:extLst>
                  </pic:spPr>
                </pic:pic>
              </a:graphicData>
            </a:graphic>
          </wp:inline>
        </w:drawing>
      </w:r>
      <w:r w:rsidR="00DD5A6D" w:rsidRPr="00591ABB">
        <w:rPr>
          <w:i/>
          <w:noProof/>
          <w:lang w:val="it-IT" w:eastAsia="it-IT"/>
        </w:rPr>
        <mc:AlternateContent>
          <mc:Choice Requires="wps">
            <w:drawing>
              <wp:anchor distT="0" distB="0" distL="114300" distR="114300" simplePos="0" relativeHeight="251678720" behindDoc="0" locked="0" layoutInCell="1" allowOverlap="1" wp14:anchorId="6C8F016D" wp14:editId="4536AA1C">
                <wp:simplePos x="0" y="0"/>
                <wp:positionH relativeFrom="column">
                  <wp:posOffset>4185285</wp:posOffset>
                </wp:positionH>
                <wp:positionV relativeFrom="paragraph">
                  <wp:posOffset>1013460</wp:posOffset>
                </wp:positionV>
                <wp:extent cx="257175" cy="140398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B02054" w:rsidRPr="00C64F27" w:rsidRDefault="00B02054" w:rsidP="00B02054">
                            <w:pPr>
                              <w:rPr>
                                <w:b/>
                                <w:sz w:val="24"/>
                                <w:szCs w:val="24"/>
                                <w:lang w:val="it-IT"/>
                              </w:rPr>
                            </w:pPr>
                            <w:r>
                              <w:rPr>
                                <w:b/>
                                <w:sz w:val="24"/>
                                <w:szCs w:val="24"/>
                                <w:lang w:val="it-IT"/>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29.55pt;margin-top:79.8pt;width:20.2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" filled="f" stroked="f">
                <v:textbox style="mso-fit-shape-to-text:t">
                  <w:txbxContent>
                    <w:p w:rsidR="00B02054" w:rsidRPr="00C64F27" w:rsidRDefault="00B02054" w:rsidP="00B02054">
                      <w:pPr>
                        <w:rPr>
                          <w:b/>
                          <w:sz w:val="24"/>
                          <w:szCs w:val="24"/>
                          <w:lang w:val="it-IT"/>
                        </w:rPr>
                      </w:pPr>
                      <w:r>
                        <w:rPr>
                          <w:b/>
                          <w:sz w:val="24"/>
                          <w:szCs w:val="24"/>
                          <w:lang w:val="it-IT"/>
                        </w:rPr>
                        <w:t>b</w:t>
                      </w:r>
                    </w:p>
                  </w:txbxContent>
                </v:textbox>
              </v:shape>
            </w:pict>
          </mc:Fallback>
        </mc:AlternateContent>
      </w:r>
      <w:r w:rsidR="00B02054" w:rsidRPr="00591ABB">
        <w:rPr>
          <w:i/>
          <w:noProof/>
          <w:lang w:val="it-IT" w:eastAsia="it-IT"/>
        </w:rPr>
        <mc:AlternateContent>
          <mc:Choice Requires="wps">
            <w:drawing>
              <wp:anchor distT="0" distB="0" distL="114300" distR="114300" simplePos="0" relativeHeight="251677696" behindDoc="0" locked="0" layoutInCell="1" allowOverlap="1" wp14:anchorId="5D28C338" wp14:editId="7FD62D62">
                <wp:simplePos x="0" y="0"/>
                <wp:positionH relativeFrom="column">
                  <wp:posOffset>1818125</wp:posOffset>
                </wp:positionH>
                <wp:positionV relativeFrom="paragraph">
                  <wp:posOffset>996291</wp:posOffset>
                </wp:positionV>
                <wp:extent cx="257175" cy="310623"/>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0623"/>
                        </a:xfrm>
                        <a:prstGeom prst="rect">
                          <a:avLst/>
                        </a:prstGeom>
                        <a:noFill/>
                        <a:ln w="9525">
                          <a:noFill/>
                          <a:miter lim="800000"/>
                          <a:headEnd/>
                          <a:tailEnd/>
                        </a:ln>
                      </wps:spPr>
                      <wps:txbx>
                        <w:txbxContent>
                          <w:p w:rsidR="00B02054" w:rsidRPr="00C64F27" w:rsidRDefault="00B02054" w:rsidP="00B02054">
                            <w:pPr>
                              <w:rPr>
                                <w:b/>
                                <w:sz w:val="24"/>
                                <w:szCs w:val="24"/>
                                <w:lang w:val="it-IT"/>
                              </w:rPr>
                            </w:pPr>
                            <w:r w:rsidRPr="00C64F27">
                              <w:rPr>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3.15pt;margin-top:78.45pt;width:20.25pt;height:2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" filled="f" stroked="f">
                <v:textbox>
                  <w:txbxContent>
                    <w:p w:rsidR="00B02054" w:rsidRPr="00C64F27" w:rsidRDefault="00B02054" w:rsidP="00B02054">
                      <w:pPr>
                        <w:rPr>
                          <w:b/>
                          <w:sz w:val="24"/>
                          <w:szCs w:val="24"/>
                          <w:lang w:val="it-IT"/>
                        </w:rPr>
                      </w:pPr>
                      <w:r w:rsidRPr="00C64F27">
                        <w:rPr>
                          <w:b/>
                          <w:sz w:val="24"/>
                          <w:szCs w:val="24"/>
                        </w:rPr>
                        <w:t>a</w:t>
                      </w:r>
                    </w:p>
                  </w:txbxContent>
                </v:textbox>
              </v:shape>
            </w:pict>
          </mc:Fallback>
        </mc:AlternateContent>
      </w:r>
    </w:p>
    <w:p w:rsidR="00B02054" w:rsidRDefault="00B02054" w:rsidP="00A61159">
      <w:pPr>
        <w:pStyle w:val="CETBodytext"/>
        <w:jc w:val="left"/>
        <w:rPr>
          <w:i/>
        </w:rPr>
      </w:pPr>
      <w:r w:rsidRPr="005040DE">
        <w:rPr>
          <w:i/>
        </w:rPr>
        <w:t xml:space="preserve">Figure </w:t>
      </w:r>
      <w:r w:rsidR="00434440">
        <w:rPr>
          <w:i/>
        </w:rPr>
        <w:t>3</w:t>
      </w:r>
      <w:r>
        <w:rPr>
          <w:i/>
        </w:rPr>
        <w:t>:</w:t>
      </w:r>
      <w:r w:rsidRPr="005040DE">
        <w:rPr>
          <w:i/>
        </w:rPr>
        <w:t xml:space="preserve"> Catalytic activity </w:t>
      </w:r>
      <w:r>
        <w:rPr>
          <w:i/>
        </w:rPr>
        <w:t>(a)</w:t>
      </w:r>
      <w:r w:rsidR="00035F8C">
        <w:rPr>
          <w:i/>
        </w:rPr>
        <w:t xml:space="preserve"> </w:t>
      </w:r>
      <w:r>
        <w:rPr>
          <w:i/>
        </w:rPr>
        <w:t xml:space="preserve">and stability test </w:t>
      </w:r>
      <w:r w:rsidRPr="005040DE">
        <w:rPr>
          <w:i/>
        </w:rPr>
        <w:t xml:space="preserve">of </w:t>
      </w:r>
      <w:proofErr w:type="spellStart"/>
      <w:r w:rsidRPr="005040DE">
        <w:rPr>
          <w:i/>
        </w:rPr>
        <w:t>CuO</w:t>
      </w:r>
      <w:proofErr w:type="spellEnd"/>
      <w:r w:rsidRPr="005040DE">
        <w:rPr>
          <w:i/>
        </w:rPr>
        <w:t>/Ag-</w:t>
      </w:r>
      <w:proofErr w:type="spellStart"/>
      <w:r>
        <w:rPr>
          <w:i/>
        </w:rPr>
        <w:t>r</w:t>
      </w:r>
      <w:r w:rsidRPr="005040DE">
        <w:rPr>
          <w:i/>
        </w:rPr>
        <w:t>GOA</w:t>
      </w:r>
      <w:proofErr w:type="spellEnd"/>
      <w:r>
        <w:rPr>
          <w:i/>
        </w:rPr>
        <w:t xml:space="preserve"> at 350 °C (b). Reaction conditions: GHSV = 30000 mL</w:t>
      </w:r>
      <w:r>
        <w:rPr>
          <w:rFonts w:cs="Arial"/>
          <w:i/>
        </w:rPr>
        <w:t xml:space="preserve">· </w:t>
      </w:r>
      <w:r>
        <w:rPr>
          <w:i/>
        </w:rPr>
        <w:t>(</w:t>
      </w:r>
      <w:proofErr w:type="spellStart"/>
      <w:r>
        <w:rPr>
          <w:i/>
        </w:rPr>
        <w:t>g</w:t>
      </w:r>
      <w:r w:rsidRPr="002C1A93">
        <w:rPr>
          <w:i/>
          <w:vertAlign w:val="subscript"/>
        </w:rPr>
        <w:t>cat</w:t>
      </w:r>
      <w:r>
        <w:rPr>
          <w:rFonts w:cs="Arial"/>
          <w:i/>
        </w:rPr>
        <w:t>·</w:t>
      </w:r>
      <w:r>
        <w:rPr>
          <w:i/>
        </w:rPr>
        <w:t>h</w:t>
      </w:r>
      <w:proofErr w:type="spellEnd"/>
      <w:r>
        <w:rPr>
          <w:i/>
        </w:rPr>
        <w:t>)</w:t>
      </w:r>
      <w:r w:rsidRPr="002C1A93">
        <w:rPr>
          <w:i/>
          <w:vertAlign w:val="superscript"/>
        </w:rPr>
        <w:t>-1</w:t>
      </w:r>
      <w:r>
        <w:rPr>
          <w:i/>
        </w:rPr>
        <w:t>; total flow rate = 50 mL</w:t>
      </w:r>
      <w:r>
        <w:rPr>
          <w:rFonts w:cs="Arial"/>
          <w:i/>
        </w:rPr>
        <w:t>·</w:t>
      </w:r>
      <w:r>
        <w:rPr>
          <w:i/>
        </w:rPr>
        <w:t xml:space="preserve"> min </w:t>
      </w:r>
      <w:r w:rsidRPr="00500A62">
        <w:rPr>
          <w:i/>
          <w:vertAlign w:val="superscript"/>
        </w:rPr>
        <w:t>-1</w:t>
      </w:r>
      <w:r>
        <w:rPr>
          <w:i/>
        </w:rPr>
        <w:t>; 100 mg of catalyst</w:t>
      </w:r>
    </w:p>
    <w:p w:rsidR="00B02054" w:rsidRPr="007C690A" w:rsidRDefault="00B02054" w:rsidP="00A61159">
      <w:pPr>
        <w:tabs>
          <w:tab w:val="clear" w:pos="7100"/>
        </w:tabs>
        <w:autoSpaceDE w:val="0"/>
        <w:autoSpaceDN w:val="0"/>
        <w:adjustRightInd w:val="0"/>
      </w:pPr>
    </w:p>
    <w:p w:rsidR="00690DCD" w:rsidRDefault="00035F8C" w:rsidP="00A61159">
      <w:pPr>
        <w:pStyle w:val="CETBodytext"/>
      </w:pPr>
      <w:r w:rsidRPr="007C690A">
        <w:t xml:space="preserve">The experimental results </w:t>
      </w:r>
      <w:r w:rsidR="00DA5A25" w:rsidRPr="007C690A">
        <w:t>reveal</w:t>
      </w:r>
      <w:r w:rsidRPr="007C690A">
        <w:t>e</w:t>
      </w:r>
      <w:r w:rsidR="00DA5A25" w:rsidRPr="007C690A">
        <w:t>d</w:t>
      </w:r>
      <w:r w:rsidRPr="007C690A">
        <w:t xml:space="preserve"> that the </w:t>
      </w:r>
      <w:proofErr w:type="spellStart"/>
      <w:r w:rsidRPr="007C690A">
        <w:t>CuO</w:t>
      </w:r>
      <w:proofErr w:type="spellEnd"/>
      <w:r w:rsidRPr="007C690A">
        <w:t>/Ag-</w:t>
      </w:r>
      <w:proofErr w:type="spellStart"/>
      <w:r w:rsidRPr="007C690A">
        <w:t>rGOA</w:t>
      </w:r>
      <w:proofErr w:type="spellEnd"/>
      <w:r w:rsidRPr="007C690A">
        <w:t xml:space="preserve"> catalyst exhibited </w:t>
      </w:r>
      <w:r w:rsidR="007C690A" w:rsidRPr="007C690A">
        <w:t>a</w:t>
      </w:r>
      <w:r w:rsidR="00294A1A">
        <w:t xml:space="preserve"> very</w:t>
      </w:r>
      <w:r w:rsidR="007C690A" w:rsidRPr="007C690A">
        <w:t xml:space="preserve"> good catalytic </w:t>
      </w:r>
      <w:r w:rsidR="003B70A5" w:rsidRPr="007C690A">
        <w:t>activity</w:t>
      </w:r>
      <w:r w:rsidRPr="007C690A">
        <w:t xml:space="preserve"> for 2-EH oxidation. </w:t>
      </w:r>
      <w:r w:rsidR="00DF33A1" w:rsidRPr="00F520F7">
        <w:t xml:space="preserve">The catalytic activity tests of 2-EH oxidation are reported in Figure </w:t>
      </w:r>
      <w:r w:rsidR="00434440">
        <w:t>3</w:t>
      </w:r>
      <w:r w:rsidR="00DF33A1" w:rsidRPr="00F520F7">
        <w:t xml:space="preserve">. In particular, Figure </w:t>
      </w:r>
      <w:r w:rsidR="00434440">
        <w:t>3</w:t>
      </w:r>
      <w:r w:rsidR="00DF33A1" w:rsidRPr="00F520F7">
        <w:t>a shows the 2-EH conversion at different reaction temperatures</w:t>
      </w:r>
      <w:r w:rsidR="002C73AF">
        <w:t xml:space="preserve"> </w:t>
      </w:r>
      <w:r w:rsidR="007F3345">
        <w:t>at a</w:t>
      </w:r>
      <w:r w:rsidR="00DD5A6D">
        <w:t xml:space="preserve"> </w:t>
      </w:r>
      <w:r w:rsidR="008C209A">
        <w:t>low concentration</w:t>
      </w:r>
      <w:r w:rsidR="00DD5A6D">
        <w:t xml:space="preserve"> </w:t>
      </w:r>
      <w:r w:rsidR="007F3345">
        <w:t xml:space="preserve">of </w:t>
      </w:r>
      <w:r w:rsidR="002C73AF">
        <w:t>2-EH</w:t>
      </w:r>
      <w:r w:rsidR="00DF33A1" w:rsidRPr="00F520F7">
        <w:t>.</w:t>
      </w:r>
      <w:r w:rsidR="005E14FB">
        <w:rPr>
          <w:color w:val="FF0000"/>
        </w:rPr>
        <w:t xml:space="preserve"> </w:t>
      </w:r>
      <w:r w:rsidR="00DF33A1" w:rsidRPr="00F520F7">
        <w:t xml:space="preserve">Our catalyst exhibits a conversion of </w:t>
      </w:r>
      <w:r w:rsidR="00C333D8">
        <w:t>almost 99</w:t>
      </w:r>
      <w:r w:rsidR="00DF33A1" w:rsidRPr="00F520F7">
        <w:t xml:space="preserve"> % at a temperature of </w:t>
      </w:r>
      <w:r w:rsidR="00DF33A1" w:rsidRPr="00AA69A1">
        <w:t xml:space="preserve">350 °C. </w:t>
      </w:r>
    </w:p>
    <w:p w:rsidR="00294A1A" w:rsidRDefault="00294A1A" w:rsidP="00A61159">
      <w:pPr>
        <w:pStyle w:val="CETBodytext"/>
      </w:pPr>
      <w:r w:rsidRPr="00294A1A">
        <w:lastRenderedPageBreak/>
        <w:t>Generally, the activity of a given catalyst can be mainly characterized by the temperature and by the conversion efficiency. These parameters, from previously published papers (</w:t>
      </w:r>
      <w:proofErr w:type="spellStart"/>
      <w:r w:rsidRPr="00294A1A">
        <w:t>Papaefthimiou</w:t>
      </w:r>
      <w:proofErr w:type="spellEnd"/>
      <w:r w:rsidRPr="00294A1A">
        <w:t xml:space="preserve"> et al., 1997; </w:t>
      </w:r>
      <w:proofErr w:type="spellStart"/>
      <w:r w:rsidRPr="00294A1A">
        <w:rPr>
          <w:rFonts w:cs="Arial"/>
          <w:szCs w:val="18"/>
          <w:lang w:val="en-GB"/>
        </w:rPr>
        <w:t>Minicò</w:t>
      </w:r>
      <w:proofErr w:type="spellEnd"/>
      <w:r w:rsidRPr="00294A1A">
        <w:rPr>
          <w:rFonts w:cs="Arial"/>
          <w:szCs w:val="18"/>
          <w:lang w:val="en-GB"/>
        </w:rPr>
        <w:t xml:space="preserve"> et al., 2001;</w:t>
      </w:r>
      <w:r w:rsidRPr="00294A1A">
        <w:t xml:space="preserve"> </w:t>
      </w:r>
      <w:proofErr w:type="spellStart"/>
      <w:r w:rsidRPr="00294A1A">
        <w:rPr>
          <w:rFonts w:cs="Arial"/>
          <w:szCs w:val="18"/>
        </w:rPr>
        <w:t>Brazlauskas</w:t>
      </w:r>
      <w:proofErr w:type="spellEnd"/>
      <w:r w:rsidRPr="00294A1A">
        <w:rPr>
          <w:rFonts w:cs="Arial"/>
          <w:szCs w:val="18"/>
        </w:rPr>
        <w:t xml:space="preserve"> and </w:t>
      </w:r>
      <w:proofErr w:type="spellStart"/>
      <w:r w:rsidRPr="00294A1A">
        <w:rPr>
          <w:rFonts w:cs="Arial"/>
          <w:szCs w:val="18"/>
        </w:rPr>
        <w:t>Kitrys</w:t>
      </w:r>
      <w:proofErr w:type="spellEnd"/>
      <w:r w:rsidRPr="00294A1A">
        <w:rPr>
          <w:rFonts w:cs="Arial"/>
          <w:szCs w:val="18"/>
        </w:rPr>
        <w:t>, 2008</w:t>
      </w:r>
      <w:r w:rsidRPr="00294A1A">
        <w:t>) on the oxidation of alcohols with different catalysts, are reported in Table 1.</w:t>
      </w:r>
      <w:r>
        <w:t xml:space="preserve"> </w:t>
      </w:r>
      <w:r w:rsidR="00C333D8">
        <w:t>O</w:t>
      </w:r>
      <w:r w:rsidR="00F55B78" w:rsidRPr="00F55B78">
        <w:t>ur catalyst</w:t>
      </w:r>
      <w:r w:rsidR="00F55B78">
        <w:t>,</w:t>
      </w:r>
      <w:r w:rsidR="00F55B78" w:rsidRPr="00F55B78">
        <w:t xml:space="preserve"> based m</w:t>
      </w:r>
      <w:r w:rsidR="00F55B78">
        <w:t xml:space="preserve">ainly </w:t>
      </w:r>
      <w:r w:rsidR="00F55B78" w:rsidRPr="00F55B78">
        <w:t>on inexpensive components, is the first example of successful 2-EH abatement</w:t>
      </w:r>
      <w:r w:rsidR="00F55B78">
        <w:t>.</w:t>
      </w:r>
    </w:p>
    <w:p w:rsidR="00294A1A" w:rsidRDefault="00294A1A" w:rsidP="00A61159">
      <w:pPr>
        <w:pStyle w:val="CETBodytext"/>
      </w:pPr>
    </w:p>
    <w:p w:rsidR="00294A1A" w:rsidRPr="00294A1A" w:rsidRDefault="00294A1A" w:rsidP="00A61159">
      <w:pPr>
        <w:pStyle w:val="CETBodytext"/>
      </w:pPr>
      <w:r w:rsidRPr="00294A1A">
        <w:t>Table 1. Reported catalyst systems for the catalytic oxidation of alcohols</w:t>
      </w:r>
    </w:p>
    <w:tbl>
      <w:tblPr>
        <w:tblW w:w="8647"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701"/>
        <w:gridCol w:w="1701"/>
        <w:gridCol w:w="1134"/>
        <w:gridCol w:w="1560"/>
        <w:gridCol w:w="2551"/>
      </w:tblGrid>
      <w:tr w:rsidR="00294A1A" w:rsidRPr="00294A1A" w:rsidTr="00F3583C">
        <w:tc>
          <w:tcPr>
            <w:tcW w:w="1701" w:type="dxa"/>
            <w:tcBorders>
              <w:top w:val="single" w:sz="12" w:space="0" w:color="008000"/>
              <w:bottom w:val="single" w:sz="6" w:space="0" w:color="008000"/>
            </w:tcBorders>
            <w:shd w:val="clear" w:color="auto" w:fill="FFFFFF"/>
            <w:vAlign w:val="center"/>
          </w:tcPr>
          <w:p w:rsidR="00294A1A" w:rsidRPr="00294A1A" w:rsidRDefault="00294A1A" w:rsidP="00A61159">
            <w:pPr>
              <w:pStyle w:val="CETBodytext"/>
              <w:jc w:val="left"/>
              <w:rPr>
                <w:rFonts w:cs="Arial"/>
                <w:szCs w:val="18"/>
                <w:lang w:val="en-GB"/>
              </w:rPr>
            </w:pPr>
            <w:r w:rsidRPr="00294A1A">
              <w:rPr>
                <w:rFonts w:cs="Arial"/>
                <w:szCs w:val="18"/>
              </w:rPr>
              <w:t>Alcohols</w:t>
            </w:r>
          </w:p>
        </w:tc>
        <w:tc>
          <w:tcPr>
            <w:tcW w:w="1701" w:type="dxa"/>
            <w:tcBorders>
              <w:top w:val="single" w:sz="12" w:space="0" w:color="008000"/>
              <w:bottom w:val="single" w:sz="6" w:space="0" w:color="008000"/>
            </w:tcBorders>
            <w:shd w:val="clear" w:color="auto" w:fill="FFFFFF"/>
            <w:vAlign w:val="center"/>
          </w:tcPr>
          <w:p w:rsidR="00294A1A" w:rsidRPr="00294A1A" w:rsidRDefault="00294A1A" w:rsidP="00A61159">
            <w:pPr>
              <w:pStyle w:val="CETBodytext"/>
              <w:jc w:val="left"/>
              <w:rPr>
                <w:lang w:val="en-GB"/>
              </w:rPr>
            </w:pPr>
            <w:r w:rsidRPr="00294A1A">
              <w:rPr>
                <w:lang w:val="en-GB"/>
              </w:rPr>
              <w:t>Catalysts</w:t>
            </w:r>
          </w:p>
        </w:tc>
        <w:tc>
          <w:tcPr>
            <w:tcW w:w="1134" w:type="dxa"/>
            <w:tcBorders>
              <w:top w:val="single" w:sz="12" w:space="0" w:color="008000"/>
              <w:bottom w:val="single" w:sz="6" w:space="0" w:color="008000"/>
            </w:tcBorders>
            <w:shd w:val="clear" w:color="auto" w:fill="FFFFFF"/>
            <w:vAlign w:val="center"/>
          </w:tcPr>
          <w:p w:rsidR="00294A1A" w:rsidRPr="00294A1A" w:rsidRDefault="00294A1A" w:rsidP="00A61159">
            <w:pPr>
              <w:pStyle w:val="CETBodytext"/>
              <w:jc w:val="left"/>
              <w:rPr>
                <w:lang w:val="en-GB"/>
              </w:rPr>
            </w:pPr>
            <w:r w:rsidRPr="00294A1A">
              <w:rPr>
                <w:lang w:val="en-GB"/>
              </w:rPr>
              <w:t>T (°C)</w:t>
            </w:r>
          </w:p>
        </w:tc>
        <w:tc>
          <w:tcPr>
            <w:tcW w:w="1560" w:type="dxa"/>
            <w:tcBorders>
              <w:top w:val="single" w:sz="12" w:space="0" w:color="008000"/>
              <w:bottom w:val="single" w:sz="6" w:space="0" w:color="008000"/>
            </w:tcBorders>
            <w:shd w:val="clear" w:color="auto" w:fill="FFFFFF"/>
            <w:vAlign w:val="center"/>
          </w:tcPr>
          <w:p w:rsidR="00294A1A" w:rsidRPr="00294A1A" w:rsidRDefault="00294A1A" w:rsidP="00A61159">
            <w:pPr>
              <w:pStyle w:val="CETBodytext"/>
              <w:ind w:right="-1"/>
              <w:jc w:val="left"/>
              <w:rPr>
                <w:rFonts w:cs="Arial"/>
                <w:szCs w:val="18"/>
                <w:lang w:val="en-GB"/>
              </w:rPr>
            </w:pPr>
            <w:r w:rsidRPr="00294A1A">
              <w:rPr>
                <w:rFonts w:cs="Arial"/>
                <w:szCs w:val="18"/>
                <w:lang w:val="en-GB"/>
              </w:rPr>
              <w:t>Conversion (%)</w:t>
            </w:r>
          </w:p>
        </w:tc>
        <w:tc>
          <w:tcPr>
            <w:tcW w:w="2551" w:type="dxa"/>
            <w:tcBorders>
              <w:top w:val="single" w:sz="12" w:space="0" w:color="008000"/>
              <w:bottom w:val="single" w:sz="6" w:space="0" w:color="008000"/>
            </w:tcBorders>
            <w:shd w:val="clear" w:color="auto" w:fill="FFFFFF"/>
            <w:vAlign w:val="center"/>
          </w:tcPr>
          <w:p w:rsidR="00294A1A" w:rsidRPr="00294A1A" w:rsidRDefault="00294A1A" w:rsidP="00A61159">
            <w:pPr>
              <w:pStyle w:val="CETBodytext"/>
              <w:ind w:right="-1"/>
              <w:jc w:val="left"/>
              <w:rPr>
                <w:rFonts w:cs="Arial"/>
                <w:szCs w:val="18"/>
                <w:lang w:val="en-GB"/>
              </w:rPr>
            </w:pPr>
            <w:r w:rsidRPr="00294A1A">
              <w:rPr>
                <w:rFonts w:cs="Arial"/>
                <w:szCs w:val="18"/>
                <w:lang w:val="en-GB"/>
              </w:rPr>
              <w:t>References</w:t>
            </w:r>
          </w:p>
        </w:tc>
      </w:tr>
      <w:tr w:rsidR="00294A1A" w:rsidRPr="00294A1A" w:rsidTr="00F3583C">
        <w:tc>
          <w:tcPr>
            <w:tcW w:w="1701" w:type="dxa"/>
            <w:tcBorders>
              <w:bottom w:val="nil"/>
            </w:tcBorders>
            <w:shd w:val="clear" w:color="auto" w:fill="FFFFFF"/>
          </w:tcPr>
          <w:p w:rsidR="00294A1A" w:rsidRPr="00294A1A" w:rsidRDefault="00294A1A" w:rsidP="00A61159">
            <w:pPr>
              <w:pStyle w:val="CETBodytext"/>
              <w:rPr>
                <w:rFonts w:cs="Arial"/>
                <w:szCs w:val="18"/>
                <w:lang w:val="en-GB"/>
              </w:rPr>
            </w:pPr>
            <w:r w:rsidRPr="00294A1A">
              <w:rPr>
                <w:rFonts w:cs="Arial"/>
                <w:szCs w:val="18"/>
                <w:lang w:val="en-GB"/>
              </w:rPr>
              <w:t>n-butanol</w:t>
            </w:r>
          </w:p>
        </w:tc>
        <w:tc>
          <w:tcPr>
            <w:tcW w:w="1701" w:type="dxa"/>
            <w:tcBorders>
              <w:bottom w:val="nil"/>
            </w:tcBorders>
            <w:shd w:val="clear" w:color="auto" w:fill="FFFFFF"/>
          </w:tcPr>
          <w:p w:rsidR="00294A1A" w:rsidRPr="00294A1A" w:rsidRDefault="00294A1A" w:rsidP="00A61159">
            <w:pPr>
              <w:pStyle w:val="CETBodytext"/>
              <w:ind w:right="-284"/>
              <w:jc w:val="left"/>
              <w:rPr>
                <w:rFonts w:cs="Arial"/>
                <w:szCs w:val="18"/>
                <w:lang w:val="en-GB"/>
              </w:rPr>
            </w:pPr>
            <w:r w:rsidRPr="00294A1A">
              <w:rPr>
                <w:rFonts w:cs="Arial"/>
                <w:szCs w:val="18"/>
                <w:lang w:val="en-GB"/>
              </w:rPr>
              <w:t>Pt/Al</w:t>
            </w:r>
            <w:r w:rsidRPr="00294A1A">
              <w:rPr>
                <w:rFonts w:cs="Arial"/>
                <w:szCs w:val="18"/>
                <w:vertAlign w:val="subscript"/>
                <w:lang w:val="en-GB"/>
              </w:rPr>
              <w:t>2</w:t>
            </w:r>
            <w:r w:rsidRPr="00294A1A">
              <w:rPr>
                <w:rFonts w:cs="Arial"/>
                <w:szCs w:val="18"/>
                <w:lang w:val="en-GB"/>
              </w:rPr>
              <w:t>O</w:t>
            </w:r>
            <w:r w:rsidRPr="00294A1A">
              <w:rPr>
                <w:rFonts w:cs="Arial"/>
                <w:szCs w:val="18"/>
                <w:vertAlign w:val="subscript"/>
                <w:lang w:val="en-GB"/>
              </w:rPr>
              <w:t>3</w:t>
            </w:r>
          </w:p>
        </w:tc>
        <w:tc>
          <w:tcPr>
            <w:tcW w:w="1134" w:type="dxa"/>
            <w:tcBorders>
              <w:bottom w:val="nil"/>
            </w:tcBorders>
            <w:shd w:val="clear" w:color="auto" w:fill="FFFFFF"/>
            <w:vAlign w:val="center"/>
          </w:tcPr>
          <w:p w:rsidR="00294A1A" w:rsidRPr="00294A1A" w:rsidRDefault="00294A1A" w:rsidP="00A61159">
            <w:pPr>
              <w:pStyle w:val="CETBodytext"/>
              <w:ind w:left="-387" w:right="-1" w:firstLine="387"/>
              <w:jc w:val="left"/>
              <w:rPr>
                <w:rFonts w:cs="Arial"/>
                <w:szCs w:val="18"/>
                <w:lang w:val="en-GB"/>
              </w:rPr>
            </w:pPr>
            <w:r w:rsidRPr="00294A1A">
              <w:rPr>
                <w:rFonts w:cs="Arial"/>
                <w:szCs w:val="18"/>
                <w:lang w:val="en-GB"/>
              </w:rPr>
              <w:t>340</w:t>
            </w:r>
            <w:r w:rsidRPr="00294A1A">
              <w:rPr>
                <w:rFonts w:cs="Arial"/>
                <w:szCs w:val="18"/>
                <w:vertAlign w:val="superscript"/>
                <w:lang w:val="en-GB"/>
              </w:rPr>
              <w:t>(a)</w:t>
            </w:r>
          </w:p>
        </w:tc>
        <w:tc>
          <w:tcPr>
            <w:tcW w:w="1560" w:type="dxa"/>
            <w:tcBorders>
              <w:bottom w:val="nil"/>
            </w:tcBorders>
            <w:shd w:val="clear" w:color="auto" w:fill="FFFFFF"/>
          </w:tcPr>
          <w:p w:rsidR="00294A1A" w:rsidRPr="00294A1A" w:rsidRDefault="00294A1A" w:rsidP="00A61159">
            <w:pPr>
              <w:pStyle w:val="CETBodytext"/>
              <w:ind w:right="-1"/>
              <w:jc w:val="left"/>
              <w:rPr>
                <w:rFonts w:cs="Arial"/>
                <w:szCs w:val="18"/>
                <w:lang w:val="en-GB"/>
              </w:rPr>
            </w:pPr>
            <w:r w:rsidRPr="00294A1A">
              <w:rPr>
                <w:rFonts w:cs="Arial"/>
                <w:szCs w:val="18"/>
                <w:lang w:val="en-GB"/>
              </w:rPr>
              <w:t>Complete</w:t>
            </w:r>
          </w:p>
        </w:tc>
        <w:tc>
          <w:tcPr>
            <w:tcW w:w="2551" w:type="dxa"/>
            <w:tcBorders>
              <w:bottom w:val="nil"/>
            </w:tcBorders>
            <w:shd w:val="clear" w:color="auto" w:fill="FFFFFF"/>
          </w:tcPr>
          <w:p w:rsidR="00294A1A" w:rsidRPr="00294A1A" w:rsidRDefault="00294A1A" w:rsidP="00A61159">
            <w:pPr>
              <w:pStyle w:val="CETBodytext"/>
              <w:ind w:right="-1"/>
              <w:rPr>
                <w:rFonts w:cs="Arial"/>
                <w:szCs w:val="18"/>
                <w:lang w:val="en-GB"/>
              </w:rPr>
            </w:pPr>
            <w:proofErr w:type="spellStart"/>
            <w:r w:rsidRPr="00294A1A">
              <w:t>Papaefthimiou</w:t>
            </w:r>
            <w:proofErr w:type="spellEnd"/>
            <w:r w:rsidRPr="00294A1A">
              <w:t xml:space="preserve"> et al., 1997</w:t>
            </w:r>
          </w:p>
        </w:tc>
      </w:tr>
      <w:tr w:rsidR="00294A1A" w:rsidRPr="00294A1A" w:rsidTr="00F3583C">
        <w:trPr>
          <w:trHeight w:val="470"/>
        </w:trPr>
        <w:tc>
          <w:tcPr>
            <w:tcW w:w="1701" w:type="dxa"/>
            <w:tcBorders>
              <w:top w:val="single" w:sz="6" w:space="0" w:color="009900"/>
              <w:bottom w:val="single" w:sz="4" w:space="0" w:color="008000"/>
            </w:tcBorders>
            <w:shd w:val="clear" w:color="auto" w:fill="FFFFFF"/>
          </w:tcPr>
          <w:p w:rsidR="00294A1A" w:rsidRPr="00294A1A" w:rsidRDefault="00294A1A" w:rsidP="00A61159">
            <w:pPr>
              <w:pStyle w:val="CETBodytext"/>
              <w:rPr>
                <w:rFonts w:cs="Arial"/>
                <w:szCs w:val="18"/>
                <w:lang w:val="en-GB"/>
              </w:rPr>
            </w:pPr>
            <w:r w:rsidRPr="00294A1A">
              <w:rPr>
                <w:rFonts w:cs="Arial"/>
                <w:szCs w:val="18"/>
                <w:lang w:val="en-GB"/>
              </w:rPr>
              <w:t>2-propanol</w:t>
            </w:r>
          </w:p>
          <w:p w:rsidR="00294A1A" w:rsidRPr="00294A1A" w:rsidRDefault="00294A1A" w:rsidP="00A61159">
            <w:pPr>
              <w:pStyle w:val="CETBodytext"/>
              <w:rPr>
                <w:rFonts w:cs="Arial"/>
                <w:szCs w:val="18"/>
                <w:lang w:val="en-GB"/>
              </w:rPr>
            </w:pPr>
            <w:r w:rsidRPr="00294A1A">
              <w:rPr>
                <w:rFonts w:cs="Arial"/>
                <w:szCs w:val="18"/>
                <w:lang w:val="en-GB"/>
              </w:rPr>
              <w:t>ethanol</w:t>
            </w:r>
          </w:p>
        </w:tc>
        <w:tc>
          <w:tcPr>
            <w:tcW w:w="1701" w:type="dxa"/>
            <w:tcBorders>
              <w:top w:val="single" w:sz="6" w:space="0" w:color="009900"/>
              <w:bottom w:val="single" w:sz="4" w:space="0" w:color="008000"/>
            </w:tcBorders>
            <w:shd w:val="clear" w:color="auto" w:fill="FFFFFF"/>
            <w:vAlign w:val="center"/>
          </w:tcPr>
          <w:p w:rsidR="00294A1A" w:rsidRPr="00294A1A" w:rsidRDefault="00294A1A" w:rsidP="00A61159">
            <w:pPr>
              <w:pStyle w:val="CETBodytext"/>
              <w:ind w:right="-284"/>
              <w:jc w:val="left"/>
              <w:rPr>
                <w:rFonts w:cs="Arial"/>
                <w:szCs w:val="18"/>
                <w:lang w:val="en-GB"/>
              </w:rPr>
            </w:pPr>
            <w:r w:rsidRPr="00294A1A">
              <w:rPr>
                <w:rFonts w:cs="Arial"/>
                <w:szCs w:val="18"/>
                <w:lang w:val="en-GB"/>
              </w:rPr>
              <w:t>Au/Fe</w:t>
            </w:r>
            <w:r w:rsidRPr="00294A1A">
              <w:rPr>
                <w:rFonts w:cs="Arial"/>
                <w:szCs w:val="18"/>
                <w:vertAlign w:val="subscript"/>
                <w:lang w:val="en-GB"/>
              </w:rPr>
              <w:t>2</w:t>
            </w:r>
            <w:r w:rsidRPr="00294A1A">
              <w:rPr>
                <w:rFonts w:cs="Arial"/>
                <w:szCs w:val="18"/>
                <w:lang w:val="en-GB"/>
              </w:rPr>
              <w:t>O</w:t>
            </w:r>
            <w:r w:rsidRPr="00294A1A">
              <w:rPr>
                <w:rFonts w:cs="Arial"/>
                <w:szCs w:val="18"/>
                <w:vertAlign w:val="subscript"/>
                <w:lang w:val="en-GB"/>
              </w:rPr>
              <w:t>3</w:t>
            </w:r>
          </w:p>
        </w:tc>
        <w:tc>
          <w:tcPr>
            <w:tcW w:w="1134" w:type="dxa"/>
            <w:tcBorders>
              <w:top w:val="single" w:sz="6" w:space="0" w:color="009900"/>
              <w:bottom w:val="single" w:sz="4" w:space="0" w:color="008000"/>
            </w:tcBorders>
            <w:shd w:val="clear" w:color="auto" w:fill="FFFFFF"/>
            <w:vAlign w:val="center"/>
          </w:tcPr>
          <w:p w:rsidR="00294A1A" w:rsidRPr="00294A1A" w:rsidRDefault="00294A1A" w:rsidP="00A61159">
            <w:pPr>
              <w:pStyle w:val="CETBodytext"/>
              <w:ind w:left="-387" w:right="-1" w:firstLine="387"/>
              <w:jc w:val="left"/>
              <w:rPr>
                <w:rFonts w:cs="Arial"/>
                <w:szCs w:val="18"/>
                <w:lang w:val="en-GB"/>
              </w:rPr>
            </w:pPr>
            <w:r w:rsidRPr="00294A1A">
              <w:rPr>
                <w:rFonts w:cs="Arial"/>
                <w:szCs w:val="18"/>
                <w:lang w:val="en-GB"/>
              </w:rPr>
              <w:t>350</w:t>
            </w:r>
            <w:r w:rsidRPr="00294A1A">
              <w:rPr>
                <w:rFonts w:cs="Arial"/>
                <w:szCs w:val="18"/>
                <w:vertAlign w:val="superscript"/>
                <w:lang w:val="en-GB"/>
              </w:rPr>
              <w:t>(b)</w:t>
            </w:r>
          </w:p>
        </w:tc>
        <w:tc>
          <w:tcPr>
            <w:tcW w:w="1560" w:type="dxa"/>
            <w:tcBorders>
              <w:top w:val="single" w:sz="6" w:space="0" w:color="009900"/>
              <w:bottom w:val="single" w:sz="4" w:space="0" w:color="008000"/>
            </w:tcBorders>
            <w:shd w:val="clear" w:color="auto" w:fill="FFFFFF"/>
            <w:vAlign w:val="center"/>
          </w:tcPr>
          <w:p w:rsidR="00294A1A" w:rsidRPr="00294A1A" w:rsidRDefault="00294A1A" w:rsidP="00A61159">
            <w:pPr>
              <w:pStyle w:val="CETBodytext"/>
              <w:ind w:right="-1"/>
              <w:jc w:val="left"/>
              <w:rPr>
                <w:rFonts w:cs="Arial"/>
                <w:szCs w:val="18"/>
                <w:lang w:val="en-GB"/>
              </w:rPr>
            </w:pPr>
            <w:r w:rsidRPr="00294A1A">
              <w:rPr>
                <w:rFonts w:cs="Arial"/>
                <w:szCs w:val="18"/>
                <w:lang w:val="en-GB"/>
              </w:rPr>
              <w:t>100</w:t>
            </w:r>
          </w:p>
        </w:tc>
        <w:tc>
          <w:tcPr>
            <w:tcW w:w="2551" w:type="dxa"/>
            <w:tcBorders>
              <w:top w:val="single" w:sz="6" w:space="0" w:color="009900"/>
              <w:bottom w:val="single" w:sz="4" w:space="0" w:color="008000"/>
            </w:tcBorders>
            <w:shd w:val="clear" w:color="auto" w:fill="FFFFFF"/>
            <w:vAlign w:val="center"/>
          </w:tcPr>
          <w:p w:rsidR="00294A1A" w:rsidRPr="00294A1A" w:rsidRDefault="00294A1A" w:rsidP="00A61159">
            <w:pPr>
              <w:pStyle w:val="CETBodytext"/>
              <w:ind w:right="-284"/>
              <w:jc w:val="left"/>
              <w:rPr>
                <w:rFonts w:cs="Arial"/>
                <w:szCs w:val="18"/>
                <w:lang w:val="en-GB"/>
              </w:rPr>
            </w:pPr>
            <w:proofErr w:type="spellStart"/>
            <w:r w:rsidRPr="00294A1A">
              <w:rPr>
                <w:rFonts w:cs="Arial"/>
                <w:szCs w:val="18"/>
                <w:lang w:val="en-GB"/>
              </w:rPr>
              <w:t>Minicò</w:t>
            </w:r>
            <w:proofErr w:type="spellEnd"/>
            <w:r w:rsidRPr="00294A1A">
              <w:rPr>
                <w:rFonts w:cs="Arial"/>
                <w:szCs w:val="18"/>
                <w:lang w:val="en-GB"/>
              </w:rPr>
              <w:t xml:space="preserve"> et al., 2001</w:t>
            </w:r>
          </w:p>
        </w:tc>
      </w:tr>
      <w:tr w:rsidR="00294A1A" w:rsidRPr="00294A1A" w:rsidTr="00F3583C">
        <w:trPr>
          <w:trHeight w:val="230"/>
        </w:trPr>
        <w:tc>
          <w:tcPr>
            <w:tcW w:w="1701" w:type="dxa"/>
            <w:tcBorders>
              <w:top w:val="single" w:sz="6" w:space="0" w:color="009900"/>
              <w:bottom w:val="single" w:sz="4" w:space="0" w:color="008000"/>
            </w:tcBorders>
            <w:shd w:val="clear" w:color="auto" w:fill="FFFFFF"/>
          </w:tcPr>
          <w:p w:rsidR="00294A1A" w:rsidRPr="00294A1A" w:rsidRDefault="00294A1A" w:rsidP="00A61159">
            <w:pPr>
              <w:pStyle w:val="CETBodytext"/>
              <w:ind w:right="-1"/>
              <w:rPr>
                <w:rFonts w:cs="Arial"/>
                <w:szCs w:val="18"/>
                <w:lang w:val="en-GB"/>
              </w:rPr>
            </w:pPr>
            <w:r w:rsidRPr="00294A1A">
              <w:rPr>
                <w:rFonts w:cs="Arial"/>
                <w:szCs w:val="18"/>
                <w:lang w:val="en-GB"/>
              </w:rPr>
              <w:t>1-propanol</w:t>
            </w:r>
          </w:p>
        </w:tc>
        <w:tc>
          <w:tcPr>
            <w:tcW w:w="1701" w:type="dxa"/>
            <w:tcBorders>
              <w:top w:val="single" w:sz="6" w:space="0" w:color="009900"/>
              <w:bottom w:val="single" w:sz="4" w:space="0" w:color="008000"/>
            </w:tcBorders>
            <w:shd w:val="clear" w:color="auto" w:fill="FFFFFF"/>
          </w:tcPr>
          <w:p w:rsidR="00294A1A" w:rsidRPr="00294A1A" w:rsidRDefault="00294A1A" w:rsidP="00A61159">
            <w:pPr>
              <w:pStyle w:val="CETBodytext"/>
              <w:ind w:right="-1"/>
              <w:jc w:val="left"/>
              <w:rPr>
                <w:rFonts w:cs="Arial"/>
                <w:szCs w:val="18"/>
                <w:lang w:val="en-GB"/>
              </w:rPr>
            </w:pPr>
            <w:proofErr w:type="spellStart"/>
            <w:r w:rsidRPr="00294A1A">
              <w:rPr>
                <w:rFonts w:cs="Arial"/>
                <w:szCs w:val="18"/>
                <w:lang w:val="en-GB"/>
              </w:rPr>
              <w:t>CuO</w:t>
            </w:r>
            <w:proofErr w:type="spellEnd"/>
            <w:r w:rsidRPr="00294A1A">
              <w:rPr>
                <w:rFonts w:cs="Arial"/>
                <w:szCs w:val="18"/>
                <w:lang w:val="en-GB"/>
              </w:rPr>
              <w:t>/</w:t>
            </w:r>
            <w:proofErr w:type="spellStart"/>
            <w:r w:rsidRPr="00294A1A">
              <w:rPr>
                <w:rFonts w:cs="Arial"/>
                <w:szCs w:val="18"/>
                <w:lang w:val="en-GB"/>
              </w:rPr>
              <w:t>CaX</w:t>
            </w:r>
            <w:proofErr w:type="spellEnd"/>
          </w:p>
        </w:tc>
        <w:tc>
          <w:tcPr>
            <w:tcW w:w="1134" w:type="dxa"/>
            <w:tcBorders>
              <w:top w:val="single" w:sz="6" w:space="0" w:color="009900"/>
              <w:bottom w:val="single" w:sz="4" w:space="0" w:color="008000"/>
            </w:tcBorders>
            <w:shd w:val="clear" w:color="auto" w:fill="FFFFFF"/>
            <w:vAlign w:val="center"/>
          </w:tcPr>
          <w:p w:rsidR="00294A1A" w:rsidRPr="00294A1A" w:rsidRDefault="00294A1A" w:rsidP="00A61159">
            <w:pPr>
              <w:pStyle w:val="CETBodytext"/>
              <w:ind w:right="-1"/>
              <w:jc w:val="left"/>
              <w:rPr>
                <w:rFonts w:cs="Arial"/>
                <w:szCs w:val="18"/>
                <w:lang w:val="en-GB"/>
              </w:rPr>
            </w:pPr>
            <w:r w:rsidRPr="00294A1A">
              <w:rPr>
                <w:rFonts w:cs="Arial"/>
                <w:szCs w:val="18"/>
                <w:lang w:val="en-GB"/>
              </w:rPr>
              <w:t>350</w:t>
            </w:r>
            <w:r w:rsidRPr="00294A1A">
              <w:rPr>
                <w:rFonts w:cs="Arial"/>
                <w:szCs w:val="18"/>
                <w:vertAlign w:val="superscript"/>
                <w:lang w:val="en-GB"/>
              </w:rPr>
              <w:t>(c)</w:t>
            </w:r>
          </w:p>
        </w:tc>
        <w:tc>
          <w:tcPr>
            <w:tcW w:w="1560" w:type="dxa"/>
            <w:tcBorders>
              <w:top w:val="single" w:sz="6" w:space="0" w:color="009900"/>
              <w:bottom w:val="single" w:sz="4" w:space="0" w:color="008000"/>
            </w:tcBorders>
            <w:shd w:val="clear" w:color="auto" w:fill="FFFFFF"/>
          </w:tcPr>
          <w:p w:rsidR="00294A1A" w:rsidRPr="00294A1A" w:rsidRDefault="00294A1A" w:rsidP="00A61159">
            <w:pPr>
              <w:pStyle w:val="CETBodytext"/>
              <w:ind w:right="-1"/>
              <w:jc w:val="left"/>
              <w:rPr>
                <w:rFonts w:cs="Arial"/>
                <w:szCs w:val="18"/>
                <w:lang w:val="en-GB"/>
              </w:rPr>
            </w:pPr>
            <w:r w:rsidRPr="00294A1A">
              <w:rPr>
                <w:rFonts w:cs="Arial"/>
                <w:szCs w:val="18"/>
                <w:lang w:val="en-GB"/>
              </w:rPr>
              <w:t>Total</w:t>
            </w:r>
          </w:p>
        </w:tc>
        <w:tc>
          <w:tcPr>
            <w:tcW w:w="2551" w:type="dxa"/>
            <w:tcBorders>
              <w:top w:val="single" w:sz="6" w:space="0" w:color="009900"/>
              <w:bottom w:val="single" w:sz="4" w:space="0" w:color="008000"/>
            </w:tcBorders>
            <w:shd w:val="clear" w:color="auto" w:fill="FFFFFF"/>
          </w:tcPr>
          <w:p w:rsidR="00294A1A" w:rsidRPr="00294A1A" w:rsidRDefault="00294A1A" w:rsidP="00A61159">
            <w:pPr>
              <w:pStyle w:val="CETBodytext"/>
              <w:tabs>
                <w:tab w:val="clear" w:pos="7100"/>
                <w:tab w:val="left" w:pos="475"/>
              </w:tabs>
              <w:ind w:right="-1"/>
              <w:rPr>
                <w:rFonts w:cs="Arial"/>
                <w:szCs w:val="18"/>
                <w:lang w:val="en-GB"/>
              </w:rPr>
            </w:pPr>
            <w:proofErr w:type="spellStart"/>
            <w:r w:rsidRPr="00294A1A">
              <w:rPr>
                <w:rFonts w:cs="Arial"/>
                <w:szCs w:val="18"/>
                <w:lang w:val="en-GB"/>
              </w:rPr>
              <w:t>Brazlauskas</w:t>
            </w:r>
            <w:proofErr w:type="spellEnd"/>
            <w:r w:rsidRPr="00294A1A">
              <w:rPr>
                <w:rFonts w:cs="Arial"/>
                <w:szCs w:val="18"/>
                <w:lang w:val="en-GB"/>
              </w:rPr>
              <w:t xml:space="preserve"> and </w:t>
            </w:r>
            <w:proofErr w:type="spellStart"/>
            <w:r w:rsidRPr="00294A1A">
              <w:rPr>
                <w:rFonts w:cs="Arial"/>
                <w:szCs w:val="18"/>
                <w:lang w:val="en-GB"/>
              </w:rPr>
              <w:t>Kitrys</w:t>
            </w:r>
            <w:proofErr w:type="spellEnd"/>
            <w:r w:rsidRPr="00294A1A">
              <w:rPr>
                <w:rFonts w:cs="Arial"/>
                <w:szCs w:val="18"/>
                <w:lang w:val="en-GB"/>
              </w:rPr>
              <w:t>, 2008</w:t>
            </w:r>
          </w:p>
        </w:tc>
      </w:tr>
      <w:tr w:rsidR="00294A1A" w:rsidRPr="00294A1A" w:rsidTr="00F3583C">
        <w:tc>
          <w:tcPr>
            <w:tcW w:w="1701" w:type="dxa"/>
            <w:tcBorders>
              <w:top w:val="single" w:sz="4" w:space="0" w:color="008000"/>
              <w:bottom w:val="single" w:sz="12" w:space="0" w:color="008000"/>
            </w:tcBorders>
            <w:shd w:val="clear" w:color="auto" w:fill="FFFFFF"/>
          </w:tcPr>
          <w:p w:rsidR="00294A1A" w:rsidRPr="00294A1A" w:rsidRDefault="00294A1A" w:rsidP="00A61159">
            <w:pPr>
              <w:pStyle w:val="CETBodytext"/>
              <w:rPr>
                <w:i/>
                <w:lang w:val="en-GB"/>
              </w:rPr>
            </w:pPr>
            <w:r w:rsidRPr="00294A1A">
              <w:rPr>
                <w:i/>
                <w:lang w:val="en-GB"/>
              </w:rPr>
              <w:t xml:space="preserve">2-ethyl-1-hexanol </w:t>
            </w:r>
          </w:p>
        </w:tc>
        <w:tc>
          <w:tcPr>
            <w:tcW w:w="1701" w:type="dxa"/>
            <w:tcBorders>
              <w:top w:val="single" w:sz="4" w:space="0" w:color="008000"/>
              <w:bottom w:val="single" w:sz="12" w:space="0" w:color="008000"/>
            </w:tcBorders>
            <w:shd w:val="clear" w:color="auto" w:fill="FFFFFF"/>
          </w:tcPr>
          <w:p w:rsidR="00294A1A" w:rsidRPr="00294A1A" w:rsidRDefault="00294A1A" w:rsidP="00A61159">
            <w:pPr>
              <w:pStyle w:val="CETBodytext"/>
              <w:ind w:right="-1"/>
              <w:jc w:val="left"/>
              <w:rPr>
                <w:rFonts w:cs="Arial"/>
                <w:i/>
                <w:szCs w:val="18"/>
                <w:lang w:val="en-GB"/>
              </w:rPr>
            </w:pPr>
            <w:proofErr w:type="spellStart"/>
            <w:r w:rsidRPr="00294A1A">
              <w:rPr>
                <w:i/>
              </w:rPr>
              <w:t>CuO</w:t>
            </w:r>
            <w:proofErr w:type="spellEnd"/>
            <w:r w:rsidRPr="00294A1A">
              <w:rPr>
                <w:i/>
              </w:rPr>
              <w:t>/Ag-</w:t>
            </w:r>
            <w:proofErr w:type="spellStart"/>
            <w:r w:rsidRPr="00294A1A">
              <w:rPr>
                <w:i/>
              </w:rPr>
              <w:t>rGOA</w:t>
            </w:r>
            <w:proofErr w:type="spellEnd"/>
            <w:r w:rsidRPr="00294A1A">
              <w:rPr>
                <w:i/>
              </w:rPr>
              <w:t xml:space="preserve"> </w:t>
            </w:r>
          </w:p>
        </w:tc>
        <w:tc>
          <w:tcPr>
            <w:tcW w:w="1134" w:type="dxa"/>
            <w:tcBorders>
              <w:top w:val="single" w:sz="4" w:space="0" w:color="008000"/>
              <w:bottom w:val="single" w:sz="12" w:space="0" w:color="008000"/>
            </w:tcBorders>
            <w:shd w:val="clear" w:color="auto" w:fill="FFFFFF"/>
            <w:vAlign w:val="center"/>
          </w:tcPr>
          <w:p w:rsidR="00294A1A" w:rsidRPr="00294A1A" w:rsidRDefault="00294A1A" w:rsidP="00A61159">
            <w:pPr>
              <w:pStyle w:val="CETBodytext"/>
              <w:ind w:right="-1"/>
              <w:jc w:val="left"/>
              <w:rPr>
                <w:rFonts w:cs="Arial"/>
                <w:i/>
                <w:szCs w:val="18"/>
                <w:lang w:val="en-GB"/>
              </w:rPr>
            </w:pPr>
            <w:r w:rsidRPr="00294A1A">
              <w:rPr>
                <w:rFonts w:cs="Arial"/>
                <w:i/>
                <w:szCs w:val="18"/>
                <w:lang w:val="en-GB"/>
              </w:rPr>
              <w:t>350</w:t>
            </w:r>
          </w:p>
        </w:tc>
        <w:tc>
          <w:tcPr>
            <w:tcW w:w="1560" w:type="dxa"/>
            <w:tcBorders>
              <w:top w:val="single" w:sz="4" w:space="0" w:color="008000"/>
              <w:bottom w:val="single" w:sz="12" w:space="0" w:color="008000"/>
            </w:tcBorders>
            <w:shd w:val="clear" w:color="auto" w:fill="FFFFFF"/>
          </w:tcPr>
          <w:p w:rsidR="00294A1A" w:rsidRPr="00294A1A" w:rsidRDefault="00294A1A" w:rsidP="00A61159">
            <w:pPr>
              <w:pStyle w:val="CETBodytext"/>
              <w:ind w:right="-1"/>
              <w:jc w:val="left"/>
              <w:rPr>
                <w:rFonts w:cs="Arial"/>
                <w:i/>
                <w:szCs w:val="18"/>
                <w:lang w:val="en-GB"/>
              </w:rPr>
            </w:pPr>
            <w:r>
              <w:rPr>
                <w:rFonts w:cs="Arial"/>
                <w:i/>
                <w:szCs w:val="18"/>
                <w:lang w:val="en-GB"/>
              </w:rPr>
              <w:sym w:font="Symbol" w:char="F07E"/>
            </w:r>
            <w:r w:rsidR="00C333D8">
              <w:rPr>
                <w:rFonts w:cs="Arial"/>
                <w:i/>
                <w:szCs w:val="18"/>
                <w:lang w:val="en-GB"/>
              </w:rPr>
              <w:t>99</w:t>
            </w:r>
          </w:p>
        </w:tc>
        <w:tc>
          <w:tcPr>
            <w:tcW w:w="2551" w:type="dxa"/>
            <w:tcBorders>
              <w:top w:val="single" w:sz="4" w:space="0" w:color="008000"/>
              <w:bottom w:val="single" w:sz="12" w:space="0" w:color="008000"/>
            </w:tcBorders>
            <w:shd w:val="clear" w:color="auto" w:fill="FFFFFF"/>
          </w:tcPr>
          <w:p w:rsidR="00294A1A" w:rsidRPr="00294A1A" w:rsidRDefault="00294A1A" w:rsidP="00A61159">
            <w:pPr>
              <w:pStyle w:val="CETBodytext"/>
              <w:tabs>
                <w:tab w:val="clear" w:pos="7100"/>
                <w:tab w:val="left" w:pos="475"/>
              </w:tabs>
              <w:ind w:right="-1"/>
              <w:rPr>
                <w:rFonts w:cs="Arial"/>
                <w:i/>
                <w:szCs w:val="18"/>
                <w:lang w:val="en-GB"/>
              </w:rPr>
            </w:pPr>
            <w:r w:rsidRPr="00294A1A">
              <w:rPr>
                <w:rFonts w:cs="Arial"/>
                <w:i/>
                <w:szCs w:val="18"/>
                <w:lang w:val="en-GB"/>
              </w:rPr>
              <w:t>This work</w:t>
            </w:r>
          </w:p>
        </w:tc>
      </w:tr>
    </w:tbl>
    <w:p w:rsidR="00294A1A" w:rsidRDefault="00294A1A" w:rsidP="00A61159">
      <w:pPr>
        <w:pStyle w:val="CETBodytext"/>
        <w:rPr>
          <w:sz w:val="16"/>
          <w:szCs w:val="16"/>
        </w:rPr>
      </w:pPr>
      <w:r w:rsidRPr="00294A1A">
        <w:rPr>
          <w:sz w:val="14"/>
          <w:szCs w:val="14"/>
          <w:vertAlign w:val="superscript"/>
        </w:rPr>
        <w:t>(a)</w:t>
      </w:r>
      <w:r w:rsidRPr="00294A1A">
        <w:rPr>
          <w:sz w:val="14"/>
          <w:szCs w:val="14"/>
        </w:rPr>
        <w:t xml:space="preserve"> 0.3% Pt/Al</w:t>
      </w:r>
      <w:r w:rsidRPr="00294A1A">
        <w:rPr>
          <w:sz w:val="14"/>
          <w:szCs w:val="14"/>
          <w:vertAlign w:val="subscript"/>
        </w:rPr>
        <w:t>2</w:t>
      </w:r>
      <w:r w:rsidRPr="00294A1A">
        <w:rPr>
          <w:sz w:val="14"/>
          <w:szCs w:val="14"/>
        </w:rPr>
        <w:t>O</w:t>
      </w:r>
      <w:r w:rsidRPr="00294A1A">
        <w:rPr>
          <w:sz w:val="14"/>
          <w:szCs w:val="14"/>
          <w:vertAlign w:val="subscript"/>
        </w:rPr>
        <w:t xml:space="preserve">3 </w:t>
      </w:r>
      <w:r w:rsidRPr="00294A1A">
        <w:rPr>
          <w:sz w:val="14"/>
          <w:szCs w:val="14"/>
        </w:rPr>
        <w:t xml:space="preserve">were prepared by calcination at 550-800°C for 2 h; </w:t>
      </w:r>
      <w:r w:rsidRPr="00294A1A">
        <w:rPr>
          <w:sz w:val="14"/>
          <w:szCs w:val="14"/>
          <w:vertAlign w:val="superscript"/>
        </w:rPr>
        <w:t>(b)</w:t>
      </w:r>
      <w:r w:rsidRPr="00294A1A">
        <w:rPr>
          <w:sz w:val="14"/>
          <w:szCs w:val="14"/>
        </w:rPr>
        <w:t xml:space="preserve"> Au/Fe</w:t>
      </w:r>
      <w:r w:rsidRPr="00294A1A">
        <w:rPr>
          <w:sz w:val="14"/>
          <w:szCs w:val="14"/>
          <w:vertAlign w:val="subscript"/>
        </w:rPr>
        <w:t>2</w:t>
      </w:r>
      <w:r w:rsidRPr="00294A1A">
        <w:rPr>
          <w:sz w:val="14"/>
          <w:szCs w:val="14"/>
        </w:rPr>
        <w:t>O</w:t>
      </w:r>
      <w:r w:rsidRPr="00294A1A">
        <w:rPr>
          <w:sz w:val="14"/>
          <w:szCs w:val="14"/>
          <w:vertAlign w:val="subscript"/>
        </w:rPr>
        <w:t xml:space="preserve">3 </w:t>
      </w:r>
      <w:r w:rsidRPr="00294A1A">
        <w:rPr>
          <w:sz w:val="14"/>
          <w:szCs w:val="14"/>
        </w:rPr>
        <w:t>catalyst was subject to calcination pretreatments by flowing a 10% O</w:t>
      </w:r>
      <w:r w:rsidRPr="00294A1A">
        <w:rPr>
          <w:sz w:val="14"/>
          <w:szCs w:val="14"/>
          <w:vertAlign w:val="subscript"/>
        </w:rPr>
        <w:t>2</w:t>
      </w:r>
      <w:r w:rsidRPr="00294A1A">
        <w:rPr>
          <w:sz w:val="14"/>
          <w:szCs w:val="14"/>
        </w:rPr>
        <w:t xml:space="preserve"> stream diluted in </w:t>
      </w:r>
      <w:proofErr w:type="spellStart"/>
      <w:r w:rsidRPr="00294A1A">
        <w:rPr>
          <w:sz w:val="14"/>
          <w:szCs w:val="14"/>
        </w:rPr>
        <w:t>He at</w:t>
      </w:r>
      <w:proofErr w:type="spellEnd"/>
      <w:r w:rsidRPr="00294A1A">
        <w:rPr>
          <w:sz w:val="14"/>
          <w:szCs w:val="14"/>
        </w:rPr>
        <w:t xml:space="preserve"> the chosen temperature (200, 300 or 450°C) for 1 h.;</w:t>
      </w:r>
      <w:r w:rsidRPr="00294A1A">
        <w:rPr>
          <w:sz w:val="14"/>
          <w:szCs w:val="14"/>
          <w:vertAlign w:val="superscript"/>
        </w:rPr>
        <w:t xml:space="preserve"> (c) </w:t>
      </w:r>
      <w:proofErr w:type="spellStart"/>
      <w:r w:rsidRPr="00294A1A">
        <w:rPr>
          <w:sz w:val="14"/>
          <w:szCs w:val="14"/>
        </w:rPr>
        <w:t>CuO</w:t>
      </w:r>
      <w:proofErr w:type="spellEnd"/>
      <w:r w:rsidRPr="00294A1A">
        <w:rPr>
          <w:sz w:val="14"/>
          <w:szCs w:val="14"/>
        </w:rPr>
        <w:t>/zeolite catalyst was calcined in air flow at 450°C for 6h</w:t>
      </w:r>
      <w:r w:rsidRPr="00294A1A">
        <w:rPr>
          <w:sz w:val="16"/>
          <w:szCs w:val="16"/>
        </w:rPr>
        <w:t>.</w:t>
      </w:r>
    </w:p>
    <w:p w:rsidR="00F55B78" w:rsidRPr="00294A1A" w:rsidRDefault="00F55B78" w:rsidP="00A61159">
      <w:pPr>
        <w:pStyle w:val="CETBodytext"/>
        <w:rPr>
          <w:sz w:val="16"/>
          <w:szCs w:val="16"/>
        </w:rPr>
      </w:pPr>
    </w:p>
    <w:p w:rsidR="00F55B78" w:rsidRDefault="00F55B78" w:rsidP="00A61159">
      <w:pPr>
        <w:pStyle w:val="CETBodytext"/>
      </w:pPr>
      <w:r w:rsidRPr="00AA69A1">
        <w:t xml:space="preserve">Stability is a critical aspect in the development of catalysts. As shown in Figure </w:t>
      </w:r>
      <w:r>
        <w:t>3</w:t>
      </w:r>
      <w:r w:rsidRPr="00AA69A1">
        <w:t xml:space="preserve">b, </w:t>
      </w:r>
      <w:r w:rsidRPr="00AA69A1">
        <w:rPr>
          <w:lang w:val="en"/>
        </w:rPr>
        <w:t>the catalytic activity was almost maintained for 72 hours of tests, evidencing the stability of the catalyst during operation</w:t>
      </w:r>
      <w:r>
        <w:rPr>
          <w:lang w:val="en"/>
        </w:rPr>
        <w:t xml:space="preserve"> at the best</w:t>
      </w:r>
      <w:r w:rsidRPr="00AA69A1">
        <w:t>.</w:t>
      </w:r>
      <w:r>
        <w:t xml:space="preserve"> </w:t>
      </w:r>
      <w:r w:rsidRPr="00F520F7">
        <w:t>Catalytic tests to evaluate the specific role of the different nanocatalyst components are necessary and have been programmed.</w:t>
      </w:r>
    </w:p>
    <w:p w:rsidR="00AF6037" w:rsidRPr="00A61159" w:rsidRDefault="00AF6037" w:rsidP="00A61159">
      <w:pPr>
        <w:pStyle w:val="CETHeading1"/>
        <w:tabs>
          <w:tab w:val="num" w:pos="360"/>
        </w:tabs>
        <w:spacing w:line="264" w:lineRule="auto"/>
        <w:rPr>
          <w:lang w:val="en-GB"/>
        </w:rPr>
      </w:pPr>
      <w:r w:rsidRPr="00A61159">
        <w:rPr>
          <w:lang w:val="en-GB"/>
        </w:rPr>
        <w:t>Conclusions</w:t>
      </w:r>
    </w:p>
    <w:p w:rsidR="006C2F5C" w:rsidRPr="007F3345" w:rsidRDefault="00001116" w:rsidP="00A61159">
      <w:pPr>
        <w:pStyle w:val="CETBodytext"/>
        <w:rPr>
          <w:color w:val="FF0000"/>
        </w:rPr>
      </w:pPr>
      <w:r w:rsidRPr="00001116">
        <w:rPr>
          <w:lang w:val="en"/>
        </w:rPr>
        <w:t xml:space="preserve">Catalytic tests for the oxidation of gaseous 2-EH were conducted. In particular, an innovative catalyst, which allows both the adsorption and the conversion/removal of molecules responsible for bad smells, has been synthesized. The synthesized catalyst, </w:t>
      </w:r>
      <w:proofErr w:type="spellStart"/>
      <w:r w:rsidRPr="00001116">
        <w:rPr>
          <w:lang w:val="en"/>
        </w:rPr>
        <w:t>CuO</w:t>
      </w:r>
      <w:proofErr w:type="spellEnd"/>
      <w:r w:rsidRPr="00001116">
        <w:rPr>
          <w:lang w:val="en"/>
        </w:rPr>
        <w:t>/Ag-</w:t>
      </w:r>
      <w:proofErr w:type="spellStart"/>
      <w:r w:rsidR="00AB705B">
        <w:rPr>
          <w:lang w:val="en"/>
        </w:rPr>
        <w:t>r</w:t>
      </w:r>
      <w:r w:rsidRPr="00001116">
        <w:rPr>
          <w:lang w:val="en"/>
        </w:rPr>
        <w:t>GOA</w:t>
      </w:r>
      <w:proofErr w:type="spellEnd"/>
      <w:r w:rsidRPr="00001116">
        <w:rPr>
          <w:lang w:val="en"/>
        </w:rPr>
        <w:t xml:space="preserve">, consists of a porous graphene oxide aerogel with high adsorption properties, loaded with catalytic </w:t>
      </w:r>
      <w:proofErr w:type="spellStart"/>
      <w:r w:rsidRPr="00001116">
        <w:rPr>
          <w:lang w:val="en"/>
        </w:rPr>
        <w:t>CuO</w:t>
      </w:r>
      <w:proofErr w:type="spellEnd"/>
      <w:r w:rsidRPr="00001116">
        <w:rPr>
          <w:lang w:val="en"/>
        </w:rPr>
        <w:t xml:space="preserve">/Ag nanoparticles. </w:t>
      </w:r>
      <w:proofErr w:type="spellStart"/>
      <w:r w:rsidRPr="00001116">
        <w:rPr>
          <w:lang w:val="en"/>
        </w:rPr>
        <w:t>CuO</w:t>
      </w:r>
      <w:proofErr w:type="spellEnd"/>
      <w:r w:rsidRPr="00001116">
        <w:rPr>
          <w:lang w:val="en"/>
        </w:rPr>
        <w:t>/Ag-</w:t>
      </w:r>
      <w:proofErr w:type="spellStart"/>
      <w:r w:rsidR="00AB705B">
        <w:rPr>
          <w:lang w:val="en"/>
        </w:rPr>
        <w:t>r</w:t>
      </w:r>
      <w:r w:rsidRPr="00001116">
        <w:rPr>
          <w:lang w:val="en"/>
        </w:rPr>
        <w:t>GOA</w:t>
      </w:r>
      <w:proofErr w:type="spellEnd"/>
      <w:r w:rsidRPr="00001116">
        <w:rPr>
          <w:lang w:val="en"/>
        </w:rPr>
        <w:t xml:space="preserve"> exhibited high catalytic performance and excellent oxidation stability toward 2-EH oxidation. 2-EH conversion was </w:t>
      </w:r>
      <w:r w:rsidR="00CE4E69">
        <w:rPr>
          <w:lang w:val="en"/>
        </w:rPr>
        <w:t>almost</w:t>
      </w:r>
      <w:r w:rsidRPr="00001116">
        <w:rPr>
          <w:lang w:val="en"/>
        </w:rPr>
        <w:t xml:space="preserve"> 99% and it was carried out at 350 °C. Its catalytic activity was m</w:t>
      </w:r>
      <w:r w:rsidR="00E060BD">
        <w:rPr>
          <w:lang w:val="en"/>
        </w:rPr>
        <w:t>aintained for 72 hours of tests</w:t>
      </w:r>
      <w:r w:rsidRPr="00001116">
        <w:rPr>
          <w:lang w:val="en"/>
        </w:rPr>
        <w:t xml:space="preserve">. The high activity and good stability of </w:t>
      </w:r>
      <w:proofErr w:type="spellStart"/>
      <w:r w:rsidRPr="00001116">
        <w:rPr>
          <w:lang w:val="en"/>
        </w:rPr>
        <w:t>CuO</w:t>
      </w:r>
      <w:proofErr w:type="spellEnd"/>
      <w:r w:rsidRPr="00001116">
        <w:rPr>
          <w:lang w:val="en"/>
        </w:rPr>
        <w:t>/Ag-</w:t>
      </w:r>
      <w:proofErr w:type="spellStart"/>
      <w:r w:rsidR="00AB705B">
        <w:rPr>
          <w:lang w:val="en"/>
        </w:rPr>
        <w:t>r</w:t>
      </w:r>
      <w:r w:rsidRPr="00001116">
        <w:rPr>
          <w:lang w:val="en"/>
        </w:rPr>
        <w:t>GOA</w:t>
      </w:r>
      <w:proofErr w:type="spellEnd"/>
      <w:r w:rsidRPr="00001116">
        <w:rPr>
          <w:lang w:val="en"/>
        </w:rPr>
        <w:t xml:space="preserve"> </w:t>
      </w:r>
      <w:proofErr w:type="spellStart"/>
      <w:r w:rsidR="00E060BD">
        <w:rPr>
          <w:lang w:val="en"/>
        </w:rPr>
        <w:t>nanocatalyst</w:t>
      </w:r>
      <w:proofErr w:type="spellEnd"/>
      <w:r w:rsidR="00E060BD">
        <w:rPr>
          <w:lang w:val="en"/>
        </w:rPr>
        <w:t xml:space="preserve"> </w:t>
      </w:r>
      <w:r w:rsidRPr="00001116">
        <w:rPr>
          <w:lang w:val="en"/>
        </w:rPr>
        <w:t>make it an excellent candidate for the development of catalytic oxidation of 2-EH.</w:t>
      </w:r>
      <w:r w:rsidRPr="006C2F5C">
        <w:rPr>
          <w:szCs w:val="18"/>
          <w:lang w:val="en-GB"/>
        </w:rPr>
        <w:t xml:space="preserve"> </w:t>
      </w:r>
      <w:r w:rsidR="00AB705B">
        <w:rPr>
          <w:szCs w:val="18"/>
          <w:lang w:val="en-GB"/>
        </w:rPr>
        <w:t xml:space="preserve">The </w:t>
      </w:r>
      <w:proofErr w:type="spellStart"/>
      <w:r w:rsidR="00E060BD" w:rsidRPr="00001116">
        <w:rPr>
          <w:lang w:val="en"/>
        </w:rPr>
        <w:t>CuO</w:t>
      </w:r>
      <w:proofErr w:type="spellEnd"/>
      <w:r w:rsidR="00E060BD" w:rsidRPr="00001116">
        <w:rPr>
          <w:lang w:val="en"/>
        </w:rPr>
        <w:t>/Ag-</w:t>
      </w:r>
      <w:proofErr w:type="spellStart"/>
      <w:r w:rsidR="00E060BD">
        <w:rPr>
          <w:lang w:val="en"/>
        </w:rPr>
        <w:t>r</w:t>
      </w:r>
      <w:r w:rsidR="00E060BD" w:rsidRPr="00001116">
        <w:rPr>
          <w:lang w:val="en"/>
        </w:rPr>
        <w:t>GOA</w:t>
      </w:r>
      <w:proofErr w:type="spellEnd"/>
      <w:r w:rsidR="00E060BD" w:rsidRPr="00001116">
        <w:rPr>
          <w:lang w:val="en"/>
        </w:rPr>
        <w:t xml:space="preserve"> </w:t>
      </w:r>
      <w:proofErr w:type="spellStart"/>
      <w:r w:rsidR="00E060BD">
        <w:rPr>
          <w:lang w:val="en"/>
        </w:rPr>
        <w:t>nanocatalyst</w:t>
      </w:r>
      <w:proofErr w:type="spellEnd"/>
      <w:r w:rsidR="00E060BD">
        <w:rPr>
          <w:lang w:val="en"/>
        </w:rPr>
        <w:t xml:space="preserve"> </w:t>
      </w:r>
      <w:r w:rsidR="00AB705B">
        <w:rPr>
          <w:szCs w:val="18"/>
          <w:lang w:val="en-GB"/>
        </w:rPr>
        <w:t xml:space="preserve">offers great potential to be explored for developing efficient </w:t>
      </w:r>
      <w:proofErr w:type="spellStart"/>
      <w:r w:rsidR="00AB705B">
        <w:rPr>
          <w:szCs w:val="18"/>
          <w:lang w:val="en-GB"/>
        </w:rPr>
        <w:t>nobel</w:t>
      </w:r>
      <w:proofErr w:type="spellEnd"/>
      <w:r w:rsidR="00AB705B">
        <w:rPr>
          <w:szCs w:val="18"/>
          <w:lang w:val="en-GB"/>
        </w:rPr>
        <w:t xml:space="preserve"> metal-free catalysts to removal 2-EH and others VOC at low temperature.</w:t>
      </w:r>
      <w:r w:rsidR="00BB37EA">
        <w:rPr>
          <w:szCs w:val="18"/>
          <w:lang w:val="en-GB"/>
        </w:rPr>
        <w:t xml:space="preserve"> T</w:t>
      </w:r>
      <w:r w:rsidR="00BB37EA" w:rsidRPr="00BB37EA">
        <w:rPr>
          <w:szCs w:val="18"/>
          <w:lang w:val="en-GB"/>
        </w:rPr>
        <w:t>he study of this catalyst for the abatement of other volatile co</w:t>
      </w:r>
      <w:r w:rsidR="00BB37EA">
        <w:rPr>
          <w:szCs w:val="18"/>
          <w:lang w:val="en-GB"/>
        </w:rPr>
        <w:t xml:space="preserve">mpounds, also </w:t>
      </w:r>
      <w:r w:rsidR="00BB37EA" w:rsidRPr="00BB37EA">
        <w:rPr>
          <w:szCs w:val="18"/>
          <w:lang w:val="en-GB"/>
        </w:rPr>
        <w:t>at different concentrations</w:t>
      </w:r>
      <w:r w:rsidR="00BB37EA">
        <w:rPr>
          <w:szCs w:val="18"/>
          <w:lang w:val="en-GB"/>
        </w:rPr>
        <w:t>,</w:t>
      </w:r>
      <w:r w:rsidR="00BB37EA" w:rsidRPr="00BB37EA">
        <w:rPr>
          <w:szCs w:val="18"/>
          <w:lang w:val="en-GB"/>
        </w:rPr>
        <w:t xml:space="preserve"> is </w:t>
      </w:r>
      <w:r w:rsidR="00BB37EA">
        <w:rPr>
          <w:szCs w:val="18"/>
          <w:lang w:val="en-GB"/>
        </w:rPr>
        <w:t>already in</w:t>
      </w:r>
      <w:r w:rsidR="00BB37EA" w:rsidRPr="00BB37EA">
        <w:rPr>
          <w:szCs w:val="18"/>
          <w:lang w:val="en-GB"/>
        </w:rPr>
        <w:t xml:space="preserve"> progress</w:t>
      </w:r>
      <w:r w:rsidR="00BB37EA">
        <w:rPr>
          <w:szCs w:val="18"/>
          <w:lang w:val="en-GB"/>
        </w:rPr>
        <w:t>.</w:t>
      </w:r>
    </w:p>
    <w:p w:rsidR="00A9422D" w:rsidRPr="00A61159" w:rsidRDefault="00A9422D" w:rsidP="00A61159">
      <w:pPr>
        <w:pStyle w:val="CETAcknowledgementstitle"/>
      </w:pPr>
      <w:r w:rsidRPr="00A61159">
        <w:t>Acknowledgments</w:t>
      </w:r>
    </w:p>
    <w:p w:rsidR="00A9422D" w:rsidRDefault="00A9422D" w:rsidP="00A61159">
      <w:pPr>
        <w:pStyle w:val="CETAcknowledgementstitle"/>
        <w:spacing w:before="0" w:after="0" w:line="264" w:lineRule="auto"/>
        <w:jc w:val="both"/>
        <w:rPr>
          <w:b w:val="0"/>
          <w:lang w:val="it-IT"/>
        </w:rPr>
      </w:pPr>
      <w:r w:rsidRPr="00A9422D">
        <w:rPr>
          <w:b w:val="0"/>
          <w:lang w:val="en-US"/>
        </w:rPr>
        <w:t xml:space="preserve">This research was supported by </w:t>
      </w:r>
      <w:proofErr w:type="spellStart"/>
      <w:r w:rsidRPr="00A9422D">
        <w:rPr>
          <w:b w:val="0"/>
          <w:lang w:val="en-US"/>
        </w:rPr>
        <w:t>Asse</w:t>
      </w:r>
      <w:proofErr w:type="spellEnd"/>
      <w:r w:rsidRPr="00A9422D">
        <w:rPr>
          <w:b w:val="0"/>
          <w:lang w:val="en-US"/>
        </w:rPr>
        <w:t xml:space="preserve"> I, </w:t>
      </w:r>
      <w:proofErr w:type="spellStart"/>
      <w:r w:rsidRPr="00A9422D">
        <w:rPr>
          <w:b w:val="0"/>
          <w:lang w:val="en-US"/>
        </w:rPr>
        <w:t>Azione</w:t>
      </w:r>
      <w:proofErr w:type="spellEnd"/>
      <w:r w:rsidRPr="00A9422D">
        <w:rPr>
          <w:b w:val="0"/>
          <w:lang w:val="en-US"/>
        </w:rPr>
        <w:t xml:space="preserve"> 1.I.3. </w:t>
      </w:r>
      <w:r>
        <w:rPr>
          <w:b w:val="0"/>
          <w:lang w:val="it-IT"/>
        </w:rPr>
        <w:t>PON-MISE</w:t>
      </w:r>
      <w:r w:rsidRPr="00A9422D">
        <w:rPr>
          <w:b w:val="0"/>
          <w:lang w:val="it-IT"/>
        </w:rPr>
        <w:t xml:space="preserve"> </w:t>
      </w:r>
      <w:r>
        <w:rPr>
          <w:b w:val="0"/>
          <w:lang w:val="it-IT"/>
        </w:rPr>
        <w:t>I</w:t>
      </w:r>
      <w:r w:rsidRPr="00A9422D">
        <w:rPr>
          <w:b w:val="0"/>
          <w:lang w:val="it-IT"/>
        </w:rPr>
        <w:t xml:space="preserve">mprese e </w:t>
      </w:r>
      <w:r>
        <w:rPr>
          <w:b w:val="0"/>
          <w:lang w:val="it-IT"/>
        </w:rPr>
        <w:t>C</w:t>
      </w:r>
      <w:r w:rsidRPr="00A9422D">
        <w:rPr>
          <w:b w:val="0"/>
          <w:lang w:val="it-IT"/>
        </w:rPr>
        <w:t xml:space="preserve">ompetitività 2014-2020" - </w:t>
      </w:r>
      <w:proofErr w:type="spellStart"/>
      <w:r w:rsidRPr="00A9422D">
        <w:rPr>
          <w:b w:val="0"/>
          <w:lang w:val="it-IT"/>
        </w:rPr>
        <w:t>funded</w:t>
      </w:r>
      <w:proofErr w:type="spellEnd"/>
      <w:r w:rsidRPr="00A9422D">
        <w:rPr>
          <w:b w:val="0"/>
          <w:lang w:val="it-IT"/>
        </w:rPr>
        <w:t xml:space="preserve"> by the </w:t>
      </w:r>
      <w:proofErr w:type="spellStart"/>
      <w:r>
        <w:rPr>
          <w:b w:val="0"/>
          <w:lang w:val="it-IT"/>
        </w:rPr>
        <w:t>E</w:t>
      </w:r>
      <w:r w:rsidRPr="00A9422D">
        <w:rPr>
          <w:b w:val="0"/>
          <w:lang w:val="it-IT"/>
        </w:rPr>
        <w:t>uropean</w:t>
      </w:r>
      <w:proofErr w:type="spellEnd"/>
      <w:r w:rsidRPr="00A9422D">
        <w:rPr>
          <w:b w:val="0"/>
          <w:lang w:val="it-IT"/>
        </w:rPr>
        <w:t xml:space="preserve"> </w:t>
      </w:r>
      <w:r>
        <w:rPr>
          <w:b w:val="0"/>
          <w:lang w:val="it-IT"/>
        </w:rPr>
        <w:t>U</w:t>
      </w:r>
      <w:r w:rsidRPr="00A9422D">
        <w:rPr>
          <w:b w:val="0"/>
          <w:lang w:val="it-IT"/>
        </w:rPr>
        <w:t>nion</w:t>
      </w:r>
      <w:r>
        <w:rPr>
          <w:b w:val="0"/>
          <w:lang w:val="it-IT"/>
        </w:rPr>
        <w:t>,</w:t>
      </w:r>
      <w:r w:rsidRPr="00A9422D">
        <w:rPr>
          <w:b w:val="0"/>
          <w:lang w:val="it-IT"/>
        </w:rPr>
        <w:t xml:space="preserve"> </w:t>
      </w:r>
      <w:r w:rsidR="00D1144F">
        <w:rPr>
          <w:b w:val="0"/>
          <w:lang w:val="it-IT"/>
        </w:rPr>
        <w:t>(</w:t>
      </w:r>
      <w:r>
        <w:rPr>
          <w:b w:val="0"/>
          <w:lang w:val="it-IT"/>
        </w:rPr>
        <w:t>S</w:t>
      </w:r>
      <w:r w:rsidRPr="00A9422D">
        <w:rPr>
          <w:b w:val="0"/>
          <w:lang w:val="it-IT"/>
        </w:rPr>
        <w:t>tudio di additivi, cariche, tecnologie ad hoc (i.e. nanotecnologie) per rendere le plastiche compatibili</w:t>
      </w:r>
      <w:r w:rsidR="00D1144F">
        <w:rPr>
          <w:b w:val="0"/>
          <w:lang w:val="it-IT"/>
        </w:rPr>
        <w:t xml:space="preserve"> </w:t>
      </w:r>
      <w:r>
        <w:rPr>
          <w:b w:val="0"/>
          <w:lang w:val="it-IT"/>
        </w:rPr>
        <w:t>-</w:t>
      </w:r>
      <w:r w:rsidR="00D1144F">
        <w:rPr>
          <w:b w:val="0"/>
          <w:lang w:val="it-IT"/>
        </w:rPr>
        <w:t xml:space="preserve"> </w:t>
      </w:r>
      <w:proofErr w:type="spellStart"/>
      <w:r>
        <w:rPr>
          <w:b w:val="0"/>
          <w:lang w:val="it-IT"/>
        </w:rPr>
        <w:t>Morphè</w:t>
      </w:r>
      <w:proofErr w:type="spellEnd"/>
      <w:r>
        <w:rPr>
          <w:b w:val="0"/>
          <w:lang w:val="it-IT"/>
        </w:rPr>
        <w:t>)</w:t>
      </w:r>
      <w:r w:rsidR="00E60C8A">
        <w:rPr>
          <w:b w:val="0"/>
          <w:lang w:val="it-IT"/>
        </w:rPr>
        <w:t>.</w:t>
      </w:r>
      <w:r w:rsidRPr="00A9422D">
        <w:rPr>
          <w:b w:val="0"/>
          <w:lang w:val="it-IT"/>
        </w:rPr>
        <w:t xml:space="preserve"> </w:t>
      </w:r>
    </w:p>
    <w:p w:rsidR="00263CB4" w:rsidRPr="002D07E0" w:rsidRDefault="00263CB4" w:rsidP="00A61159">
      <w:pPr>
        <w:pStyle w:val="CETReference"/>
        <w:spacing w:line="264" w:lineRule="auto"/>
      </w:pPr>
      <w:r w:rsidRPr="002D07E0">
        <w:t>Reference</w:t>
      </w:r>
      <w:r w:rsidR="00001116" w:rsidRPr="002D07E0">
        <w:t>s</w:t>
      </w:r>
    </w:p>
    <w:p w:rsidR="00C84B05" w:rsidRPr="0077093B" w:rsidRDefault="00C84B05" w:rsidP="00A61159">
      <w:pPr>
        <w:pStyle w:val="CETReferencetext"/>
        <w:rPr>
          <w:rFonts w:eastAsiaTheme="minorHAnsi"/>
        </w:rPr>
      </w:pPr>
      <w:proofErr w:type="spellStart"/>
      <w:r w:rsidRPr="0077093B">
        <w:rPr>
          <w:rFonts w:eastAsiaTheme="minorHAnsi"/>
        </w:rPr>
        <w:t>Albero</w:t>
      </w:r>
      <w:proofErr w:type="spellEnd"/>
      <w:r w:rsidRPr="0077093B">
        <w:rPr>
          <w:rFonts w:eastAsiaTheme="minorHAnsi"/>
        </w:rPr>
        <w:t xml:space="preserve"> J., Garcia H., 2015, Doped </w:t>
      </w:r>
      <w:proofErr w:type="spellStart"/>
      <w:r w:rsidRPr="0077093B">
        <w:rPr>
          <w:rFonts w:eastAsiaTheme="minorHAnsi"/>
        </w:rPr>
        <w:t>Graphenes</w:t>
      </w:r>
      <w:proofErr w:type="spellEnd"/>
      <w:r w:rsidRPr="0077093B">
        <w:rPr>
          <w:rFonts w:eastAsiaTheme="minorHAnsi"/>
        </w:rPr>
        <w:t xml:space="preserve"> in Catalysis, Journal of Molecular Catalysis A: Chemical, 408, 296−309.</w:t>
      </w:r>
    </w:p>
    <w:p w:rsidR="00C84B05" w:rsidRPr="00C333D8" w:rsidRDefault="00C84B05" w:rsidP="00A61159">
      <w:pPr>
        <w:pStyle w:val="CETReferencetext"/>
        <w:rPr>
          <w:rFonts w:eastAsiaTheme="minorHAnsi"/>
        </w:rPr>
      </w:pPr>
      <w:r w:rsidRPr="0077093B">
        <w:rPr>
          <w:rFonts w:eastAsiaTheme="minorHAnsi"/>
        </w:rPr>
        <w:t xml:space="preserve">Atwood G.A., </w:t>
      </w:r>
      <w:proofErr w:type="spellStart"/>
      <w:r w:rsidRPr="0077093B">
        <w:rPr>
          <w:rFonts w:eastAsiaTheme="minorHAnsi"/>
        </w:rPr>
        <w:t>Greenea</w:t>
      </w:r>
      <w:proofErr w:type="spellEnd"/>
      <w:r w:rsidRPr="0077093B">
        <w:rPr>
          <w:rFonts w:eastAsiaTheme="minorHAnsi"/>
        </w:rPr>
        <w:t xml:space="preserve"> H.L., </w:t>
      </w:r>
      <w:proofErr w:type="spellStart"/>
      <w:r w:rsidRPr="0077093B">
        <w:rPr>
          <w:rFonts w:eastAsiaTheme="minorHAnsi"/>
        </w:rPr>
        <w:t>Chintawar</w:t>
      </w:r>
      <w:proofErr w:type="spellEnd"/>
      <w:r w:rsidRPr="0077093B">
        <w:rPr>
          <w:rFonts w:eastAsiaTheme="minorHAnsi"/>
        </w:rPr>
        <w:t xml:space="preserve"> P., </w:t>
      </w:r>
      <w:proofErr w:type="spellStart"/>
      <w:r w:rsidRPr="0077093B">
        <w:rPr>
          <w:rFonts w:eastAsiaTheme="minorHAnsi"/>
        </w:rPr>
        <w:t>Rachapudi</w:t>
      </w:r>
      <w:proofErr w:type="spellEnd"/>
      <w:r w:rsidRPr="0077093B">
        <w:rPr>
          <w:rFonts w:eastAsiaTheme="minorHAnsi"/>
        </w:rPr>
        <w:t xml:space="preserve"> R., Ramachandran B., Vogel C.A., 1998, Trichloroethylene sorption and oxidation using a dual function sorbent/catalyst in a falling furnace reactor, </w:t>
      </w:r>
      <w:r w:rsidRPr="00C333D8">
        <w:rPr>
          <w:rFonts w:eastAsiaTheme="minorHAnsi"/>
        </w:rPr>
        <w:t>Applied Catalysis B: Environmental, 18, 51–61.</w:t>
      </w:r>
    </w:p>
    <w:p w:rsidR="00C84B05" w:rsidRPr="00C333D8" w:rsidRDefault="00C84B05" w:rsidP="00A61159">
      <w:pPr>
        <w:pStyle w:val="CETReferencetext"/>
        <w:rPr>
          <w:rFonts w:eastAsiaTheme="minorHAnsi"/>
        </w:rPr>
      </w:pPr>
      <w:proofErr w:type="spellStart"/>
      <w:r w:rsidRPr="00C333D8">
        <w:rPr>
          <w:rFonts w:eastAsiaTheme="minorHAnsi"/>
        </w:rPr>
        <w:t>Brazlauskas</w:t>
      </w:r>
      <w:proofErr w:type="spellEnd"/>
      <w:r w:rsidRPr="00C333D8">
        <w:rPr>
          <w:rFonts w:eastAsiaTheme="minorHAnsi"/>
        </w:rPr>
        <w:t xml:space="preserve"> M., </w:t>
      </w:r>
      <w:proofErr w:type="spellStart"/>
      <w:r w:rsidRPr="00C333D8">
        <w:rPr>
          <w:rFonts w:eastAsiaTheme="minorHAnsi"/>
        </w:rPr>
        <w:t>Kitrys</w:t>
      </w:r>
      <w:proofErr w:type="spellEnd"/>
      <w:r w:rsidRPr="00C333D8">
        <w:rPr>
          <w:rFonts w:eastAsiaTheme="minorHAnsi"/>
        </w:rPr>
        <w:t xml:space="preserve"> S., 2008, Synthesis and Properties of </w:t>
      </w:r>
      <w:proofErr w:type="spellStart"/>
      <w:r w:rsidRPr="00C333D8">
        <w:rPr>
          <w:rFonts w:eastAsiaTheme="minorHAnsi"/>
        </w:rPr>
        <w:t>CuO</w:t>
      </w:r>
      <w:proofErr w:type="spellEnd"/>
      <w:r w:rsidRPr="00C333D8">
        <w:rPr>
          <w:rFonts w:eastAsiaTheme="minorHAnsi"/>
        </w:rPr>
        <w:t>/Zeolite Sandwich Type Adsorbent-Catalysts, Chinese Journal of Catalysis, 29, 25</w:t>
      </w:r>
      <w:r w:rsidRPr="00C333D8">
        <w:t>–</w:t>
      </w:r>
      <w:r w:rsidRPr="00C333D8">
        <w:rPr>
          <w:rFonts w:eastAsiaTheme="minorHAnsi"/>
        </w:rPr>
        <w:t>30.</w:t>
      </w:r>
    </w:p>
    <w:p w:rsidR="00C84B05" w:rsidRPr="00C333D8" w:rsidRDefault="00C84B05" w:rsidP="00A61159">
      <w:pPr>
        <w:pStyle w:val="CETReferencetext"/>
        <w:rPr>
          <w:rFonts w:eastAsiaTheme="minorHAnsi"/>
        </w:rPr>
      </w:pPr>
      <w:proofErr w:type="spellStart"/>
      <w:r w:rsidRPr="00C333D8">
        <w:rPr>
          <w:rFonts w:eastAsiaTheme="minorHAnsi"/>
        </w:rPr>
        <w:t>Carabineiro</w:t>
      </w:r>
      <w:proofErr w:type="spellEnd"/>
      <w:r w:rsidRPr="00C333D8">
        <w:rPr>
          <w:rFonts w:eastAsiaTheme="minorHAnsi"/>
        </w:rPr>
        <w:t xml:space="preserve"> S., Chen X., </w:t>
      </w:r>
      <w:proofErr w:type="spellStart"/>
      <w:r w:rsidRPr="00C333D8">
        <w:rPr>
          <w:rFonts w:eastAsiaTheme="minorHAnsi"/>
        </w:rPr>
        <w:t>Martynyuk</w:t>
      </w:r>
      <w:proofErr w:type="spellEnd"/>
      <w:r w:rsidRPr="00C333D8">
        <w:rPr>
          <w:rFonts w:eastAsiaTheme="minorHAnsi"/>
        </w:rPr>
        <w:t xml:space="preserve"> O., </w:t>
      </w:r>
      <w:proofErr w:type="spellStart"/>
      <w:r w:rsidRPr="00C333D8">
        <w:rPr>
          <w:rFonts w:eastAsiaTheme="minorHAnsi"/>
        </w:rPr>
        <w:t>Bogdanchikova</w:t>
      </w:r>
      <w:proofErr w:type="spellEnd"/>
      <w:r w:rsidRPr="00C333D8">
        <w:rPr>
          <w:rFonts w:eastAsiaTheme="minorHAnsi"/>
        </w:rPr>
        <w:t xml:space="preserve"> N., Avalos-Borja M., </w:t>
      </w:r>
      <w:proofErr w:type="spellStart"/>
      <w:r w:rsidRPr="00C333D8">
        <w:rPr>
          <w:rFonts w:eastAsiaTheme="minorHAnsi"/>
        </w:rPr>
        <w:t>Pestryakov</w:t>
      </w:r>
      <w:proofErr w:type="spellEnd"/>
      <w:r w:rsidRPr="00C333D8">
        <w:rPr>
          <w:rFonts w:eastAsiaTheme="minorHAnsi"/>
        </w:rPr>
        <w:t xml:space="preserve"> A., Tavares P., </w:t>
      </w:r>
      <w:proofErr w:type="spellStart"/>
      <w:r w:rsidRPr="00C333D8">
        <w:rPr>
          <w:rFonts w:eastAsiaTheme="minorHAnsi"/>
        </w:rPr>
        <w:t>Orfão</w:t>
      </w:r>
      <w:proofErr w:type="spellEnd"/>
      <w:r w:rsidRPr="00C333D8">
        <w:rPr>
          <w:rFonts w:eastAsiaTheme="minorHAnsi"/>
        </w:rPr>
        <w:t xml:space="preserve"> J., Pereira M., </w:t>
      </w:r>
      <w:proofErr w:type="spellStart"/>
      <w:r w:rsidRPr="00C333D8">
        <w:rPr>
          <w:rFonts w:eastAsiaTheme="minorHAnsi"/>
        </w:rPr>
        <w:t>Figueiredo</w:t>
      </w:r>
      <w:proofErr w:type="spellEnd"/>
      <w:r w:rsidRPr="00C333D8">
        <w:rPr>
          <w:rFonts w:eastAsiaTheme="minorHAnsi"/>
        </w:rPr>
        <w:t xml:space="preserve"> J., 2015, Gold supported on metal oxides for volatile organic compounds total oxidation, Catalysis Today, 244, 103–114.</w:t>
      </w:r>
    </w:p>
    <w:p w:rsidR="00C84B05" w:rsidRPr="0077093B" w:rsidRDefault="00C84B05" w:rsidP="00A61159">
      <w:pPr>
        <w:pStyle w:val="CETReferencetext"/>
        <w:rPr>
          <w:rFonts w:eastAsiaTheme="minorHAnsi"/>
        </w:rPr>
      </w:pPr>
      <w:r w:rsidRPr="00C333D8">
        <w:rPr>
          <w:rFonts w:eastAsiaTheme="minorHAnsi"/>
        </w:rPr>
        <w:t xml:space="preserve">Casa M., </w:t>
      </w:r>
      <w:proofErr w:type="spellStart"/>
      <w:r w:rsidRPr="00C333D8">
        <w:rPr>
          <w:rFonts w:eastAsiaTheme="minorHAnsi"/>
        </w:rPr>
        <w:t>Sarno</w:t>
      </w:r>
      <w:proofErr w:type="spellEnd"/>
      <w:r w:rsidRPr="00C333D8">
        <w:rPr>
          <w:rFonts w:eastAsiaTheme="minorHAnsi"/>
        </w:rPr>
        <w:t xml:space="preserve"> M., </w:t>
      </w:r>
      <w:proofErr w:type="spellStart"/>
      <w:r w:rsidRPr="00C333D8">
        <w:rPr>
          <w:rFonts w:eastAsiaTheme="minorHAnsi"/>
        </w:rPr>
        <w:t>Liguori</w:t>
      </w:r>
      <w:proofErr w:type="spellEnd"/>
      <w:r w:rsidRPr="00C333D8">
        <w:rPr>
          <w:rFonts w:eastAsiaTheme="minorHAnsi"/>
        </w:rPr>
        <w:t xml:space="preserve"> R., </w:t>
      </w:r>
      <w:proofErr w:type="spellStart"/>
      <w:r w:rsidRPr="00C333D8">
        <w:rPr>
          <w:rFonts w:eastAsiaTheme="minorHAnsi"/>
        </w:rPr>
        <w:t>Cirillo</w:t>
      </w:r>
      <w:proofErr w:type="spellEnd"/>
      <w:r w:rsidRPr="00C333D8">
        <w:rPr>
          <w:rFonts w:eastAsiaTheme="minorHAnsi"/>
        </w:rPr>
        <w:t xml:space="preserve"> C., </w:t>
      </w:r>
      <w:proofErr w:type="spellStart"/>
      <w:r w:rsidRPr="00C333D8">
        <w:rPr>
          <w:rFonts w:eastAsiaTheme="minorHAnsi"/>
        </w:rPr>
        <w:t>Rubino</w:t>
      </w:r>
      <w:proofErr w:type="spellEnd"/>
      <w:r w:rsidRPr="00C333D8">
        <w:rPr>
          <w:rFonts w:eastAsiaTheme="minorHAnsi"/>
        </w:rPr>
        <w:t xml:space="preserve"> A., </w:t>
      </w:r>
      <w:proofErr w:type="spellStart"/>
      <w:r w:rsidRPr="00C333D8">
        <w:rPr>
          <w:rFonts w:eastAsiaTheme="minorHAnsi"/>
        </w:rPr>
        <w:t>Bezzeccheri</w:t>
      </w:r>
      <w:proofErr w:type="spellEnd"/>
      <w:r w:rsidRPr="00C333D8">
        <w:rPr>
          <w:rFonts w:eastAsiaTheme="minorHAnsi"/>
        </w:rPr>
        <w:t xml:space="preserve"> E., Liu J., </w:t>
      </w:r>
      <w:proofErr w:type="spellStart"/>
      <w:r w:rsidRPr="00C333D8">
        <w:rPr>
          <w:rFonts w:eastAsiaTheme="minorHAnsi"/>
        </w:rPr>
        <w:t>Ciambelli</w:t>
      </w:r>
      <w:proofErr w:type="spellEnd"/>
      <w:r w:rsidRPr="00C333D8">
        <w:rPr>
          <w:rFonts w:eastAsiaTheme="minorHAnsi"/>
        </w:rPr>
        <w:t xml:space="preserve"> P., 2018, Conductive Adhesive Based on Mussel-Inspired Graphene Decoration</w:t>
      </w:r>
      <w:r w:rsidRPr="0077093B">
        <w:rPr>
          <w:rFonts w:eastAsiaTheme="minorHAnsi"/>
        </w:rPr>
        <w:t xml:space="preserve"> with Silver Nanoparticles, Journal of Nanoscience and Nanotechnology, 18, 1176</w:t>
      </w:r>
      <w:r w:rsidRPr="00C333D8">
        <w:rPr>
          <w:rFonts w:eastAsiaTheme="minorHAnsi"/>
        </w:rPr>
        <w:t>–</w:t>
      </w:r>
      <w:r w:rsidRPr="0077093B">
        <w:rPr>
          <w:rFonts w:eastAsiaTheme="minorHAnsi"/>
        </w:rPr>
        <w:t>1185.</w:t>
      </w:r>
    </w:p>
    <w:p w:rsidR="00C84B05" w:rsidRPr="0077093B" w:rsidRDefault="00C84B05" w:rsidP="00A61159">
      <w:pPr>
        <w:pStyle w:val="CETReferencetext"/>
        <w:rPr>
          <w:rFonts w:eastAsiaTheme="minorHAnsi"/>
        </w:rPr>
      </w:pPr>
      <w:r w:rsidRPr="0077093B">
        <w:rPr>
          <w:rFonts w:eastAsiaTheme="minorHAnsi"/>
        </w:rPr>
        <w:t xml:space="preserve">Chen X., </w:t>
      </w:r>
      <w:proofErr w:type="spellStart"/>
      <w:r w:rsidRPr="0077093B">
        <w:rPr>
          <w:rFonts w:eastAsiaTheme="minorHAnsi"/>
        </w:rPr>
        <w:t>Carabineiro</w:t>
      </w:r>
      <w:proofErr w:type="spellEnd"/>
      <w:r w:rsidRPr="0077093B">
        <w:rPr>
          <w:rFonts w:eastAsiaTheme="minorHAnsi"/>
        </w:rPr>
        <w:t xml:space="preserve"> S., Bastos S., Tavares P., </w:t>
      </w:r>
      <w:proofErr w:type="spellStart"/>
      <w:r w:rsidRPr="0077093B">
        <w:rPr>
          <w:rFonts w:eastAsiaTheme="minorHAnsi"/>
        </w:rPr>
        <w:t>Orfão</w:t>
      </w:r>
      <w:proofErr w:type="spellEnd"/>
      <w:r w:rsidRPr="0077093B">
        <w:rPr>
          <w:rFonts w:eastAsiaTheme="minorHAnsi"/>
        </w:rPr>
        <w:t xml:space="preserve"> J., Pereira M., </w:t>
      </w:r>
      <w:proofErr w:type="spellStart"/>
      <w:r w:rsidRPr="0077093B">
        <w:rPr>
          <w:rFonts w:eastAsiaTheme="minorHAnsi"/>
        </w:rPr>
        <w:t>Figueiredo</w:t>
      </w:r>
      <w:proofErr w:type="spellEnd"/>
      <w:r w:rsidRPr="0077093B">
        <w:rPr>
          <w:rFonts w:eastAsiaTheme="minorHAnsi"/>
        </w:rPr>
        <w:t xml:space="preserve"> J., 2014, Catalytic oxidation of ethyl acetate on cerium-containing mixed oxides, Applied Catalysis A: General, 472, 101–112.</w:t>
      </w:r>
    </w:p>
    <w:p w:rsidR="00C84B05" w:rsidRPr="0077093B" w:rsidRDefault="00C84B05" w:rsidP="00A61159">
      <w:pPr>
        <w:pStyle w:val="CETReferencetext"/>
        <w:rPr>
          <w:rFonts w:eastAsiaTheme="minorHAnsi"/>
        </w:rPr>
      </w:pPr>
      <w:r w:rsidRPr="0077093B">
        <w:rPr>
          <w:rFonts w:eastAsiaTheme="minorHAnsi"/>
        </w:rPr>
        <w:lastRenderedPageBreak/>
        <w:t>Gothenburg Protocol to reduce transboundary air pollution, 1999, UNECE Protocol to Abate Acidification, Eutrophication, and Ground-level Ozone (Gothenburg Protocol) (Protocol to the UNECE Convention on Long-Range Transboundary Air Pollution (LRTAP)).</w:t>
      </w:r>
    </w:p>
    <w:p w:rsidR="00C84B05" w:rsidRPr="0077093B" w:rsidRDefault="00C84B05" w:rsidP="00A61159">
      <w:pPr>
        <w:pStyle w:val="CETReferencetext"/>
        <w:rPr>
          <w:rFonts w:eastAsiaTheme="minorHAnsi"/>
        </w:rPr>
      </w:pPr>
      <w:r w:rsidRPr="0077093B">
        <w:rPr>
          <w:rFonts w:eastAsiaTheme="minorHAnsi"/>
        </w:rPr>
        <w:t>Huang H., Xu Y., Feng Q., Leung D.Y.C., 2015, Low temperature catalytic oxidation of volatile organic compounds: a review, Catalysis Science &amp; Technology, 5, 2649–2669.</w:t>
      </w:r>
    </w:p>
    <w:p w:rsidR="00C84B05" w:rsidRPr="0077093B" w:rsidRDefault="00C84B05" w:rsidP="00A61159">
      <w:pPr>
        <w:pStyle w:val="CETReferencetext"/>
        <w:rPr>
          <w:rFonts w:eastAsiaTheme="minorHAnsi"/>
        </w:rPr>
      </w:pPr>
      <w:proofErr w:type="spellStart"/>
      <w:r w:rsidRPr="0077093B">
        <w:rPr>
          <w:rFonts w:eastAsiaTheme="minorHAnsi"/>
        </w:rPr>
        <w:t>Jamalzadeh</w:t>
      </w:r>
      <w:proofErr w:type="spellEnd"/>
      <w:r w:rsidRPr="0077093B">
        <w:rPr>
          <w:rFonts w:eastAsiaTheme="minorHAnsi"/>
        </w:rPr>
        <w:t xml:space="preserve"> Z., </w:t>
      </w:r>
      <w:proofErr w:type="spellStart"/>
      <w:r w:rsidRPr="0077093B">
        <w:rPr>
          <w:rFonts w:eastAsiaTheme="minorHAnsi"/>
        </w:rPr>
        <w:t>Haghighi</w:t>
      </w:r>
      <w:proofErr w:type="spellEnd"/>
      <w:r w:rsidRPr="0077093B">
        <w:rPr>
          <w:rFonts w:eastAsiaTheme="minorHAnsi"/>
        </w:rPr>
        <w:t xml:space="preserve"> M., </w:t>
      </w:r>
      <w:proofErr w:type="spellStart"/>
      <w:r w:rsidRPr="0077093B">
        <w:rPr>
          <w:rFonts w:eastAsiaTheme="minorHAnsi"/>
        </w:rPr>
        <w:t>Asgari</w:t>
      </w:r>
      <w:proofErr w:type="spellEnd"/>
      <w:r w:rsidRPr="0077093B">
        <w:rPr>
          <w:rFonts w:eastAsiaTheme="minorHAnsi"/>
        </w:rPr>
        <w:t xml:space="preserve"> N., 2013, Synthesis, physicochemical characterizations and catalytic performance of </w:t>
      </w:r>
      <w:proofErr w:type="spellStart"/>
      <w:r w:rsidRPr="0077093B">
        <w:rPr>
          <w:rFonts w:eastAsiaTheme="minorHAnsi"/>
        </w:rPr>
        <w:t>Pd</w:t>
      </w:r>
      <w:proofErr w:type="spellEnd"/>
      <w:r w:rsidRPr="0077093B">
        <w:rPr>
          <w:rFonts w:eastAsiaTheme="minorHAnsi"/>
        </w:rPr>
        <w:t xml:space="preserve">/carbon-zeolite and </w:t>
      </w:r>
      <w:proofErr w:type="spellStart"/>
      <w:r w:rsidRPr="0077093B">
        <w:rPr>
          <w:rFonts w:eastAsiaTheme="minorHAnsi"/>
        </w:rPr>
        <w:t>Pd</w:t>
      </w:r>
      <w:proofErr w:type="spellEnd"/>
      <w:r w:rsidRPr="0077093B">
        <w:rPr>
          <w:rFonts w:eastAsiaTheme="minorHAnsi"/>
        </w:rPr>
        <w:t>/carbon-CeO</w:t>
      </w:r>
      <w:r w:rsidRPr="009E0E40">
        <w:rPr>
          <w:rFonts w:eastAsiaTheme="minorHAnsi"/>
          <w:vertAlign w:val="subscript"/>
        </w:rPr>
        <w:t>2</w:t>
      </w:r>
      <w:r w:rsidRPr="0077093B">
        <w:rPr>
          <w:rFonts w:eastAsiaTheme="minorHAnsi"/>
        </w:rPr>
        <w:t xml:space="preserve"> </w:t>
      </w:r>
      <w:proofErr w:type="spellStart"/>
      <w:r w:rsidRPr="0077093B">
        <w:rPr>
          <w:rFonts w:eastAsiaTheme="minorHAnsi"/>
        </w:rPr>
        <w:t>nanocatalysts</w:t>
      </w:r>
      <w:proofErr w:type="spellEnd"/>
      <w:r w:rsidRPr="0077093B">
        <w:rPr>
          <w:rFonts w:eastAsiaTheme="minorHAnsi"/>
        </w:rPr>
        <w:t xml:space="preserve"> used for total oxidation of xylene at low temperatures, Frontiers of Environmental Science &amp; Engineering, 7, 365–381.</w:t>
      </w:r>
    </w:p>
    <w:p w:rsidR="00C84B05" w:rsidRPr="0077093B" w:rsidRDefault="00C84B05" w:rsidP="00A61159">
      <w:pPr>
        <w:pStyle w:val="CETReferencetext"/>
        <w:rPr>
          <w:rFonts w:eastAsiaTheme="minorHAnsi"/>
        </w:rPr>
      </w:pPr>
      <w:proofErr w:type="spellStart"/>
      <w:r w:rsidRPr="0077093B">
        <w:rPr>
          <w:rFonts w:eastAsiaTheme="minorHAnsi"/>
        </w:rPr>
        <w:t>Kujawa</w:t>
      </w:r>
      <w:proofErr w:type="spellEnd"/>
      <w:r w:rsidRPr="0077093B">
        <w:rPr>
          <w:rFonts w:eastAsiaTheme="minorHAnsi"/>
        </w:rPr>
        <w:t xml:space="preserve"> J., </w:t>
      </w:r>
      <w:proofErr w:type="spellStart"/>
      <w:r w:rsidRPr="0077093B">
        <w:rPr>
          <w:rFonts w:eastAsiaTheme="minorHAnsi"/>
        </w:rPr>
        <w:t>Cerneaux</w:t>
      </w:r>
      <w:proofErr w:type="spellEnd"/>
      <w:r w:rsidRPr="0077093B">
        <w:rPr>
          <w:rFonts w:eastAsiaTheme="minorHAnsi"/>
        </w:rPr>
        <w:t xml:space="preserve"> S., </w:t>
      </w:r>
      <w:proofErr w:type="spellStart"/>
      <w:r w:rsidRPr="0077093B">
        <w:rPr>
          <w:rFonts w:eastAsiaTheme="minorHAnsi"/>
        </w:rPr>
        <w:t>Kujawski</w:t>
      </w:r>
      <w:proofErr w:type="spellEnd"/>
      <w:r w:rsidRPr="0077093B">
        <w:rPr>
          <w:rFonts w:eastAsiaTheme="minorHAnsi"/>
        </w:rPr>
        <w:t xml:space="preserve"> W., 2015, Removal of hazardous volatile organic compounds from water by vacuum pervaporation with hydrophobic ceramic membranes, Journal of Membrane Science, 474, 11–19.</w:t>
      </w:r>
    </w:p>
    <w:p w:rsidR="00C84B05" w:rsidRPr="0077093B" w:rsidRDefault="00C84B05" w:rsidP="00A61159">
      <w:pPr>
        <w:pStyle w:val="CETReferencetext"/>
        <w:rPr>
          <w:rFonts w:eastAsiaTheme="minorHAnsi"/>
        </w:rPr>
      </w:pPr>
      <w:proofErr w:type="spellStart"/>
      <w:r w:rsidRPr="0077093B">
        <w:rPr>
          <w:rFonts w:eastAsiaTheme="minorHAnsi"/>
        </w:rPr>
        <w:t>Kundakovic</w:t>
      </w:r>
      <w:proofErr w:type="spellEnd"/>
      <w:r w:rsidRPr="0077093B">
        <w:rPr>
          <w:rFonts w:eastAsiaTheme="minorHAnsi"/>
        </w:rPr>
        <w:t xml:space="preserve"> L., </w:t>
      </w:r>
      <w:proofErr w:type="spellStart"/>
      <w:r w:rsidRPr="0077093B">
        <w:rPr>
          <w:rFonts w:eastAsiaTheme="minorHAnsi"/>
        </w:rPr>
        <w:t>Flytzani</w:t>
      </w:r>
      <w:proofErr w:type="spellEnd"/>
      <w:r w:rsidRPr="0077093B">
        <w:rPr>
          <w:rFonts w:eastAsiaTheme="minorHAnsi"/>
        </w:rPr>
        <w:t>-Stephanopoulos M., 1999, Deep oxidation of methane over zirconia supported Ag catalysts, Applied Catalysis A: General, 183, 35</w:t>
      </w:r>
      <w:r w:rsidRPr="009E0E40">
        <w:rPr>
          <w:rFonts w:eastAsiaTheme="minorHAnsi"/>
        </w:rPr>
        <w:t>–</w:t>
      </w:r>
      <w:r w:rsidRPr="0077093B">
        <w:rPr>
          <w:rFonts w:eastAsiaTheme="minorHAnsi"/>
        </w:rPr>
        <w:t>51.</w:t>
      </w:r>
    </w:p>
    <w:p w:rsidR="00C84B05" w:rsidRPr="0077093B" w:rsidRDefault="00C84B05" w:rsidP="00A61159">
      <w:pPr>
        <w:pStyle w:val="CETReferencetext"/>
        <w:rPr>
          <w:rFonts w:eastAsiaTheme="minorHAnsi"/>
        </w:rPr>
      </w:pPr>
      <w:r w:rsidRPr="0077093B">
        <w:rPr>
          <w:rFonts w:eastAsiaTheme="minorHAnsi"/>
        </w:rPr>
        <w:t xml:space="preserve">Li S., Wang H., Li W., Wu X., Tang W., Chen Y., 2015, Effect of Cu substitution on promoted benzene oxidation over porous </w:t>
      </w:r>
      <w:proofErr w:type="spellStart"/>
      <w:r w:rsidRPr="0077093B">
        <w:rPr>
          <w:rFonts w:eastAsiaTheme="minorHAnsi"/>
        </w:rPr>
        <w:t>CuCo</w:t>
      </w:r>
      <w:proofErr w:type="spellEnd"/>
      <w:r w:rsidRPr="0077093B">
        <w:rPr>
          <w:rFonts w:eastAsiaTheme="minorHAnsi"/>
        </w:rPr>
        <w:t>-based catalysts derived from layered double hydroxide with resistance of water vapor, Applied Catalysis B: Environmental, 166-167, 260</w:t>
      </w:r>
      <w:r w:rsidRPr="009E0E40">
        <w:rPr>
          <w:rFonts w:eastAsiaTheme="minorHAnsi"/>
        </w:rPr>
        <w:t>–</w:t>
      </w:r>
      <w:r w:rsidRPr="0077093B">
        <w:rPr>
          <w:rFonts w:eastAsiaTheme="minorHAnsi"/>
        </w:rPr>
        <w:t>269.</w:t>
      </w:r>
    </w:p>
    <w:p w:rsidR="00C84B05" w:rsidRPr="00C333D8" w:rsidRDefault="00C84B05" w:rsidP="00A61159">
      <w:pPr>
        <w:pStyle w:val="CETReferencetext"/>
        <w:rPr>
          <w:rFonts w:eastAsiaTheme="minorHAnsi"/>
        </w:rPr>
      </w:pPr>
      <w:r w:rsidRPr="00C333D8">
        <w:rPr>
          <w:rFonts w:eastAsiaTheme="minorHAnsi"/>
        </w:rPr>
        <w:t xml:space="preserve">Liotta L., 2010, Catalytic oxidation of volatile organic compounds on supported noble metals, Applied </w:t>
      </w:r>
      <w:proofErr w:type="spellStart"/>
      <w:r w:rsidRPr="00C333D8">
        <w:rPr>
          <w:rFonts w:eastAsiaTheme="minorHAnsi"/>
        </w:rPr>
        <w:t>Cataysis</w:t>
      </w:r>
      <w:proofErr w:type="spellEnd"/>
      <w:r w:rsidRPr="00C333D8">
        <w:rPr>
          <w:rFonts w:eastAsiaTheme="minorHAnsi"/>
        </w:rPr>
        <w:t xml:space="preserve"> B: Environmental, 100, 403–412.</w:t>
      </w:r>
    </w:p>
    <w:p w:rsidR="00C84B05" w:rsidRPr="00C333D8" w:rsidRDefault="00C84B05" w:rsidP="00A61159">
      <w:pPr>
        <w:pStyle w:val="CETReferencetext"/>
        <w:rPr>
          <w:rFonts w:eastAsiaTheme="minorHAnsi"/>
        </w:rPr>
      </w:pPr>
      <w:proofErr w:type="spellStart"/>
      <w:r w:rsidRPr="00C333D8">
        <w:t>Minicò</w:t>
      </w:r>
      <w:proofErr w:type="spellEnd"/>
      <w:r w:rsidRPr="00C333D8">
        <w:t xml:space="preserve"> S., </w:t>
      </w:r>
      <w:proofErr w:type="spellStart"/>
      <w:r w:rsidRPr="00C333D8">
        <w:t>Scirè</w:t>
      </w:r>
      <w:proofErr w:type="spellEnd"/>
      <w:r w:rsidRPr="00C333D8">
        <w:t xml:space="preserve"> S., </w:t>
      </w:r>
      <w:proofErr w:type="spellStart"/>
      <w:r w:rsidRPr="00C333D8">
        <w:t>Crisafulli</w:t>
      </w:r>
      <w:proofErr w:type="spellEnd"/>
      <w:r w:rsidRPr="00C333D8">
        <w:t xml:space="preserve"> C., </w:t>
      </w:r>
      <w:proofErr w:type="spellStart"/>
      <w:r w:rsidRPr="00C333D8">
        <w:t>Galvagno</w:t>
      </w:r>
      <w:proofErr w:type="spellEnd"/>
      <w:r w:rsidRPr="00C333D8">
        <w:t xml:space="preserve"> S., 2001, Influence of catalyst pretreatments on volatile organic compounds oxidation over gold/iron oxide, Applied Catalysis B: Environmental, 34, 277–285.</w:t>
      </w:r>
    </w:p>
    <w:p w:rsidR="00C84B05" w:rsidRPr="00C333D8" w:rsidRDefault="00C84B05" w:rsidP="00A61159">
      <w:pPr>
        <w:pStyle w:val="CETReferencetext"/>
        <w:rPr>
          <w:rFonts w:eastAsiaTheme="minorHAnsi"/>
        </w:rPr>
      </w:pPr>
      <w:r w:rsidRPr="00C333D8">
        <w:rPr>
          <w:rFonts w:eastAsiaTheme="minorHAnsi"/>
        </w:rPr>
        <w:t>Morales-Torres S., Carrasco-</w:t>
      </w:r>
      <w:proofErr w:type="spellStart"/>
      <w:r w:rsidRPr="00C333D8">
        <w:rPr>
          <w:rFonts w:eastAsiaTheme="minorHAnsi"/>
        </w:rPr>
        <w:t>Marín</w:t>
      </w:r>
      <w:proofErr w:type="spellEnd"/>
      <w:r w:rsidRPr="00C333D8">
        <w:rPr>
          <w:rFonts w:eastAsiaTheme="minorHAnsi"/>
        </w:rPr>
        <w:t xml:space="preserve"> F., Pérez-</w:t>
      </w:r>
      <w:proofErr w:type="spellStart"/>
      <w:r w:rsidRPr="00C333D8">
        <w:rPr>
          <w:rFonts w:eastAsiaTheme="minorHAnsi"/>
        </w:rPr>
        <w:t>Cadenas</w:t>
      </w:r>
      <w:proofErr w:type="spellEnd"/>
      <w:r w:rsidRPr="00C333D8">
        <w:rPr>
          <w:rFonts w:eastAsiaTheme="minorHAnsi"/>
        </w:rPr>
        <w:t xml:space="preserve"> A.F., Maldonado-</w:t>
      </w:r>
      <w:proofErr w:type="spellStart"/>
      <w:r w:rsidRPr="00C333D8">
        <w:rPr>
          <w:rFonts w:eastAsiaTheme="minorHAnsi"/>
        </w:rPr>
        <w:t>Hódar</w:t>
      </w:r>
      <w:proofErr w:type="spellEnd"/>
      <w:r w:rsidRPr="00C333D8">
        <w:rPr>
          <w:rFonts w:eastAsiaTheme="minorHAnsi"/>
        </w:rPr>
        <w:t xml:space="preserve"> F.J., 2015, Coupling noble metals and carbon supports in the development of combustion catalysts for the abatement of BTX compounds in air streams, Catalysts, 5, 774–799.</w:t>
      </w:r>
    </w:p>
    <w:p w:rsidR="00C84B05" w:rsidRPr="00C333D8" w:rsidRDefault="00C84B05" w:rsidP="00A61159">
      <w:pPr>
        <w:pStyle w:val="CETReferencetext"/>
        <w:rPr>
          <w:rFonts w:eastAsiaTheme="minorHAnsi"/>
        </w:rPr>
      </w:pPr>
      <w:r w:rsidRPr="00C333D8">
        <w:rPr>
          <w:rFonts w:eastAsiaTheme="minorHAnsi"/>
        </w:rPr>
        <w:t>Moretti E.C., 2002, Reduce VOC and HAP emissions, Chemical Engineering Progress, 98, 30–40.</w:t>
      </w:r>
    </w:p>
    <w:p w:rsidR="00C84B05" w:rsidRPr="00C333D8" w:rsidRDefault="00C84B05" w:rsidP="00A61159">
      <w:pPr>
        <w:pStyle w:val="CETReferencetext"/>
        <w:rPr>
          <w:rFonts w:eastAsiaTheme="minorHAnsi"/>
        </w:rPr>
      </w:pPr>
      <w:proofErr w:type="spellStart"/>
      <w:r w:rsidRPr="00C333D8">
        <w:rPr>
          <w:rFonts w:eastAsiaTheme="minorHAnsi"/>
        </w:rPr>
        <w:t>Muslehiddinoglu</w:t>
      </w:r>
      <w:proofErr w:type="spellEnd"/>
      <w:r w:rsidRPr="00C333D8">
        <w:rPr>
          <w:rFonts w:eastAsiaTheme="minorHAnsi"/>
        </w:rPr>
        <w:t xml:space="preserve"> J., </w:t>
      </w:r>
      <w:proofErr w:type="spellStart"/>
      <w:r w:rsidRPr="00C333D8">
        <w:rPr>
          <w:rFonts w:eastAsiaTheme="minorHAnsi"/>
        </w:rPr>
        <w:t>Vannice</w:t>
      </w:r>
      <w:proofErr w:type="spellEnd"/>
      <w:r w:rsidRPr="00C333D8">
        <w:rPr>
          <w:rFonts w:eastAsiaTheme="minorHAnsi"/>
        </w:rPr>
        <w:t xml:space="preserve"> M.A., 2003, CO adsorption on supported and promoted Ag epoxidation catalysts, Journal of Catalysis, 213, 305–320.</w:t>
      </w:r>
    </w:p>
    <w:p w:rsidR="00C84B05" w:rsidRPr="00C333D8" w:rsidRDefault="00C84B05" w:rsidP="00A61159">
      <w:pPr>
        <w:pStyle w:val="CETReferencetext"/>
        <w:rPr>
          <w:rFonts w:eastAsiaTheme="minorHAnsi"/>
        </w:rPr>
      </w:pPr>
      <w:proofErr w:type="spellStart"/>
      <w:r w:rsidRPr="00C333D8">
        <w:rPr>
          <w:rFonts w:eastAsiaTheme="minorHAnsi"/>
        </w:rPr>
        <w:t>Ojala</w:t>
      </w:r>
      <w:proofErr w:type="spellEnd"/>
      <w:r w:rsidRPr="00C333D8">
        <w:rPr>
          <w:rFonts w:eastAsiaTheme="minorHAnsi"/>
        </w:rPr>
        <w:t xml:space="preserve"> S., </w:t>
      </w:r>
      <w:proofErr w:type="spellStart"/>
      <w:r w:rsidRPr="00C333D8">
        <w:rPr>
          <w:rFonts w:eastAsiaTheme="minorHAnsi"/>
        </w:rPr>
        <w:t>Pitkäaho</w:t>
      </w:r>
      <w:proofErr w:type="spellEnd"/>
      <w:r w:rsidRPr="00C333D8">
        <w:rPr>
          <w:rFonts w:eastAsiaTheme="minorHAnsi"/>
        </w:rPr>
        <w:t xml:space="preserve"> S., </w:t>
      </w:r>
      <w:proofErr w:type="spellStart"/>
      <w:r w:rsidRPr="00C333D8">
        <w:rPr>
          <w:rFonts w:eastAsiaTheme="minorHAnsi"/>
        </w:rPr>
        <w:t>Laitinen</w:t>
      </w:r>
      <w:proofErr w:type="spellEnd"/>
      <w:r w:rsidRPr="00C333D8">
        <w:rPr>
          <w:rFonts w:eastAsiaTheme="minorHAnsi"/>
        </w:rPr>
        <w:t xml:space="preserve"> T., </w:t>
      </w:r>
      <w:proofErr w:type="spellStart"/>
      <w:r w:rsidRPr="00C333D8">
        <w:rPr>
          <w:rFonts w:eastAsiaTheme="minorHAnsi"/>
        </w:rPr>
        <w:t>Koivikko</w:t>
      </w:r>
      <w:proofErr w:type="spellEnd"/>
      <w:r w:rsidRPr="00C333D8">
        <w:rPr>
          <w:rFonts w:eastAsiaTheme="minorHAnsi"/>
        </w:rPr>
        <w:t xml:space="preserve"> N.N., Brahmi R., </w:t>
      </w:r>
      <w:proofErr w:type="spellStart"/>
      <w:r w:rsidRPr="00C333D8">
        <w:rPr>
          <w:rFonts w:eastAsiaTheme="minorHAnsi"/>
        </w:rPr>
        <w:t>Gaàlovà</w:t>
      </w:r>
      <w:proofErr w:type="spellEnd"/>
      <w:r w:rsidRPr="00C333D8">
        <w:rPr>
          <w:rFonts w:eastAsiaTheme="minorHAnsi"/>
        </w:rPr>
        <w:t xml:space="preserve"> J., </w:t>
      </w:r>
      <w:proofErr w:type="spellStart"/>
      <w:r w:rsidRPr="00C333D8">
        <w:rPr>
          <w:rFonts w:eastAsiaTheme="minorHAnsi"/>
        </w:rPr>
        <w:t>Matejova</w:t>
      </w:r>
      <w:proofErr w:type="spellEnd"/>
      <w:r w:rsidRPr="00C333D8">
        <w:rPr>
          <w:rFonts w:eastAsiaTheme="minorHAnsi"/>
        </w:rPr>
        <w:t xml:space="preserve"> L., </w:t>
      </w:r>
      <w:proofErr w:type="spellStart"/>
      <w:r w:rsidRPr="00C333D8">
        <w:rPr>
          <w:rFonts w:eastAsiaTheme="minorHAnsi"/>
        </w:rPr>
        <w:t>Kucherov</w:t>
      </w:r>
      <w:proofErr w:type="spellEnd"/>
      <w:r w:rsidRPr="00C333D8">
        <w:rPr>
          <w:rFonts w:eastAsiaTheme="minorHAnsi"/>
        </w:rPr>
        <w:t xml:space="preserve"> A., </w:t>
      </w:r>
      <w:proofErr w:type="spellStart"/>
      <w:r w:rsidRPr="00C333D8">
        <w:rPr>
          <w:rFonts w:eastAsiaTheme="minorHAnsi"/>
        </w:rPr>
        <w:t>Päivärinta</w:t>
      </w:r>
      <w:proofErr w:type="spellEnd"/>
      <w:r w:rsidRPr="00C333D8">
        <w:rPr>
          <w:rFonts w:eastAsiaTheme="minorHAnsi"/>
        </w:rPr>
        <w:t xml:space="preserve"> S., </w:t>
      </w:r>
      <w:proofErr w:type="spellStart"/>
      <w:r w:rsidRPr="00C333D8">
        <w:rPr>
          <w:rFonts w:eastAsiaTheme="minorHAnsi"/>
        </w:rPr>
        <w:t>Hirschmann</w:t>
      </w:r>
      <w:proofErr w:type="spellEnd"/>
      <w:r w:rsidRPr="00C333D8">
        <w:rPr>
          <w:rFonts w:eastAsiaTheme="minorHAnsi"/>
        </w:rPr>
        <w:t xml:space="preserve"> C., 2011, Catalysis in VOC abatement, Topics in Catalysis, 54, 1224–1256.</w:t>
      </w:r>
    </w:p>
    <w:p w:rsidR="00C84B05" w:rsidRPr="00C333D8" w:rsidRDefault="00C84B05" w:rsidP="00A61159">
      <w:pPr>
        <w:pStyle w:val="CETReferencetext"/>
        <w:rPr>
          <w:rFonts w:eastAsiaTheme="minorHAnsi"/>
        </w:rPr>
      </w:pPr>
      <w:r w:rsidRPr="00C333D8">
        <w:rPr>
          <w:rFonts w:eastAsiaTheme="minorHAnsi"/>
        </w:rPr>
        <w:t xml:space="preserve">Olsen E., Nielsen F., 2001, Predicting </w:t>
      </w:r>
      <w:proofErr w:type="spellStart"/>
      <w:r w:rsidRPr="00C333D8">
        <w:rPr>
          <w:rFonts w:eastAsiaTheme="minorHAnsi"/>
        </w:rPr>
        <w:t>vapour</w:t>
      </w:r>
      <w:proofErr w:type="spellEnd"/>
      <w:r w:rsidRPr="00C333D8">
        <w:rPr>
          <w:rFonts w:eastAsiaTheme="minorHAnsi"/>
        </w:rPr>
        <w:t xml:space="preserve"> pressures of organic compounds from their chemical structure for classification according to the VOC directive and risk assessment in general, Molecules 6, 370–389.</w:t>
      </w:r>
    </w:p>
    <w:p w:rsidR="00C84B05" w:rsidRPr="00C333D8" w:rsidRDefault="00C84B05" w:rsidP="00A61159">
      <w:pPr>
        <w:pStyle w:val="CETReferencetext"/>
        <w:rPr>
          <w:rFonts w:eastAsiaTheme="minorHAnsi"/>
        </w:rPr>
      </w:pPr>
      <w:proofErr w:type="spellStart"/>
      <w:r w:rsidRPr="00C333D8">
        <w:t>Papaefthimiou</w:t>
      </w:r>
      <w:proofErr w:type="spellEnd"/>
      <w:r w:rsidRPr="00C333D8">
        <w:t xml:space="preserve"> P., Ioannides T., </w:t>
      </w:r>
      <w:proofErr w:type="spellStart"/>
      <w:r w:rsidRPr="00C333D8">
        <w:t>Verykios</w:t>
      </w:r>
      <w:proofErr w:type="spellEnd"/>
      <w:r w:rsidRPr="00C333D8">
        <w:t xml:space="preserve"> X.E., 1997, Combustion of non-halogenated volatile organic compounds over group VIII metal catalysts, Applied Catalysis B: Environmental, 13, 175–184.</w:t>
      </w:r>
    </w:p>
    <w:p w:rsidR="00C84B05" w:rsidRPr="0077093B" w:rsidRDefault="00C84B05" w:rsidP="00A61159">
      <w:pPr>
        <w:pStyle w:val="CETReferencetext"/>
        <w:rPr>
          <w:rFonts w:eastAsiaTheme="minorHAnsi"/>
        </w:rPr>
      </w:pPr>
      <w:r w:rsidRPr="0077093B">
        <w:rPr>
          <w:rFonts w:eastAsiaTheme="minorHAnsi"/>
        </w:rPr>
        <w:t>Peng J., Wang S., 2007, Performance and characterization of supported metal catalysts for complete   oxidation of formaldehyde at low temperatures, Applied Catalysis B: Environmental, 73, 282–291.</w:t>
      </w:r>
    </w:p>
    <w:p w:rsidR="00C84B05" w:rsidRPr="0077093B" w:rsidRDefault="00C84B05" w:rsidP="00A61159">
      <w:pPr>
        <w:pStyle w:val="CETReferencetext"/>
        <w:rPr>
          <w:rFonts w:eastAsiaTheme="minorHAnsi"/>
        </w:rPr>
      </w:pPr>
      <w:r w:rsidRPr="0077093B">
        <w:rPr>
          <w:rFonts w:eastAsiaTheme="minorHAnsi"/>
        </w:rPr>
        <w:t xml:space="preserve">Quiroz Torres J., Royer S., </w:t>
      </w:r>
      <w:proofErr w:type="spellStart"/>
      <w:r w:rsidRPr="0077093B">
        <w:rPr>
          <w:rFonts w:eastAsiaTheme="minorHAnsi"/>
        </w:rPr>
        <w:t>Bellat</w:t>
      </w:r>
      <w:proofErr w:type="spellEnd"/>
      <w:r w:rsidRPr="0077093B">
        <w:rPr>
          <w:rFonts w:eastAsiaTheme="minorHAnsi"/>
        </w:rPr>
        <w:t xml:space="preserve"> J.-P., </w:t>
      </w:r>
      <w:proofErr w:type="spellStart"/>
      <w:r w:rsidRPr="0077093B">
        <w:rPr>
          <w:rFonts w:eastAsiaTheme="minorHAnsi"/>
        </w:rPr>
        <w:t>Giraudon</w:t>
      </w:r>
      <w:proofErr w:type="spellEnd"/>
      <w:r w:rsidRPr="0077093B">
        <w:rPr>
          <w:rFonts w:eastAsiaTheme="minorHAnsi"/>
        </w:rPr>
        <w:t xml:space="preserve"> J.-M., </w:t>
      </w:r>
      <w:proofErr w:type="spellStart"/>
      <w:r w:rsidRPr="0077093B">
        <w:rPr>
          <w:rFonts w:eastAsiaTheme="minorHAnsi"/>
        </w:rPr>
        <w:t>Lamonier</w:t>
      </w:r>
      <w:proofErr w:type="spellEnd"/>
      <w:r w:rsidRPr="0077093B">
        <w:rPr>
          <w:rFonts w:eastAsiaTheme="minorHAnsi"/>
        </w:rPr>
        <w:t xml:space="preserve"> J.-F., 2013, Formaldehyde: Catalytic oxidation as a promising soft way of elimination, </w:t>
      </w:r>
      <w:proofErr w:type="spellStart"/>
      <w:r w:rsidRPr="0077093B">
        <w:rPr>
          <w:rFonts w:eastAsiaTheme="minorHAnsi"/>
        </w:rPr>
        <w:t>ChemSusChem</w:t>
      </w:r>
      <w:proofErr w:type="spellEnd"/>
      <w:r w:rsidRPr="0077093B">
        <w:rPr>
          <w:rFonts w:eastAsiaTheme="minorHAnsi"/>
        </w:rPr>
        <w:t>, 6, 578–592.</w:t>
      </w:r>
    </w:p>
    <w:p w:rsidR="00C84B05" w:rsidRDefault="00C84B05" w:rsidP="00A61159">
      <w:pPr>
        <w:pStyle w:val="CETReferencetext"/>
        <w:rPr>
          <w:rFonts w:eastAsiaTheme="minorHAnsi"/>
        </w:rPr>
      </w:pPr>
      <w:r w:rsidRPr="009E0E40">
        <w:rPr>
          <w:rFonts w:eastAsiaTheme="minorHAnsi"/>
        </w:rPr>
        <w:t>Roland</w:t>
      </w:r>
      <w:r w:rsidRPr="00B0456F">
        <w:rPr>
          <w:rFonts w:eastAsiaTheme="minorHAnsi"/>
        </w:rPr>
        <w:t xml:space="preserve"> </w:t>
      </w:r>
      <w:r>
        <w:rPr>
          <w:rFonts w:eastAsiaTheme="minorHAnsi"/>
        </w:rPr>
        <w:t>U., Kraus</w:t>
      </w:r>
      <w:r w:rsidRPr="00B0456F">
        <w:rPr>
          <w:rFonts w:eastAsiaTheme="minorHAnsi"/>
        </w:rPr>
        <w:t xml:space="preserve"> </w:t>
      </w:r>
      <w:r>
        <w:rPr>
          <w:rFonts w:eastAsiaTheme="minorHAnsi"/>
        </w:rPr>
        <w:t xml:space="preserve">M., </w:t>
      </w:r>
      <w:proofErr w:type="spellStart"/>
      <w:r>
        <w:rPr>
          <w:rFonts w:eastAsiaTheme="minorHAnsi"/>
        </w:rPr>
        <w:t>Holzer</w:t>
      </w:r>
      <w:proofErr w:type="spellEnd"/>
      <w:r w:rsidRPr="00B0456F">
        <w:rPr>
          <w:rFonts w:eastAsiaTheme="minorHAnsi"/>
        </w:rPr>
        <w:t xml:space="preserve"> </w:t>
      </w:r>
      <w:r>
        <w:rPr>
          <w:rFonts w:eastAsiaTheme="minorHAnsi"/>
        </w:rPr>
        <w:t xml:space="preserve">F., </w:t>
      </w:r>
      <w:proofErr w:type="spellStart"/>
      <w:r>
        <w:rPr>
          <w:rFonts w:eastAsiaTheme="minorHAnsi"/>
        </w:rPr>
        <w:t>Trommler</w:t>
      </w:r>
      <w:proofErr w:type="spellEnd"/>
      <w:r w:rsidRPr="00B0456F">
        <w:rPr>
          <w:rFonts w:eastAsiaTheme="minorHAnsi"/>
        </w:rPr>
        <w:t xml:space="preserve"> </w:t>
      </w:r>
      <w:r>
        <w:rPr>
          <w:rFonts w:eastAsiaTheme="minorHAnsi"/>
        </w:rPr>
        <w:t xml:space="preserve">U., </w:t>
      </w:r>
      <w:proofErr w:type="spellStart"/>
      <w:r w:rsidRPr="009E0E40">
        <w:rPr>
          <w:rFonts w:eastAsiaTheme="minorHAnsi"/>
        </w:rPr>
        <w:t>Kopinke</w:t>
      </w:r>
      <w:proofErr w:type="spellEnd"/>
      <w:r w:rsidRPr="00B0456F">
        <w:rPr>
          <w:rFonts w:eastAsiaTheme="minorHAnsi"/>
        </w:rPr>
        <w:t xml:space="preserve"> </w:t>
      </w:r>
      <w:r>
        <w:rPr>
          <w:rFonts w:eastAsiaTheme="minorHAnsi"/>
        </w:rPr>
        <w:t xml:space="preserve">F.-D., </w:t>
      </w:r>
      <w:r w:rsidRPr="009E0E40">
        <w:rPr>
          <w:rFonts w:eastAsiaTheme="minorHAnsi"/>
        </w:rPr>
        <w:t>2014</w:t>
      </w:r>
      <w:r>
        <w:rPr>
          <w:rFonts w:eastAsiaTheme="minorHAnsi"/>
        </w:rPr>
        <w:t xml:space="preserve">, </w:t>
      </w:r>
      <w:r w:rsidRPr="009E0E40">
        <w:rPr>
          <w:rFonts w:eastAsiaTheme="minorHAnsi"/>
        </w:rPr>
        <w:t>Selective dielectric heating for efficient adsorptive-catalytic cleaning</w:t>
      </w:r>
      <w:r>
        <w:rPr>
          <w:rFonts w:eastAsiaTheme="minorHAnsi"/>
        </w:rPr>
        <w:t xml:space="preserve"> </w:t>
      </w:r>
      <w:r w:rsidRPr="009E0E40">
        <w:rPr>
          <w:rFonts w:eastAsiaTheme="minorHAnsi"/>
        </w:rPr>
        <w:t>of contaminated gas streams</w:t>
      </w:r>
      <w:r>
        <w:rPr>
          <w:rFonts w:eastAsiaTheme="minorHAnsi"/>
        </w:rPr>
        <w:t xml:space="preserve">, </w:t>
      </w:r>
      <w:r w:rsidRPr="009E0E40">
        <w:rPr>
          <w:rFonts w:eastAsiaTheme="minorHAnsi"/>
        </w:rPr>
        <w:t>Applied Catalysis A: General</w:t>
      </w:r>
      <w:r>
        <w:rPr>
          <w:rFonts w:eastAsiaTheme="minorHAnsi"/>
        </w:rPr>
        <w:t xml:space="preserve">, 474, </w:t>
      </w:r>
      <w:r w:rsidRPr="009E0E40">
        <w:rPr>
          <w:rFonts w:eastAsiaTheme="minorHAnsi"/>
        </w:rPr>
        <w:t>244–249</w:t>
      </w:r>
      <w:r>
        <w:rPr>
          <w:rFonts w:eastAsiaTheme="minorHAnsi"/>
        </w:rPr>
        <w:t>.</w:t>
      </w:r>
    </w:p>
    <w:p w:rsidR="00C84B05" w:rsidRPr="0077093B" w:rsidRDefault="00C84B05" w:rsidP="00A61159">
      <w:pPr>
        <w:pStyle w:val="CETReferencetext"/>
        <w:rPr>
          <w:rFonts w:eastAsiaTheme="minorHAnsi"/>
        </w:rPr>
      </w:pPr>
      <w:proofErr w:type="spellStart"/>
      <w:r w:rsidRPr="0077093B">
        <w:rPr>
          <w:rFonts w:eastAsiaTheme="minorHAnsi"/>
        </w:rPr>
        <w:t>Santra</w:t>
      </w:r>
      <w:proofErr w:type="spellEnd"/>
      <w:r w:rsidRPr="0077093B">
        <w:rPr>
          <w:rFonts w:eastAsiaTheme="minorHAnsi"/>
        </w:rPr>
        <w:t xml:space="preserve"> S., </w:t>
      </w:r>
      <w:proofErr w:type="spellStart"/>
      <w:r w:rsidRPr="0077093B">
        <w:rPr>
          <w:rFonts w:eastAsiaTheme="minorHAnsi"/>
        </w:rPr>
        <w:t>Hota</w:t>
      </w:r>
      <w:proofErr w:type="spellEnd"/>
      <w:r w:rsidRPr="0077093B">
        <w:rPr>
          <w:rFonts w:eastAsiaTheme="minorHAnsi"/>
        </w:rPr>
        <w:t xml:space="preserve"> P.K., Bhattacharyya R., </w:t>
      </w:r>
      <w:proofErr w:type="spellStart"/>
      <w:r w:rsidRPr="0077093B">
        <w:rPr>
          <w:rFonts w:eastAsiaTheme="minorHAnsi"/>
        </w:rPr>
        <w:t>Bera</w:t>
      </w:r>
      <w:proofErr w:type="spellEnd"/>
      <w:r w:rsidRPr="0077093B">
        <w:rPr>
          <w:rFonts w:eastAsiaTheme="minorHAnsi"/>
        </w:rPr>
        <w:t xml:space="preserve"> P., Ghosh P., Mandal S.K., 2013, Palladium nanoparticles on graphite oxide: A recyclable catalyst for the synthesis of </w:t>
      </w:r>
      <w:proofErr w:type="spellStart"/>
      <w:r w:rsidRPr="0077093B">
        <w:rPr>
          <w:rFonts w:eastAsiaTheme="minorHAnsi"/>
        </w:rPr>
        <w:t>biaryl</w:t>
      </w:r>
      <w:proofErr w:type="spellEnd"/>
      <w:r w:rsidRPr="0077093B">
        <w:rPr>
          <w:rFonts w:eastAsiaTheme="minorHAnsi"/>
        </w:rPr>
        <w:t xml:space="preserve"> cores, ACS Catalysis, 3, 2776–2789.</w:t>
      </w:r>
    </w:p>
    <w:p w:rsidR="00C84B05" w:rsidRDefault="00C84B05" w:rsidP="00A61159">
      <w:pPr>
        <w:pStyle w:val="CETReferencetext"/>
        <w:rPr>
          <w:rFonts w:eastAsiaTheme="minorHAnsi"/>
        </w:rPr>
      </w:pPr>
      <w:proofErr w:type="spellStart"/>
      <w:r w:rsidRPr="0077093B">
        <w:rPr>
          <w:rFonts w:eastAsiaTheme="minorHAnsi"/>
        </w:rPr>
        <w:t>Sarno</w:t>
      </w:r>
      <w:proofErr w:type="spellEnd"/>
      <w:r w:rsidRPr="0077093B">
        <w:rPr>
          <w:rFonts w:eastAsiaTheme="minorHAnsi"/>
        </w:rPr>
        <w:t xml:space="preserve"> M., </w:t>
      </w:r>
      <w:proofErr w:type="spellStart"/>
      <w:r w:rsidRPr="0077093B">
        <w:rPr>
          <w:rFonts w:eastAsiaTheme="minorHAnsi"/>
        </w:rPr>
        <w:t>Baldino</w:t>
      </w:r>
      <w:proofErr w:type="spellEnd"/>
      <w:r w:rsidRPr="0077093B">
        <w:rPr>
          <w:rFonts w:eastAsiaTheme="minorHAnsi"/>
        </w:rPr>
        <w:t xml:space="preserve"> L., </w:t>
      </w:r>
      <w:proofErr w:type="spellStart"/>
      <w:r w:rsidRPr="0077093B">
        <w:rPr>
          <w:rFonts w:eastAsiaTheme="minorHAnsi"/>
        </w:rPr>
        <w:t>Scudieri</w:t>
      </w:r>
      <w:proofErr w:type="spellEnd"/>
      <w:r w:rsidRPr="0077093B">
        <w:rPr>
          <w:rFonts w:eastAsiaTheme="minorHAnsi"/>
        </w:rPr>
        <w:t xml:space="preserve"> C., Cardea S., </w:t>
      </w:r>
      <w:proofErr w:type="spellStart"/>
      <w:r w:rsidRPr="0077093B">
        <w:rPr>
          <w:rFonts w:eastAsiaTheme="minorHAnsi"/>
        </w:rPr>
        <w:t>Ciambelli</w:t>
      </w:r>
      <w:proofErr w:type="spellEnd"/>
      <w:r w:rsidRPr="0077093B">
        <w:rPr>
          <w:rFonts w:eastAsiaTheme="minorHAnsi"/>
        </w:rPr>
        <w:t xml:space="preserve"> P., </w:t>
      </w:r>
      <w:proofErr w:type="spellStart"/>
      <w:r w:rsidRPr="0077093B">
        <w:rPr>
          <w:rFonts w:eastAsiaTheme="minorHAnsi"/>
        </w:rPr>
        <w:t>Reverchon</w:t>
      </w:r>
      <w:proofErr w:type="spellEnd"/>
      <w:r w:rsidRPr="0077093B">
        <w:rPr>
          <w:rFonts w:eastAsiaTheme="minorHAnsi"/>
        </w:rPr>
        <w:t xml:space="preserve"> E., 2017</w:t>
      </w:r>
      <w:r>
        <w:rPr>
          <w:rFonts w:eastAsiaTheme="minorHAnsi"/>
        </w:rPr>
        <w:t>a</w:t>
      </w:r>
      <w:r w:rsidRPr="0077093B">
        <w:rPr>
          <w:rFonts w:eastAsiaTheme="minorHAnsi"/>
        </w:rPr>
        <w:t>, SC-CO</w:t>
      </w:r>
      <w:r w:rsidRPr="0077093B">
        <w:rPr>
          <w:rFonts w:eastAsiaTheme="minorHAnsi"/>
          <w:vertAlign w:val="subscript"/>
        </w:rPr>
        <w:t>2</w:t>
      </w:r>
      <w:r w:rsidRPr="0077093B">
        <w:rPr>
          <w:rFonts w:eastAsiaTheme="minorHAnsi"/>
        </w:rPr>
        <w:t xml:space="preserve">-assisted process for a high energy density </w:t>
      </w:r>
      <w:proofErr w:type="spellStart"/>
      <w:r w:rsidRPr="0077093B">
        <w:rPr>
          <w:rFonts w:eastAsiaTheme="minorHAnsi"/>
        </w:rPr>
        <w:t>aereogel</w:t>
      </w:r>
      <w:proofErr w:type="spellEnd"/>
      <w:r w:rsidRPr="0077093B">
        <w:rPr>
          <w:rFonts w:eastAsiaTheme="minorHAnsi"/>
        </w:rPr>
        <w:t xml:space="preserve"> supercapacitor: The effect of GO loading, Nanotechnology, 28,</w:t>
      </w:r>
      <w:r w:rsidRPr="0077093B">
        <w:t xml:space="preserve"> </w:t>
      </w:r>
      <w:r w:rsidRPr="0077093B">
        <w:rPr>
          <w:rFonts w:eastAsiaTheme="minorHAnsi"/>
        </w:rPr>
        <w:t xml:space="preserve">204001. </w:t>
      </w:r>
    </w:p>
    <w:p w:rsidR="00C84B05" w:rsidRPr="0077093B" w:rsidRDefault="00C84B05" w:rsidP="00A61159">
      <w:pPr>
        <w:pStyle w:val="CETReferencetext"/>
        <w:rPr>
          <w:rFonts w:eastAsiaTheme="minorHAnsi"/>
        </w:rPr>
      </w:pPr>
      <w:proofErr w:type="spellStart"/>
      <w:r w:rsidRPr="0077093B">
        <w:rPr>
          <w:rFonts w:eastAsiaTheme="minorHAnsi"/>
        </w:rPr>
        <w:t>Sarno</w:t>
      </w:r>
      <w:proofErr w:type="spellEnd"/>
      <w:r w:rsidRPr="0077093B">
        <w:rPr>
          <w:rFonts w:eastAsiaTheme="minorHAnsi"/>
        </w:rPr>
        <w:t xml:space="preserve"> M., Casa M., 2018, A new one step scalable green synthesis to optimize Ag/Graphene hybrid supercapacitor performance, Journal of Physics and Chemistry of Solids, 120, 241</w:t>
      </w:r>
      <w:r w:rsidRPr="009E0E40">
        <w:rPr>
          <w:rFonts w:eastAsiaTheme="minorHAnsi"/>
        </w:rPr>
        <w:t>–</w:t>
      </w:r>
      <w:r w:rsidRPr="0077093B">
        <w:rPr>
          <w:rFonts w:eastAsiaTheme="minorHAnsi"/>
        </w:rPr>
        <w:t>249.</w:t>
      </w:r>
    </w:p>
    <w:p w:rsidR="00C84B05" w:rsidRDefault="00C84B05" w:rsidP="00A61159">
      <w:pPr>
        <w:pStyle w:val="CETReferencetext"/>
        <w:rPr>
          <w:rFonts w:eastAsiaTheme="minorHAnsi"/>
        </w:rPr>
      </w:pPr>
      <w:proofErr w:type="spellStart"/>
      <w:r w:rsidRPr="0077093B">
        <w:rPr>
          <w:rFonts w:eastAsiaTheme="minorHAnsi"/>
        </w:rPr>
        <w:t>Sarno</w:t>
      </w:r>
      <w:proofErr w:type="spellEnd"/>
      <w:r w:rsidRPr="0077093B">
        <w:rPr>
          <w:rFonts w:eastAsiaTheme="minorHAnsi"/>
        </w:rPr>
        <w:t xml:space="preserve"> M., </w:t>
      </w:r>
      <w:proofErr w:type="spellStart"/>
      <w:r w:rsidRPr="0077093B">
        <w:rPr>
          <w:rFonts w:eastAsiaTheme="minorHAnsi"/>
        </w:rPr>
        <w:t>Cirillo</w:t>
      </w:r>
      <w:proofErr w:type="spellEnd"/>
      <w:r w:rsidRPr="0077093B">
        <w:rPr>
          <w:rFonts w:eastAsiaTheme="minorHAnsi"/>
        </w:rPr>
        <w:t xml:space="preserve"> C., 2018, Graphene aerogel for the removal of bad smells from recycling of post-consumer polymers, Chemical Engineering Transactions, 68, 529</w:t>
      </w:r>
      <w:r w:rsidRPr="009E0E40">
        <w:rPr>
          <w:rFonts w:eastAsiaTheme="minorHAnsi"/>
        </w:rPr>
        <w:t>–</w:t>
      </w:r>
      <w:r w:rsidRPr="0077093B">
        <w:rPr>
          <w:rFonts w:eastAsiaTheme="minorHAnsi"/>
        </w:rPr>
        <w:t>534.</w:t>
      </w:r>
    </w:p>
    <w:p w:rsidR="00C84B05" w:rsidRPr="00816320" w:rsidRDefault="00C84B05" w:rsidP="00A61159">
      <w:pPr>
        <w:pStyle w:val="CETReferencetext"/>
        <w:rPr>
          <w:rFonts w:eastAsiaTheme="minorHAnsi"/>
        </w:rPr>
      </w:pPr>
      <w:proofErr w:type="spellStart"/>
      <w:r w:rsidRPr="00816320">
        <w:rPr>
          <w:rFonts w:eastAsiaTheme="minorHAnsi"/>
        </w:rPr>
        <w:t>Sarno</w:t>
      </w:r>
      <w:proofErr w:type="spellEnd"/>
      <w:r w:rsidRPr="00816320">
        <w:rPr>
          <w:rFonts w:eastAsiaTheme="minorHAnsi"/>
        </w:rPr>
        <w:t xml:space="preserve"> M., </w:t>
      </w:r>
      <w:proofErr w:type="spellStart"/>
      <w:r>
        <w:rPr>
          <w:rFonts w:eastAsiaTheme="minorHAnsi"/>
        </w:rPr>
        <w:t>Ponticorvo</w:t>
      </w:r>
      <w:proofErr w:type="spellEnd"/>
      <w:r>
        <w:rPr>
          <w:rFonts w:eastAsiaTheme="minorHAnsi"/>
        </w:rPr>
        <w:t xml:space="preserve"> E., </w:t>
      </w:r>
      <w:proofErr w:type="spellStart"/>
      <w:r>
        <w:rPr>
          <w:rFonts w:eastAsiaTheme="minorHAnsi"/>
        </w:rPr>
        <w:t>Cirillo</w:t>
      </w:r>
      <w:proofErr w:type="spellEnd"/>
      <w:r>
        <w:rPr>
          <w:rFonts w:eastAsiaTheme="minorHAnsi"/>
        </w:rPr>
        <w:t xml:space="preserve"> C., 2016</w:t>
      </w:r>
      <w:r w:rsidRPr="00816320">
        <w:rPr>
          <w:rFonts w:eastAsiaTheme="minorHAnsi"/>
        </w:rPr>
        <w:t>, High surface area mono dispersed Fe</w:t>
      </w:r>
      <w:r w:rsidRPr="009B1B75">
        <w:rPr>
          <w:rFonts w:eastAsiaTheme="minorHAnsi"/>
          <w:vertAlign w:val="subscript"/>
        </w:rPr>
        <w:t>3</w:t>
      </w:r>
      <w:r w:rsidRPr="00816320">
        <w:rPr>
          <w:rFonts w:eastAsiaTheme="minorHAnsi"/>
        </w:rPr>
        <w:t>O</w:t>
      </w:r>
      <w:r w:rsidRPr="009B1B75">
        <w:rPr>
          <w:rFonts w:eastAsiaTheme="minorHAnsi"/>
          <w:vertAlign w:val="subscript"/>
        </w:rPr>
        <w:t>4</w:t>
      </w:r>
      <w:r w:rsidRPr="00816320">
        <w:rPr>
          <w:rFonts w:eastAsiaTheme="minorHAnsi"/>
        </w:rPr>
        <w:t xml:space="preserve"> nanoparticles alone and on physical exfoliated graphite for improved supercapacitors, Journal of Physics and Chemistry of Solids, 99, 138–147.</w:t>
      </w:r>
    </w:p>
    <w:p w:rsidR="00C84B05" w:rsidRPr="00816320" w:rsidRDefault="00C84B05" w:rsidP="00A61159">
      <w:pPr>
        <w:pStyle w:val="CETReferencetext"/>
        <w:rPr>
          <w:rFonts w:eastAsiaTheme="minorHAnsi"/>
        </w:rPr>
      </w:pPr>
      <w:proofErr w:type="spellStart"/>
      <w:r w:rsidRPr="00816320">
        <w:rPr>
          <w:rFonts w:eastAsiaTheme="minorHAnsi"/>
        </w:rPr>
        <w:t>Sarno</w:t>
      </w:r>
      <w:proofErr w:type="spellEnd"/>
      <w:r w:rsidRPr="00816320">
        <w:rPr>
          <w:rFonts w:eastAsiaTheme="minorHAnsi"/>
        </w:rPr>
        <w:t xml:space="preserve"> M., </w:t>
      </w:r>
      <w:proofErr w:type="spellStart"/>
      <w:r w:rsidRPr="00816320">
        <w:rPr>
          <w:rFonts w:eastAsiaTheme="minorHAnsi"/>
        </w:rPr>
        <w:t>Scudieri</w:t>
      </w:r>
      <w:proofErr w:type="spellEnd"/>
      <w:r w:rsidRPr="00816320">
        <w:rPr>
          <w:rFonts w:eastAsiaTheme="minorHAnsi"/>
        </w:rPr>
        <w:t xml:space="preserve"> C., Longo A., </w:t>
      </w:r>
      <w:proofErr w:type="spellStart"/>
      <w:r w:rsidRPr="00816320">
        <w:rPr>
          <w:rFonts w:eastAsiaTheme="minorHAnsi"/>
        </w:rPr>
        <w:t>Ciambelli</w:t>
      </w:r>
      <w:proofErr w:type="spellEnd"/>
      <w:r w:rsidRPr="00816320">
        <w:rPr>
          <w:rFonts w:eastAsiaTheme="minorHAnsi"/>
        </w:rPr>
        <w:t xml:space="preserve"> P., 2017</w:t>
      </w:r>
      <w:r>
        <w:rPr>
          <w:rFonts w:eastAsiaTheme="minorHAnsi"/>
        </w:rPr>
        <w:t>b</w:t>
      </w:r>
      <w:r w:rsidRPr="00816320">
        <w:rPr>
          <w:rFonts w:eastAsiaTheme="minorHAnsi"/>
        </w:rPr>
        <w:t xml:space="preserve">, Graphene Oxide as a novel </w:t>
      </w:r>
      <w:proofErr w:type="spellStart"/>
      <w:r w:rsidRPr="00816320">
        <w:rPr>
          <w:rFonts w:eastAsiaTheme="minorHAnsi"/>
        </w:rPr>
        <w:t>nanoplatform</w:t>
      </w:r>
      <w:proofErr w:type="spellEnd"/>
      <w:r w:rsidRPr="00816320">
        <w:rPr>
          <w:rFonts w:eastAsiaTheme="minorHAnsi"/>
        </w:rPr>
        <w:t xml:space="preserve"> for electrochemical detection of Arsenic (III), Chemical Engineering Transactions, 60, 13-18.</w:t>
      </w:r>
    </w:p>
    <w:p w:rsidR="00C84B05" w:rsidRPr="00C526DE" w:rsidRDefault="00C84B05" w:rsidP="00A61159">
      <w:pPr>
        <w:pStyle w:val="CETReferencetext"/>
        <w:rPr>
          <w:rFonts w:eastAsiaTheme="minorHAnsi"/>
        </w:rPr>
      </w:pPr>
      <w:proofErr w:type="spellStart"/>
      <w:r>
        <w:rPr>
          <w:rFonts w:eastAsiaTheme="minorHAnsi"/>
        </w:rPr>
        <w:t>Tomatis</w:t>
      </w:r>
      <w:proofErr w:type="spellEnd"/>
      <w:r w:rsidRPr="00EB618F">
        <w:rPr>
          <w:rFonts w:eastAsiaTheme="minorHAnsi"/>
        </w:rPr>
        <w:t xml:space="preserve"> </w:t>
      </w:r>
      <w:r>
        <w:rPr>
          <w:rFonts w:eastAsiaTheme="minorHAnsi"/>
        </w:rPr>
        <w:t>M., H.-H,</w:t>
      </w:r>
      <w:r w:rsidRPr="00C526DE">
        <w:rPr>
          <w:rFonts w:eastAsiaTheme="minorHAnsi"/>
        </w:rPr>
        <w:t xml:space="preserve"> Xu,</w:t>
      </w:r>
      <w:r>
        <w:rPr>
          <w:rFonts w:eastAsiaTheme="minorHAnsi"/>
        </w:rPr>
        <w:t xml:space="preserve"> J. He, X.-D. Zhang, 2016, </w:t>
      </w:r>
      <w:r w:rsidRPr="00C526DE">
        <w:rPr>
          <w:rFonts w:eastAsiaTheme="minorHAnsi"/>
        </w:rPr>
        <w:t>Recent Development of Ca</w:t>
      </w:r>
      <w:r>
        <w:rPr>
          <w:rFonts w:eastAsiaTheme="minorHAnsi"/>
        </w:rPr>
        <w:t xml:space="preserve">talysts for Removal of Volatile </w:t>
      </w:r>
      <w:r w:rsidRPr="00C526DE">
        <w:rPr>
          <w:rFonts w:eastAsiaTheme="minorHAnsi"/>
        </w:rPr>
        <w:t>Organic Compounds in Flue Gas by Combustion: A Review</w:t>
      </w:r>
      <w:r>
        <w:rPr>
          <w:rFonts w:eastAsiaTheme="minorHAnsi"/>
        </w:rPr>
        <w:t xml:space="preserve">, </w:t>
      </w:r>
      <w:r w:rsidRPr="004E1C5E">
        <w:rPr>
          <w:rFonts w:eastAsiaTheme="minorHAnsi"/>
        </w:rPr>
        <w:t>Journal of Chemistry</w:t>
      </w:r>
      <w:r>
        <w:rPr>
          <w:rFonts w:eastAsiaTheme="minorHAnsi"/>
        </w:rPr>
        <w:t xml:space="preserve">, 2016, </w:t>
      </w:r>
      <w:r w:rsidRPr="004E1C5E">
        <w:rPr>
          <w:rFonts w:eastAsiaTheme="minorHAnsi"/>
        </w:rPr>
        <w:t>8324826,</w:t>
      </w:r>
      <w:r>
        <w:rPr>
          <w:rFonts w:eastAsiaTheme="minorHAnsi"/>
        </w:rPr>
        <w:t>15 pages.</w:t>
      </w:r>
    </w:p>
    <w:p w:rsidR="00C84B05" w:rsidRDefault="00C84B05" w:rsidP="00A61159">
      <w:pPr>
        <w:pStyle w:val="CETReferencetext"/>
        <w:rPr>
          <w:rFonts w:eastAsiaTheme="minorHAnsi"/>
        </w:rPr>
      </w:pPr>
      <w:r w:rsidRPr="00816320">
        <w:rPr>
          <w:rFonts w:eastAsiaTheme="minorHAnsi"/>
        </w:rPr>
        <w:t xml:space="preserve">Tsai C.-H., </w:t>
      </w:r>
      <w:proofErr w:type="spellStart"/>
      <w:r w:rsidRPr="00816320">
        <w:rPr>
          <w:rFonts w:eastAsiaTheme="minorHAnsi"/>
        </w:rPr>
        <w:t>Fei</w:t>
      </w:r>
      <w:proofErr w:type="spellEnd"/>
      <w:r w:rsidRPr="00816320">
        <w:rPr>
          <w:rFonts w:eastAsiaTheme="minorHAnsi"/>
        </w:rPr>
        <w:t xml:space="preserve"> P.-H., Lin C.-M., </w:t>
      </w:r>
      <w:proofErr w:type="spellStart"/>
      <w:r w:rsidRPr="00816320">
        <w:rPr>
          <w:rFonts w:eastAsiaTheme="minorHAnsi"/>
        </w:rPr>
        <w:t>Shiu</w:t>
      </w:r>
      <w:proofErr w:type="spellEnd"/>
      <w:r w:rsidRPr="00816320">
        <w:rPr>
          <w:rFonts w:eastAsiaTheme="minorHAnsi"/>
        </w:rPr>
        <w:t xml:space="preserve"> S.-L., 2018, </w:t>
      </w:r>
      <w:proofErr w:type="spellStart"/>
      <w:r w:rsidRPr="00816320">
        <w:rPr>
          <w:rFonts w:eastAsiaTheme="minorHAnsi"/>
        </w:rPr>
        <w:t>CuO</w:t>
      </w:r>
      <w:proofErr w:type="spellEnd"/>
      <w:r w:rsidRPr="00816320">
        <w:rPr>
          <w:rFonts w:eastAsiaTheme="minorHAnsi"/>
        </w:rPr>
        <w:t xml:space="preserve"> and </w:t>
      </w:r>
      <w:proofErr w:type="spellStart"/>
      <w:r w:rsidRPr="00816320">
        <w:rPr>
          <w:rFonts w:eastAsiaTheme="minorHAnsi"/>
        </w:rPr>
        <w:t>CuO</w:t>
      </w:r>
      <w:proofErr w:type="spellEnd"/>
      <w:r w:rsidRPr="00816320">
        <w:rPr>
          <w:rFonts w:eastAsiaTheme="minorHAnsi"/>
        </w:rPr>
        <w:t>/Graphene Nanostructured Thin Films as Counter Electrodes for Pt-Free Dye-Sensitized Solar Cells, Coatings, 8, 21</w:t>
      </w:r>
      <w:r>
        <w:rPr>
          <w:rFonts w:eastAsiaTheme="minorHAnsi"/>
        </w:rPr>
        <w:t>.</w:t>
      </w:r>
    </w:p>
    <w:p w:rsidR="00C84B05" w:rsidRDefault="00C84B05" w:rsidP="00A61159">
      <w:pPr>
        <w:pStyle w:val="CETReferencetext"/>
        <w:rPr>
          <w:rFonts w:eastAsiaTheme="minorHAnsi"/>
        </w:rPr>
      </w:pPr>
      <w:r w:rsidRPr="009A3405">
        <w:rPr>
          <w:rFonts w:eastAsiaTheme="minorHAnsi"/>
        </w:rPr>
        <w:t>Z</w:t>
      </w:r>
      <w:r>
        <w:rPr>
          <w:rFonts w:eastAsiaTheme="minorHAnsi"/>
        </w:rPr>
        <w:t>hang</w:t>
      </w:r>
      <w:r w:rsidRPr="00B0456F">
        <w:rPr>
          <w:rFonts w:eastAsiaTheme="minorHAnsi"/>
        </w:rPr>
        <w:t xml:space="preserve"> </w:t>
      </w:r>
      <w:r>
        <w:rPr>
          <w:rFonts w:eastAsiaTheme="minorHAnsi"/>
        </w:rPr>
        <w:t>X., Gao</w:t>
      </w:r>
      <w:r w:rsidRPr="00B0456F">
        <w:rPr>
          <w:rFonts w:eastAsiaTheme="minorHAnsi"/>
        </w:rPr>
        <w:t xml:space="preserve"> </w:t>
      </w:r>
      <w:r>
        <w:rPr>
          <w:rFonts w:eastAsiaTheme="minorHAnsi"/>
        </w:rPr>
        <w:t>B., Creamer</w:t>
      </w:r>
      <w:r w:rsidRPr="00B0456F">
        <w:rPr>
          <w:rFonts w:eastAsiaTheme="minorHAnsi"/>
        </w:rPr>
        <w:t xml:space="preserve"> </w:t>
      </w:r>
      <w:r>
        <w:rPr>
          <w:rFonts w:eastAsiaTheme="minorHAnsi"/>
        </w:rPr>
        <w:t>A.E., Cao</w:t>
      </w:r>
      <w:r w:rsidRPr="00B0456F">
        <w:rPr>
          <w:rFonts w:eastAsiaTheme="minorHAnsi"/>
        </w:rPr>
        <w:t xml:space="preserve"> </w:t>
      </w:r>
      <w:r>
        <w:rPr>
          <w:rFonts w:eastAsiaTheme="minorHAnsi"/>
        </w:rPr>
        <w:t>C., Li</w:t>
      </w:r>
      <w:r w:rsidRPr="00B0456F">
        <w:rPr>
          <w:rFonts w:eastAsiaTheme="minorHAnsi"/>
        </w:rPr>
        <w:t xml:space="preserve"> </w:t>
      </w:r>
      <w:r>
        <w:rPr>
          <w:rFonts w:eastAsiaTheme="minorHAnsi"/>
        </w:rPr>
        <w:t xml:space="preserve">Y., </w:t>
      </w:r>
      <w:r w:rsidRPr="009E0E40">
        <w:rPr>
          <w:rFonts w:eastAsiaTheme="minorHAnsi"/>
        </w:rPr>
        <w:t>2017</w:t>
      </w:r>
      <w:r>
        <w:rPr>
          <w:rFonts w:eastAsiaTheme="minorHAnsi"/>
        </w:rPr>
        <w:t xml:space="preserve">, </w:t>
      </w:r>
      <w:r w:rsidRPr="009E0E40">
        <w:rPr>
          <w:rFonts w:eastAsiaTheme="minorHAnsi"/>
        </w:rPr>
        <w:t>Adsorption of VOCs onto engineered carbon materials: A review</w:t>
      </w:r>
      <w:r>
        <w:rPr>
          <w:rFonts w:eastAsiaTheme="minorHAnsi"/>
        </w:rPr>
        <w:t xml:space="preserve">, </w:t>
      </w:r>
      <w:r w:rsidRPr="009E0E40">
        <w:rPr>
          <w:rFonts w:eastAsiaTheme="minorHAnsi"/>
        </w:rPr>
        <w:t>Journal of Hazardous Materials</w:t>
      </w:r>
      <w:r>
        <w:rPr>
          <w:rFonts w:eastAsiaTheme="minorHAnsi"/>
        </w:rPr>
        <w:t xml:space="preserve">, 338, </w:t>
      </w:r>
      <w:r w:rsidRPr="009E0E40">
        <w:rPr>
          <w:rFonts w:eastAsiaTheme="minorHAnsi"/>
        </w:rPr>
        <w:t>102–123</w:t>
      </w:r>
      <w:r>
        <w:rPr>
          <w:rFonts w:eastAsiaTheme="minorHAnsi"/>
        </w:rPr>
        <w:t>.</w:t>
      </w:r>
    </w:p>
    <w:sectPr w:rsidR="00C84B05" w:rsidSect="008519F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117" w:rsidRDefault="003D2117" w:rsidP="004F5E36">
      <w:r>
        <w:separator/>
      </w:r>
    </w:p>
  </w:endnote>
  <w:endnote w:type="continuationSeparator" w:id="0">
    <w:p w:rsidR="003D2117" w:rsidRDefault="003D211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117" w:rsidRDefault="003D2117" w:rsidP="004F5E36">
      <w:r>
        <w:separator/>
      </w:r>
    </w:p>
  </w:footnote>
  <w:footnote w:type="continuationSeparator" w:id="0">
    <w:p w:rsidR="003D2117" w:rsidRDefault="003D2117"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CD9C826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 w:numId="23">
    <w:abstractNumId w:val="10"/>
  </w:num>
  <w:num w:numId="24">
    <w:abstractNumId w:val="10"/>
  </w:num>
  <w:num w:numId="25">
    <w:abstractNumId w:val="1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116"/>
    <w:rsid w:val="000027C0"/>
    <w:rsid w:val="00003594"/>
    <w:rsid w:val="000052FB"/>
    <w:rsid w:val="000063C8"/>
    <w:rsid w:val="00010F40"/>
    <w:rsid w:val="000117CB"/>
    <w:rsid w:val="00015034"/>
    <w:rsid w:val="00017D5E"/>
    <w:rsid w:val="00021685"/>
    <w:rsid w:val="0003148D"/>
    <w:rsid w:val="000339E2"/>
    <w:rsid w:val="000353A9"/>
    <w:rsid w:val="00035F8C"/>
    <w:rsid w:val="00041FEE"/>
    <w:rsid w:val="00047D7F"/>
    <w:rsid w:val="00051566"/>
    <w:rsid w:val="00057B74"/>
    <w:rsid w:val="00062A9A"/>
    <w:rsid w:val="00063899"/>
    <w:rsid w:val="000639F7"/>
    <w:rsid w:val="00065058"/>
    <w:rsid w:val="00076EB9"/>
    <w:rsid w:val="00086C39"/>
    <w:rsid w:val="000944B4"/>
    <w:rsid w:val="00097394"/>
    <w:rsid w:val="000A03B2"/>
    <w:rsid w:val="000A5CDE"/>
    <w:rsid w:val="000B56FE"/>
    <w:rsid w:val="000B58DD"/>
    <w:rsid w:val="000C193B"/>
    <w:rsid w:val="000C1F84"/>
    <w:rsid w:val="000C2822"/>
    <w:rsid w:val="000C667A"/>
    <w:rsid w:val="000D165C"/>
    <w:rsid w:val="000D34BE"/>
    <w:rsid w:val="000E102F"/>
    <w:rsid w:val="000E2075"/>
    <w:rsid w:val="000E232B"/>
    <w:rsid w:val="000E36F1"/>
    <w:rsid w:val="000E3A73"/>
    <w:rsid w:val="000E3E14"/>
    <w:rsid w:val="000E414A"/>
    <w:rsid w:val="000E758B"/>
    <w:rsid w:val="000F093C"/>
    <w:rsid w:val="000F16BD"/>
    <w:rsid w:val="000F497E"/>
    <w:rsid w:val="000F51C6"/>
    <w:rsid w:val="000F71CF"/>
    <w:rsid w:val="000F787B"/>
    <w:rsid w:val="00112D5B"/>
    <w:rsid w:val="0011310F"/>
    <w:rsid w:val="00115725"/>
    <w:rsid w:val="001206BE"/>
    <w:rsid w:val="0012091F"/>
    <w:rsid w:val="00126BC2"/>
    <w:rsid w:val="001308B6"/>
    <w:rsid w:val="0013121F"/>
    <w:rsid w:val="00131FAB"/>
    <w:rsid w:val="00131FE6"/>
    <w:rsid w:val="0013263F"/>
    <w:rsid w:val="00134DE4"/>
    <w:rsid w:val="0013574A"/>
    <w:rsid w:val="001375FE"/>
    <w:rsid w:val="0014034D"/>
    <w:rsid w:val="0014188D"/>
    <w:rsid w:val="00145F04"/>
    <w:rsid w:val="00147683"/>
    <w:rsid w:val="00150E59"/>
    <w:rsid w:val="001515FD"/>
    <w:rsid w:val="0015249B"/>
    <w:rsid w:val="00152DE3"/>
    <w:rsid w:val="00161947"/>
    <w:rsid w:val="00164CF9"/>
    <w:rsid w:val="001653C8"/>
    <w:rsid w:val="00166A5F"/>
    <w:rsid w:val="00172A6A"/>
    <w:rsid w:val="00174EC0"/>
    <w:rsid w:val="00184AD6"/>
    <w:rsid w:val="00190DD2"/>
    <w:rsid w:val="00193ECD"/>
    <w:rsid w:val="001941AF"/>
    <w:rsid w:val="001A00B9"/>
    <w:rsid w:val="001A6AD5"/>
    <w:rsid w:val="001B0349"/>
    <w:rsid w:val="001B65C1"/>
    <w:rsid w:val="001C684B"/>
    <w:rsid w:val="001C6AC5"/>
    <w:rsid w:val="001C76C5"/>
    <w:rsid w:val="001D1211"/>
    <w:rsid w:val="001D18BF"/>
    <w:rsid w:val="001D40D7"/>
    <w:rsid w:val="001D4105"/>
    <w:rsid w:val="001D53FC"/>
    <w:rsid w:val="001E102C"/>
    <w:rsid w:val="001E51FB"/>
    <w:rsid w:val="001E5CEC"/>
    <w:rsid w:val="001F2314"/>
    <w:rsid w:val="001F42A5"/>
    <w:rsid w:val="001F5084"/>
    <w:rsid w:val="001F7B9D"/>
    <w:rsid w:val="00203B44"/>
    <w:rsid w:val="00203BD1"/>
    <w:rsid w:val="002056ED"/>
    <w:rsid w:val="0021756C"/>
    <w:rsid w:val="002224B4"/>
    <w:rsid w:val="00222C2D"/>
    <w:rsid w:val="00223F01"/>
    <w:rsid w:val="00227FCE"/>
    <w:rsid w:val="0023080E"/>
    <w:rsid w:val="00230882"/>
    <w:rsid w:val="00233419"/>
    <w:rsid w:val="00233DDD"/>
    <w:rsid w:val="00234C1A"/>
    <w:rsid w:val="002422F2"/>
    <w:rsid w:val="002447EF"/>
    <w:rsid w:val="00245920"/>
    <w:rsid w:val="00250929"/>
    <w:rsid w:val="00251550"/>
    <w:rsid w:val="00261F0E"/>
    <w:rsid w:val="00263B05"/>
    <w:rsid w:val="00263BA3"/>
    <w:rsid w:val="00263CB4"/>
    <w:rsid w:val="0026761A"/>
    <w:rsid w:val="0027221A"/>
    <w:rsid w:val="00275B61"/>
    <w:rsid w:val="00275FFD"/>
    <w:rsid w:val="00281673"/>
    <w:rsid w:val="00282420"/>
    <w:rsid w:val="00282656"/>
    <w:rsid w:val="002856A3"/>
    <w:rsid w:val="00294324"/>
    <w:rsid w:val="00294A1A"/>
    <w:rsid w:val="00296B83"/>
    <w:rsid w:val="002A0267"/>
    <w:rsid w:val="002A110D"/>
    <w:rsid w:val="002A490C"/>
    <w:rsid w:val="002B4272"/>
    <w:rsid w:val="002B4DA7"/>
    <w:rsid w:val="002B5F19"/>
    <w:rsid w:val="002B6B6D"/>
    <w:rsid w:val="002B78CE"/>
    <w:rsid w:val="002C127F"/>
    <w:rsid w:val="002C1A93"/>
    <w:rsid w:val="002C2FB6"/>
    <w:rsid w:val="002C5B32"/>
    <w:rsid w:val="002C73AF"/>
    <w:rsid w:val="002D07E0"/>
    <w:rsid w:val="002D7485"/>
    <w:rsid w:val="002E15B1"/>
    <w:rsid w:val="002E30A0"/>
    <w:rsid w:val="002E5B11"/>
    <w:rsid w:val="003009B7"/>
    <w:rsid w:val="00300E56"/>
    <w:rsid w:val="00302F30"/>
    <w:rsid w:val="0030469C"/>
    <w:rsid w:val="003047ED"/>
    <w:rsid w:val="00305FFE"/>
    <w:rsid w:val="00307AF3"/>
    <w:rsid w:val="003205CE"/>
    <w:rsid w:val="00321CA6"/>
    <w:rsid w:val="00322DB8"/>
    <w:rsid w:val="00325F39"/>
    <w:rsid w:val="0033482F"/>
    <w:rsid w:val="00334C09"/>
    <w:rsid w:val="00335F54"/>
    <w:rsid w:val="003365E3"/>
    <w:rsid w:val="003367FF"/>
    <w:rsid w:val="003403B4"/>
    <w:rsid w:val="00340953"/>
    <w:rsid w:val="00345231"/>
    <w:rsid w:val="00346B9E"/>
    <w:rsid w:val="0036091F"/>
    <w:rsid w:val="00361BAA"/>
    <w:rsid w:val="00363C4F"/>
    <w:rsid w:val="003669A6"/>
    <w:rsid w:val="0036719B"/>
    <w:rsid w:val="00371CF8"/>
    <w:rsid w:val="00371D87"/>
    <w:rsid w:val="003723D4"/>
    <w:rsid w:val="00373370"/>
    <w:rsid w:val="003770BD"/>
    <w:rsid w:val="00380691"/>
    <w:rsid w:val="00382434"/>
    <w:rsid w:val="00383C4F"/>
    <w:rsid w:val="00384CC8"/>
    <w:rsid w:val="003871FD"/>
    <w:rsid w:val="00396AAA"/>
    <w:rsid w:val="0039722D"/>
    <w:rsid w:val="0039789C"/>
    <w:rsid w:val="003A0B07"/>
    <w:rsid w:val="003A1DFC"/>
    <w:rsid w:val="003A1E30"/>
    <w:rsid w:val="003A35A9"/>
    <w:rsid w:val="003A7D1C"/>
    <w:rsid w:val="003B131D"/>
    <w:rsid w:val="003B304B"/>
    <w:rsid w:val="003B3146"/>
    <w:rsid w:val="003B60F3"/>
    <w:rsid w:val="003B6775"/>
    <w:rsid w:val="003B70A5"/>
    <w:rsid w:val="003C284C"/>
    <w:rsid w:val="003C3030"/>
    <w:rsid w:val="003D2117"/>
    <w:rsid w:val="003E17F6"/>
    <w:rsid w:val="003E2BC3"/>
    <w:rsid w:val="003E492F"/>
    <w:rsid w:val="003F015E"/>
    <w:rsid w:val="003F6324"/>
    <w:rsid w:val="003F72AA"/>
    <w:rsid w:val="00400414"/>
    <w:rsid w:val="00403149"/>
    <w:rsid w:val="00405454"/>
    <w:rsid w:val="0041183F"/>
    <w:rsid w:val="00411E54"/>
    <w:rsid w:val="0041272E"/>
    <w:rsid w:val="0041446B"/>
    <w:rsid w:val="0042222D"/>
    <w:rsid w:val="004226C2"/>
    <w:rsid w:val="00424BCC"/>
    <w:rsid w:val="004260C6"/>
    <w:rsid w:val="00430DE2"/>
    <w:rsid w:val="004330B7"/>
    <w:rsid w:val="00434440"/>
    <w:rsid w:val="0043795F"/>
    <w:rsid w:val="00441DFE"/>
    <w:rsid w:val="0044329C"/>
    <w:rsid w:val="0044598A"/>
    <w:rsid w:val="0044619F"/>
    <w:rsid w:val="00446CFD"/>
    <w:rsid w:val="00447500"/>
    <w:rsid w:val="00453157"/>
    <w:rsid w:val="00455FD5"/>
    <w:rsid w:val="004577FE"/>
    <w:rsid w:val="00457B9C"/>
    <w:rsid w:val="0046164A"/>
    <w:rsid w:val="004628D2"/>
    <w:rsid w:val="00462DCD"/>
    <w:rsid w:val="00463396"/>
    <w:rsid w:val="004648AD"/>
    <w:rsid w:val="004703A9"/>
    <w:rsid w:val="00470BD9"/>
    <w:rsid w:val="00470C01"/>
    <w:rsid w:val="00472FD3"/>
    <w:rsid w:val="004743FB"/>
    <w:rsid w:val="004760DE"/>
    <w:rsid w:val="00485CC2"/>
    <w:rsid w:val="004A004E"/>
    <w:rsid w:val="004A06CB"/>
    <w:rsid w:val="004A24CF"/>
    <w:rsid w:val="004A630E"/>
    <w:rsid w:val="004A69BB"/>
    <w:rsid w:val="004B6721"/>
    <w:rsid w:val="004B6BAF"/>
    <w:rsid w:val="004C13BF"/>
    <w:rsid w:val="004C3D1D"/>
    <w:rsid w:val="004C7913"/>
    <w:rsid w:val="004D04F4"/>
    <w:rsid w:val="004D4689"/>
    <w:rsid w:val="004D4827"/>
    <w:rsid w:val="004D63BE"/>
    <w:rsid w:val="004D73EF"/>
    <w:rsid w:val="004E0517"/>
    <w:rsid w:val="004E1C5E"/>
    <w:rsid w:val="004E4DD6"/>
    <w:rsid w:val="004E5284"/>
    <w:rsid w:val="004E6192"/>
    <w:rsid w:val="004F4BEA"/>
    <w:rsid w:val="004F5E36"/>
    <w:rsid w:val="00500A62"/>
    <w:rsid w:val="00500D9D"/>
    <w:rsid w:val="005040DE"/>
    <w:rsid w:val="005061CF"/>
    <w:rsid w:val="005069F9"/>
    <w:rsid w:val="00507267"/>
    <w:rsid w:val="00507B47"/>
    <w:rsid w:val="00507CC9"/>
    <w:rsid w:val="00510FD7"/>
    <w:rsid w:val="005119A5"/>
    <w:rsid w:val="0051324B"/>
    <w:rsid w:val="00514B32"/>
    <w:rsid w:val="00522114"/>
    <w:rsid w:val="00523DCE"/>
    <w:rsid w:val="005278B7"/>
    <w:rsid w:val="00532016"/>
    <w:rsid w:val="005346C8"/>
    <w:rsid w:val="00543E7D"/>
    <w:rsid w:val="00547A68"/>
    <w:rsid w:val="005519D7"/>
    <w:rsid w:val="005531C9"/>
    <w:rsid w:val="00562A2D"/>
    <w:rsid w:val="00566D1A"/>
    <w:rsid w:val="0057152F"/>
    <w:rsid w:val="0057154B"/>
    <w:rsid w:val="005766CC"/>
    <w:rsid w:val="00580CDB"/>
    <w:rsid w:val="0058203E"/>
    <w:rsid w:val="005855A9"/>
    <w:rsid w:val="0058746F"/>
    <w:rsid w:val="005876F7"/>
    <w:rsid w:val="005909E9"/>
    <w:rsid w:val="00594559"/>
    <w:rsid w:val="00594C0A"/>
    <w:rsid w:val="00597C22"/>
    <w:rsid w:val="005A0003"/>
    <w:rsid w:val="005A3E65"/>
    <w:rsid w:val="005A4B98"/>
    <w:rsid w:val="005A7EA8"/>
    <w:rsid w:val="005B2110"/>
    <w:rsid w:val="005B52B3"/>
    <w:rsid w:val="005B61E6"/>
    <w:rsid w:val="005B7AB5"/>
    <w:rsid w:val="005C023A"/>
    <w:rsid w:val="005C77E1"/>
    <w:rsid w:val="005D088C"/>
    <w:rsid w:val="005D4EB3"/>
    <w:rsid w:val="005D6A2F"/>
    <w:rsid w:val="005D6D55"/>
    <w:rsid w:val="005E14FB"/>
    <w:rsid w:val="005E1A82"/>
    <w:rsid w:val="005E794C"/>
    <w:rsid w:val="005F0A28"/>
    <w:rsid w:val="005F0E5E"/>
    <w:rsid w:val="005F37E6"/>
    <w:rsid w:val="00600535"/>
    <w:rsid w:val="00603E0D"/>
    <w:rsid w:val="00610CD6"/>
    <w:rsid w:val="006173B0"/>
    <w:rsid w:val="00620DEE"/>
    <w:rsid w:val="00621F92"/>
    <w:rsid w:val="00625639"/>
    <w:rsid w:val="00631B33"/>
    <w:rsid w:val="0063465C"/>
    <w:rsid w:val="00635913"/>
    <w:rsid w:val="00637AE2"/>
    <w:rsid w:val="0064184D"/>
    <w:rsid w:val="00641E60"/>
    <w:rsid w:val="006422CC"/>
    <w:rsid w:val="00643438"/>
    <w:rsid w:val="006439B8"/>
    <w:rsid w:val="006554E2"/>
    <w:rsid w:val="00660E3E"/>
    <w:rsid w:val="00660FE0"/>
    <w:rsid w:val="00662E74"/>
    <w:rsid w:val="00673E49"/>
    <w:rsid w:val="00674AD0"/>
    <w:rsid w:val="00675F60"/>
    <w:rsid w:val="00676F26"/>
    <w:rsid w:val="00680C23"/>
    <w:rsid w:val="00690D67"/>
    <w:rsid w:val="00690DCD"/>
    <w:rsid w:val="00693766"/>
    <w:rsid w:val="006A008F"/>
    <w:rsid w:val="006A3281"/>
    <w:rsid w:val="006B4888"/>
    <w:rsid w:val="006B4DB1"/>
    <w:rsid w:val="006C2E45"/>
    <w:rsid w:val="006C2F5C"/>
    <w:rsid w:val="006C359C"/>
    <w:rsid w:val="006C5579"/>
    <w:rsid w:val="006C654D"/>
    <w:rsid w:val="006E22BF"/>
    <w:rsid w:val="006E6885"/>
    <w:rsid w:val="006E737D"/>
    <w:rsid w:val="006F45AC"/>
    <w:rsid w:val="0070062B"/>
    <w:rsid w:val="0070195D"/>
    <w:rsid w:val="00702331"/>
    <w:rsid w:val="0070306E"/>
    <w:rsid w:val="00707FBE"/>
    <w:rsid w:val="00716E48"/>
    <w:rsid w:val="0071787E"/>
    <w:rsid w:val="007179AB"/>
    <w:rsid w:val="00720A24"/>
    <w:rsid w:val="007214B1"/>
    <w:rsid w:val="00732386"/>
    <w:rsid w:val="00735420"/>
    <w:rsid w:val="00737EC5"/>
    <w:rsid w:val="00743D11"/>
    <w:rsid w:val="007447F3"/>
    <w:rsid w:val="007449DD"/>
    <w:rsid w:val="00753B9D"/>
    <w:rsid w:val="0075499F"/>
    <w:rsid w:val="007661C8"/>
    <w:rsid w:val="0077093B"/>
    <w:rsid w:val="0077098D"/>
    <w:rsid w:val="00770CF9"/>
    <w:rsid w:val="0077219E"/>
    <w:rsid w:val="00787440"/>
    <w:rsid w:val="00791E1E"/>
    <w:rsid w:val="007931FA"/>
    <w:rsid w:val="00794B4E"/>
    <w:rsid w:val="007958C7"/>
    <w:rsid w:val="007A06B5"/>
    <w:rsid w:val="007A16C9"/>
    <w:rsid w:val="007A3676"/>
    <w:rsid w:val="007A46AB"/>
    <w:rsid w:val="007A6416"/>
    <w:rsid w:val="007A7BBA"/>
    <w:rsid w:val="007B0C50"/>
    <w:rsid w:val="007C00C4"/>
    <w:rsid w:val="007C1A43"/>
    <w:rsid w:val="007C1B41"/>
    <w:rsid w:val="007C4A92"/>
    <w:rsid w:val="007C690A"/>
    <w:rsid w:val="007C7456"/>
    <w:rsid w:val="007D17E4"/>
    <w:rsid w:val="007D2848"/>
    <w:rsid w:val="007D4B14"/>
    <w:rsid w:val="007E1A3B"/>
    <w:rsid w:val="007E1D08"/>
    <w:rsid w:val="007E1DC6"/>
    <w:rsid w:val="007E3AFF"/>
    <w:rsid w:val="007F3345"/>
    <w:rsid w:val="007F4FD9"/>
    <w:rsid w:val="007F5D7B"/>
    <w:rsid w:val="00802A8C"/>
    <w:rsid w:val="008074EC"/>
    <w:rsid w:val="00811094"/>
    <w:rsid w:val="00813288"/>
    <w:rsid w:val="00816320"/>
    <w:rsid w:val="008168FC"/>
    <w:rsid w:val="008174A3"/>
    <w:rsid w:val="008210AE"/>
    <w:rsid w:val="00830996"/>
    <w:rsid w:val="008345F1"/>
    <w:rsid w:val="00846D9F"/>
    <w:rsid w:val="00847E67"/>
    <w:rsid w:val="008519FF"/>
    <w:rsid w:val="008531D2"/>
    <w:rsid w:val="00865AFD"/>
    <w:rsid w:val="00865B07"/>
    <w:rsid w:val="008667EA"/>
    <w:rsid w:val="00870394"/>
    <w:rsid w:val="008727FB"/>
    <w:rsid w:val="0087637F"/>
    <w:rsid w:val="008802D8"/>
    <w:rsid w:val="00884185"/>
    <w:rsid w:val="008862D6"/>
    <w:rsid w:val="008871F0"/>
    <w:rsid w:val="008904B9"/>
    <w:rsid w:val="00892AD5"/>
    <w:rsid w:val="00893753"/>
    <w:rsid w:val="0089709B"/>
    <w:rsid w:val="008A1512"/>
    <w:rsid w:val="008A1E08"/>
    <w:rsid w:val="008A6CD0"/>
    <w:rsid w:val="008B00AE"/>
    <w:rsid w:val="008B0479"/>
    <w:rsid w:val="008B0B0E"/>
    <w:rsid w:val="008B2CAC"/>
    <w:rsid w:val="008C209A"/>
    <w:rsid w:val="008D221D"/>
    <w:rsid w:val="008D2FDE"/>
    <w:rsid w:val="008D32B9"/>
    <w:rsid w:val="008D433B"/>
    <w:rsid w:val="008E0335"/>
    <w:rsid w:val="008E30E3"/>
    <w:rsid w:val="008E566E"/>
    <w:rsid w:val="008E6C77"/>
    <w:rsid w:val="008F3C28"/>
    <w:rsid w:val="009011E1"/>
    <w:rsid w:val="0090161A"/>
    <w:rsid w:val="00901CBB"/>
    <w:rsid w:val="00901EB6"/>
    <w:rsid w:val="00904C62"/>
    <w:rsid w:val="00907711"/>
    <w:rsid w:val="00911CD9"/>
    <w:rsid w:val="00923616"/>
    <w:rsid w:val="00924DAC"/>
    <w:rsid w:val="00927058"/>
    <w:rsid w:val="00930DE5"/>
    <w:rsid w:val="00935312"/>
    <w:rsid w:val="009450CE"/>
    <w:rsid w:val="00946686"/>
    <w:rsid w:val="00947179"/>
    <w:rsid w:val="0095118A"/>
    <w:rsid w:val="0095164B"/>
    <w:rsid w:val="00954090"/>
    <w:rsid w:val="00956EC1"/>
    <w:rsid w:val="009573E7"/>
    <w:rsid w:val="00963E05"/>
    <w:rsid w:val="0096739A"/>
    <w:rsid w:val="00967D54"/>
    <w:rsid w:val="00976F15"/>
    <w:rsid w:val="0098660E"/>
    <w:rsid w:val="009910B7"/>
    <w:rsid w:val="00993040"/>
    <w:rsid w:val="00996483"/>
    <w:rsid w:val="00996F5A"/>
    <w:rsid w:val="009A0A3E"/>
    <w:rsid w:val="009A3405"/>
    <w:rsid w:val="009A39DF"/>
    <w:rsid w:val="009A4A91"/>
    <w:rsid w:val="009B027F"/>
    <w:rsid w:val="009B041A"/>
    <w:rsid w:val="009B1B75"/>
    <w:rsid w:val="009B2AD0"/>
    <w:rsid w:val="009B34ED"/>
    <w:rsid w:val="009C2BB0"/>
    <w:rsid w:val="009C63E0"/>
    <w:rsid w:val="009C7C86"/>
    <w:rsid w:val="009D2FF7"/>
    <w:rsid w:val="009D371B"/>
    <w:rsid w:val="009D76CF"/>
    <w:rsid w:val="009E0D74"/>
    <w:rsid w:val="009E0E40"/>
    <w:rsid w:val="009E7884"/>
    <w:rsid w:val="009E788A"/>
    <w:rsid w:val="009F0E08"/>
    <w:rsid w:val="009F2E22"/>
    <w:rsid w:val="009F5372"/>
    <w:rsid w:val="009F67EC"/>
    <w:rsid w:val="00A05C7A"/>
    <w:rsid w:val="00A071D0"/>
    <w:rsid w:val="00A10FC6"/>
    <w:rsid w:val="00A11D45"/>
    <w:rsid w:val="00A1763D"/>
    <w:rsid w:val="00A17CEC"/>
    <w:rsid w:val="00A20CC4"/>
    <w:rsid w:val="00A20F20"/>
    <w:rsid w:val="00A25523"/>
    <w:rsid w:val="00A27EF0"/>
    <w:rsid w:val="00A3121E"/>
    <w:rsid w:val="00A35217"/>
    <w:rsid w:val="00A46323"/>
    <w:rsid w:val="00A47F6C"/>
    <w:rsid w:val="00A50B20"/>
    <w:rsid w:val="00A51390"/>
    <w:rsid w:val="00A5574E"/>
    <w:rsid w:val="00A60D13"/>
    <w:rsid w:val="00A61159"/>
    <w:rsid w:val="00A619A1"/>
    <w:rsid w:val="00A647BC"/>
    <w:rsid w:val="00A70FC8"/>
    <w:rsid w:val="00A72745"/>
    <w:rsid w:val="00A76EFC"/>
    <w:rsid w:val="00A77BD7"/>
    <w:rsid w:val="00A91010"/>
    <w:rsid w:val="00A911CE"/>
    <w:rsid w:val="00A9422D"/>
    <w:rsid w:val="00A95980"/>
    <w:rsid w:val="00A97F29"/>
    <w:rsid w:val="00AA2F94"/>
    <w:rsid w:val="00AA339F"/>
    <w:rsid w:val="00AA69A1"/>
    <w:rsid w:val="00AA702E"/>
    <w:rsid w:val="00AA78D6"/>
    <w:rsid w:val="00AB019E"/>
    <w:rsid w:val="00AB0964"/>
    <w:rsid w:val="00AB5011"/>
    <w:rsid w:val="00AB615C"/>
    <w:rsid w:val="00AB705B"/>
    <w:rsid w:val="00AC15E2"/>
    <w:rsid w:val="00AC7368"/>
    <w:rsid w:val="00AD16B9"/>
    <w:rsid w:val="00AD2AC8"/>
    <w:rsid w:val="00AE377D"/>
    <w:rsid w:val="00AE4278"/>
    <w:rsid w:val="00AE5F1B"/>
    <w:rsid w:val="00AF4474"/>
    <w:rsid w:val="00AF478C"/>
    <w:rsid w:val="00AF6037"/>
    <w:rsid w:val="00B00686"/>
    <w:rsid w:val="00B02054"/>
    <w:rsid w:val="00B03D44"/>
    <w:rsid w:val="00B0427F"/>
    <w:rsid w:val="00B0456F"/>
    <w:rsid w:val="00B06D06"/>
    <w:rsid w:val="00B17FBD"/>
    <w:rsid w:val="00B22D1C"/>
    <w:rsid w:val="00B26187"/>
    <w:rsid w:val="00B315A6"/>
    <w:rsid w:val="00B31813"/>
    <w:rsid w:val="00B33365"/>
    <w:rsid w:val="00B34C4F"/>
    <w:rsid w:val="00B34CBA"/>
    <w:rsid w:val="00B373F3"/>
    <w:rsid w:val="00B57B36"/>
    <w:rsid w:val="00B62E1A"/>
    <w:rsid w:val="00B63818"/>
    <w:rsid w:val="00B64DB3"/>
    <w:rsid w:val="00B741BB"/>
    <w:rsid w:val="00B82CD2"/>
    <w:rsid w:val="00B8545B"/>
    <w:rsid w:val="00B8686D"/>
    <w:rsid w:val="00B90635"/>
    <w:rsid w:val="00B954E1"/>
    <w:rsid w:val="00B960DC"/>
    <w:rsid w:val="00B97532"/>
    <w:rsid w:val="00BA0265"/>
    <w:rsid w:val="00BA2335"/>
    <w:rsid w:val="00BA3E3F"/>
    <w:rsid w:val="00BA4758"/>
    <w:rsid w:val="00BA4C80"/>
    <w:rsid w:val="00BB37EA"/>
    <w:rsid w:val="00BB6549"/>
    <w:rsid w:val="00BB6B74"/>
    <w:rsid w:val="00BC0225"/>
    <w:rsid w:val="00BC1C31"/>
    <w:rsid w:val="00BC30C9"/>
    <w:rsid w:val="00BC6D48"/>
    <w:rsid w:val="00BD44C3"/>
    <w:rsid w:val="00BD4BE0"/>
    <w:rsid w:val="00BD5AD1"/>
    <w:rsid w:val="00BE21FA"/>
    <w:rsid w:val="00BE28CD"/>
    <w:rsid w:val="00BE3E58"/>
    <w:rsid w:val="00BE79F1"/>
    <w:rsid w:val="00BF1544"/>
    <w:rsid w:val="00BF714C"/>
    <w:rsid w:val="00C01616"/>
    <w:rsid w:val="00C0162B"/>
    <w:rsid w:val="00C112F1"/>
    <w:rsid w:val="00C16261"/>
    <w:rsid w:val="00C16C90"/>
    <w:rsid w:val="00C177E1"/>
    <w:rsid w:val="00C20262"/>
    <w:rsid w:val="00C27D4E"/>
    <w:rsid w:val="00C302A9"/>
    <w:rsid w:val="00C32C0F"/>
    <w:rsid w:val="00C333D8"/>
    <w:rsid w:val="00C345B1"/>
    <w:rsid w:val="00C3483E"/>
    <w:rsid w:val="00C40142"/>
    <w:rsid w:val="00C44058"/>
    <w:rsid w:val="00C526DE"/>
    <w:rsid w:val="00C57182"/>
    <w:rsid w:val="00C57863"/>
    <w:rsid w:val="00C64F27"/>
    <w:rsid w:val="00C655FD"/>
    <w:rsid w:val="00C67D8D"/>
    <w:rsid w:val="00C70E38"/>
    <w:rsid w:val="00C73357"/>
    <w:rsid w:val="00C73FB8"/>
    <w:rsid w:val="00C75DBC"/>
    <w:rsid w:val="00C75DE7"/>
    <w:rsid w:val="00C82FFE"/>
    <w:rsid w:val="00C84A9E"/>
    <w:rsid w:val="00C84B05"/>
    <w:rsid w:val="00C84FF2"/>
    <w:rsid w:val="00C8670B"/>
    <w:rsid w:val="00C869C3"/>
    <w:rsid w:val="00C870A8"/>
    <w:rsid w:val="00C924EC"/>
    <w:rsid w:val="00C94434"/>
    <w:rsid w:val="00C96A3A"/>
    <w:rsid w:val="00C9795B"/>
    <w:rsid w:val="00CA0D75"/>
    <w:rsid w:val="00CA0F31"/>
    <w:rsid w:val="00CA1C95"/>
    <w:rsid w:val="00CA4042"/>
    <w:rsid w:val="00CA4DA4"/>
    <w:rsid w:val="00CA5094"/>
    <w:rsid w:val="00CA58A3"/>
    <w:rsid w:val="00CA5A9C"/>
    <w:rsid w:val="00CB004A"/>
    <w:rsid w:val="00CB1658"/>
    <w:rsid w:val="00CD3517"/>
    <w:rsid w:val="00CD5207"/>
    <w:rsid w:val="00CD5FE2"/>
    <w:rsid w:val="00CE4E69"/>
    <w:rsid w:val="00CE7C68"/>
    <w:rsid w:val="00CF0050"/>
    <w:rsid w:val="00CF674C"/>
    <w:rsid w:val="00D02B4C"/>
    <w:rsid w:val="00D040C4"/>
    <w:rsid w:val="00D05C89"/>
    <w:rsid w:val="00D113FC"/>
    <w:rsid w:val="00D1144F"/>
    <w:rsid w:val="00D13629"/>
    <w:rsid w:val="00D14309"/>
    <w:rsid w:val="00D21DC1"/>
    <w:rsid w:val="00D24548"/>
    <w:rsid w:val="00D259D2"/>
    <w:rsid w:val="00D3023E"/>
    <w:rsid w:val="00D32672"/>
    <w:rsid w:val="00D3768E"/>
    <w:rsid w:val="00D402D6"/>
    <w:rsid w:val="00D40854"/>
    <w:rsid w:val="00D41292"/>
    <w:rsid w:val="00D50B14"/>
    <w:rsid w:val="00D51BD9"/>
    <w:rsid w:val="00D53380"/>
    <w:rsid w:val="00D5489C"/>
    <w:rsid w:val="00D57C84"/>
    <w:rsid w:val="00D6057D"/>
    <w:rsid w:val="00D62480"/>
    <w:rsid w:val="00D644C7"/>
    <w:rsid w:val="00D658B6"/>
    <w:rsid w:val="00D84576"/>
    <w:rsid w:val="00D857D3"/>
    <w:rsid w:val="00D87DD0"/>
    <w:rsid w:val="00D96C0F"/>
    <w:rsid w:val="00DA1399"/>
    <w:rsid w:val="00DA24C6"/>
    <w:rsid w:val="00DA27CF"/>
    <w:rsid w:val="00DA4C25"/>
    <w:rsid w:val="00DA4D7B"/>
    <w:rsid w:val="00DA578D"/>
    <w:rsid w:val="00DA5A25"/>
    <w:rsid w:val="00DA702C"/>
    <w:rsid w:val="00DB33D6"/>
    <w:rsid w:val="00DB3D95"/>
    <w:rsid w:val="00DC0167"/>
    <w:rsid w:val="00DC3917"/>
    <w:rsid w:val="00DD470B"/>
    <w:rsid w:val="00DD5A6D"/>
    <w:rsid w:val="00DE264A"/>
    <w:rsid w:val="00DE73BE"/>
    <w:rsid w:val="00DF33A1"/>
    <w:rsid w:val="00E00F28"/>
    <w:rsid w:val="00E02D18"/>
    <w:rsid w:val="00E0335F"/>
    <w:rsid w:val="00E041E7"/>
    <w:rsid w:val="00E060BD"/>
    <w:rsid w:val="00E1333A"/>
    <w:rsid w:val="00E23CA1"/>
    <w:rsid w:val="00E32663"/>
    <w:rsid w:val="00E345DC"/>
    <w:rsid w:val="00E409A8"/>
    <w:rsid w:val="00E43ADD"/>
    <w:rsid w:val="00E50C12"/>
    <w:rsid w:val="00E60C8A"/>
    <w:rsid w:val="00E65B91"/>
    <w:rsid w:val="00E7209D"/>
    <w:rsid w:val="00E76C57"/>
    <w:rsid w:val="00E77160"/>
    <w:rsid w:val="00E77223"/>
    <w:rsid w:val="00E809DD"/>
    <w:rsid w:val="00E84A91"/>
    <w:rsid w:val="00E8501F"/>
    <w:rsid w:val="00E8528B"/>
    <w:rsid w:val="00E85B94"/>
    <w:rsid w:val="00E863F7"/>
    <w:rsid w:val="00E978D0"/>
    <w:rsid w:val="00EA4613"/>
    <w:rsid w:val="00EA756D"/>
    <w:rsid w:val="00EA75DB"/>
    <w:rsid w:val="00EA7F91"/>
    <w:rsid w:val="00EB1523"/>
    <w:rsid w:val="00EB5287"/>
    <w:rsid w:val="00EB618F"/>
    <w:rsid w:val="00EB7B32"/>
    <w:rsid w:val="00EB7DA1"/>
    <w:rsid w:val="00EC0E49"/>
    <w:rsid w:val="00EC4224"/>
    <w:rsid w:val="00ED3AE3"/>
    <w:rsid w:val="00ED5F33"/>
    <w:rsid w:val="00EE0131"/>
    <w:rsid w:val="00EE4CF6"/>
    <w:rsid w:val="00EE68A3"/>
    <w:rsid w:val="00EF0335"/>
    <w:rsid w:val="00EF19D4"/>
    <w:rsid w:val="00EF45AE"/>
    <w:rsid w:val="00EF56C0"/>
    <w:rsid w:val="00F03A6A"/>
    <w:rsid w:val="00F05C95"/>
    <w:rsid w:val="00F11A0B"/>
    <w:rsid w:val="00F155B2"/>
    <w:rsid w:val="00F16F2D"/>
    <w:rsid w:val="00F30C64"/>
    <w:rsid w:val="00F32CDB"/>
    <w:rsid w:val="00F33FB3"/>
    <w:rsid w:val="00F44B1C"/>
    <w:rsid w:val="00F46527"/>
    <w:rsid w:val="00F520F7"/>
    <w:rsid w:val="00F55B78"/>
    <w:rsid w:val="00F56AA5"/>
    <w:rsid w:val="00F601AF"/>
    <w:rsid w:val="00F63A70"/>
    <w:rsid w:val="00F744F4"/>
    <w:rsid w:val="00F851AE"/>
    <w:rsid w:val="00FA21D0"/>
    <w:rsid w:val="00FA5F5F"/>
    <w:rsid w:val="00FB2259"/>
    <w:rsid w:val="00FB6B5C"/>
    <w:rsid w:val="00FB730C"/>
    <w:rsid w:val="00FC2695"/>
    <w:rsid w:val="00FC34E7"/>
    <w:rsid w:val="00FC3E03"/>
    <w:rsid w:val="00FC3FC1"/>
    <w:rsid w:val="00FD27F1"/>
    <w:rsid w:val="00FD45D5"/>
    <w:rsid w:val="00FE10E6"/>
    <w:rsid w:val="00FE4EA7"/>
    <w:rsid w:val="00FE66EE"/>
    <w:rsid w:val="00FF55B5"/>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uiPriority w:val="99"/>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01CBB"/>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01CBB"/>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link w:val="CETEquationCarattere"/>
    <w:qFormat/>
    <w:rsid w:val="00600535"/>
    <w:pPr>
      <w:spacing w:before="120" w:after="120"/>
      <w:jc w:val="left"/>
    </w:pPr>
    <w:rPr>
      <w:lang w:val="en-GB"/>
    </w:r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 w:type="character" w:customStyle="1" w:styleId="shorttext">
    <w:name w:val="short_text"/>
    <w:basedOn w:val="Carpredefinitoparagrafo"/>
    <w:rsid w:val="00B00686"/>
  </w:style>
  <w:style w:type="character" w:customStyle="1" w:styleId="alt-edited">
    <w:name w:val="alt-edited"/>
    <w:basedOn w:val="Carpredefinitoparagrafo"/>
    <w:rsid w:val="00735420"/>
  </w:style>
  <w:style w:type="character" w:customStyle="1" w:styleId="st">
    <w:name w:val="st"/>
    <w:basedOn w:val="Carpredefinitoparagrafo"/>
    <w:rsid w:val="00C20262"/>
  </w:style>
  <w:style w:type="paragraph" w:styleId="Paragrafoelenco">
    <w:name w:val="List Paragraph"/>
    <w:basedOn w:val="Normale"/>
    <w:uiPriority w:val="34"/>
    <w:rsid w:val="006C2F5C"/>
    <w:pPr>
      <w:ind w:left="720"/>
      <w:contextualSpacing/>
    </w:pPr>
  </w:style>
  <w:style w:type="paragraph" w:customStyle="1" w:styleId="Formula">
    <w:name w:val="Formula"/>
    <w:basedOn w:val="CETEquation"/>
    <w:link w:val="FormulaCarattere"/>
    <w:qFormat/>
    <w:rsid w:val="00BD44C3"/>
    <w:rPr>
      <w:rFonts w:cs="Arial"/>
      <w:i/>
      <w:szCs w:val="18"/>
    </w:rPr>
  </w:style>
  <w:style w:type="character" w:customStyle="1" w:styleId="CETEquationCarattere">
    <w:name w:val="CET Equation Carattere"/>
    <w:basedOn w:val="CETBodytextCarattere"/>
    <w:link w:val="CETEquation"/>
    <w:rsid w:val="00BD44C3"/>
    <w:rPr>
      <w:rFonts w:ascii="Arial" w:eastAsia="Times New Roman" w:hAnsi="Arial" w:cs="Times New Roman"/>
      <w:sz w:val="18"/>
      <w:szCs w:val="20"/>
      <w:lang w:val="en-GB"/>
    </w:rPr>
  </w:style>
  <w:style w:type="character" w:customStyle="1" w:styleId="FormulaCarattere">
    <w:name w:val="Formula Carattere"/>
    <w:basedOn w:val="CETEquationCarattere"/>
    <w:link w:val="Formula"/>
    <w:rsid w:val="00BD44C3"/>
    <w:rPr>
      <w:rFonts w:ascii="Arial" w:eastAsia="Times New Roman" w:hAnsi="Arial" w:cs="Arial"/>
      <w:i/>
      <w:sz w:val="18"/>
      <w:szCs w:val="18"/>
      <w:lang w:val="en-GB"/>
    </w:rPr>
  </w:style>
  <w:style w:type="paragraph" w:customStyle="1" w:styleId="Formuladv">
    <w:name w:val="Formula dv"/>
    <w:link w:val="FormuladvCarattere"/>
    <w:rsid w:val="00A11D45"/>
    <w:rPr>
      <w:rFonts w:ascii="Arial" w:eastAsia="Times New Roman" w:hAnsi="Arial" w:cs="Arial"/>
      <w:i/>
      <w:sz w:val="18"/>
      <w:szCs w:val="18"/>
      <w:lang w:val="en-GB"/>
    </w:rPr>
  </w:style>
  <w:style w:type="character" w:customStyle="1" w:styleId="FormuladvCarattere">
    <w:name w:val="Formula dv Carattere"/>
    <w:basedOn w:val="CETEquationCarattere"/>
    <w:link w:val="Formuladv"/>
    <w:rsid w:val="00A11D45"/>
    <w:rPr>
      <w:rFonts w:ascii="Arial" w:eastAsia="Times New Roman" w:hAnsi="Arial" w:cs="Arial"/>
      <w:i/>
      <w:sz w:val="18"/>
      <w:szCs w:val="18"/>
      <w:lang w:val="en-GB"/>
    </w:rPr>
  </w:style>
  <w:style w:type="character" w:styleId="Enfasidelicata">
    <w:name w:val="Subtle Emphasis"/>
    <w:basedOn w:val="Carpredefinitoparagrafo"/>
    <w:uiPriority w:val="19"/>
    <w:qFormat/>
    <w:rsid w:val="007214B1"/>
    <w:rPr>
      <w:i/>
      <w:iCs/>
      <w:color w:val="808080" w:themeColor="text1" w:themeTint="7F"/>
    </w:rPr>
  </w:style>
  <w:style w:type="character" w:styleId="Enfasiintensa">
    <w:name w:val="Intense Emphasis"/>
    <w:basedOn w:val="Carpredefinitoparagrafo"/>
    <w:uiPriority w:val="21"/>
    <w:qFormat/>
    <w:rsid w:val="007214B1"/>
    <w:rPr>
      <w:b/>
      <w:bCs/>
      <w:i/>
      <w:iCs/>
      <w:color w:val="4F81BD" w:themeColor="accent1"/>
    </w:rPr>
  </w:style>
  <w:style w:type="paragraph" w:styleId="Nessunaspaziatura">
    <w:name w:val="No Spacing"/>
    <w:uiPriority w:val="1"/>
    <w:qFormat/>
    <w:rsid w:val="007214B1"/>
    <w:pPr>
      <w:tabs>
        <w:tab w:val="right" w:pos="7100"/>
      </w:tabs>
      <w:spacing w:after="0" w:line="240" w:lineRule="auto"/>
      <w:jc w:val="both"/>
    </w:pPr>
    <w:rPr>
      <w:rFonts w:ascii="Arial" w:eastAsia="Times New Roman" w:hAnsi="Arial" w:cs="Times New Roman"/>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uiPriority w:val="99"/>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01CBB"/>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01CBB"/>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link w:val="CETEquationCarattere"/>
    <w:qFormat/>
    <w:rsid w:val="00600535"/>
    <w:pPr>
      <w:spacing w:before="120" w:after="120"/>
      <w:jc w:val="left"/>
    </w:pPr>
    <w:rPr>
      <w:lang w:val="en-GB"/>
    </w:r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 w:type="character" w:customStyle="1" w:styleId="shorttext">
    <w:name w:val="short_text"/>
    <w:basedOn w:val="Carpredefinitoparagrafo"/>
    <w:rsid w:val="00B00686"/>
  </w:style>
  <w:style w:type="character" w:customStyle="1" w:styleId="alt-edited">
    <w:name w:val="alt-edited"/>
    <w:basedOn w:val="Carpredefinitoparagrafo"/>
    <w:rsid w:val="00735420"/>
  </w:style>
  <w:style w:type="character" w:customStyle="1" w:styleId="st">
    <w:name w:val="st"/>
    <w:basedOn w:val="Carpredefinitoparagrafo"/>
    <w:rsid w:val="00C20262"/>
  </w:style>
  <w:style w:type="paragraph" w:styleId="Paragrafoelenco">
    <w:name w:val="List Paragraph"/>
    <w:basedOn w:val="Normale"/>
    <w:uiPriority w:val="34"/>
    <w:rsid w:val="006C2F5C"/>
    <w:pPr>
      <w:ind w:left="720"/>
      <w:contextualSpacing/>
    </w:pPr>
  </w:style>
  <w:style w:type="paragraph" w:customStyle="1" w:styleId="Formula">
    <w:name w:val="Formula"/>
    <w:basedOn w:val="CETEquation"/>
    <w:link w:val="FormulaCarattere"/>
    <w:qFormat/>
    <w:rsid w:val="00BD44C3"/>
    <w:rPr>
      <w:rFonts w:cs="Arial"/>
      <w:i/>
      <w:szCs w:val="18"/>
    </w:rPr>
  </w:style>
  <w:style w:type="character" w:customStyle="1" w:styleId="CETEquationCarattere">
    <w:name w:val="CET Equation Carattere"/>
    <w:basedOn w:val="CETBodytextCarattere"/>
    <w:link w:val="CETEquation"/>
    <w:rsid w:val="00BD44C3"/>
    <w:rPr>
      <w:rFonts w:ascii="Arial" w:eastAsia="Times New Roman" w:hAnsi="Arial" w:cs="Times New Roman"/>
      <w:sz w:val="18"/>
      <w:szCs w:val="20"/>
      <w:lang w:val="en-GB"/>
    </w:rPr>
  </w:style>
  <w:style w:type="character" w:customStyle="1" w:styleId="FormulaCarattere">
    <w:name w:val="Formula Carattere"/>
    <w:basedOn w:val="CETEquationCarattere"/>
    <w:link w:val="Formula"/>
    <w:rsid w:val="00BD44C3"/>
    <w:rPr>
      <w:rFonts w:ascii="Arial" w:eastAsia="Times New Roman" w:hAnsi="Arial" w:cs="Arial"/>
      <w:i/>
      <w:sz w:val="18"/>
      <w:szCs w:val="18"/>
      <w:lang w:val="en-GB"/>
    </w:rPr>
  </w:style>
  <w:style w:type="paragraph" w:customStyle="1" w:styleId="Formuladv">
    <w:name w:val="Formula dv"/>
    <w:link w:val="FormuladvCarattere"/>
    <w:rsid w:val="00A11D45"/>
    <w:rPr>
      <w:rFonts w:ascii="Arial" w:eastAsia="Times New Roman" w:hAnsi="Arial" w:cs="Arial"/>
      <w:i/>
      <w:sz w:val="18"/>
      <w:szCs w:val="18"/>
      <w:lang w:val="en-GB"/>
    </w:rPr>
  </w:style>
  <w:style w:type="character" w:customStyle="1" w:styleId="FormuladvCarattere">
    <w:name w:val="Formula dv Carattere"/>
    <w:basedOn w:val="CETEquationCarattere"/>
    <w:link w:val="Formuladv"/>
    <w:rsid w:val="00A11D45"/>
    <w:rPr>
      <w:rFonts w:ascii="Arial" w:eastAsia="Times New Roman" w:hAnsi="Arial" w:cs="Arial"/>
      <w:i/>
      <w:sz w:val="18"/>
      <w:szCs w:val="18"/>
      <w:lang w:val="en-GB"/>
    </w:rPr>
  </w:style>
  <w:style w:type="character" w:styleId="Enfasidelicata">
    <w:name w:val="Subtle Emphasis"/>
    <w:basedOn w:val="Carpredefinitoparagrafo"/>
    <w:uiPriority w:val="19"/>
    <w:qFormat/>
    <w:rsid w:val="007214B1"/>
    <w:rPr>
      <w:i/>
      <w:iCs/>
      <w:color w:val="808080" w:themeColor="text1" w:themeTint="7F"/>
    </w:rPr>
  </w:style>
  <w:style w:type="character" w:styleId="Enfasiintensa">
    <w:name w:val="Intense Emphasis"/>
    <w:basedOn w:val="Carpredefinitoparagrafo"/>
    <w:uiPriority w:val="21"/>
    <w:qFormat/>
    <w:rsid w:val="007214B1"/>
    <w:rPr>
      <w:b/>
      <w:bCs/>
      <w:i/>
      <w:iCs/>
      <w:color w:val="4F81BD" w:themeColor="accent1"/>
    </w:rPr>
  </w:style>
  <w:style w:type="paragraph" w:styleId="Nessunaspaziatura">
    <w:name w:val="No Spacing"/>
    <w:uiPriority w:val="1"/>
    <w:qFormat/>
    <w:rsid w:val="007214B1"/>
    <w:pPr>
      <w:tabs>
        <w:tab w:val="right" w:pos="7100"/>
      </w:tabs>
      <w:spacing w:after="0" w:line="240" w:lineRule="auto"/>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9333">
      <w:bodyDiv w:val="1"/>
      <w:marLeft w:val="0"/>
      <w:marRight w:val="0"/>
      <w:marTop w:val="0"/>
      <w:marBottom w:val="0"/>
      <w:divBdr>
        <w:top w:val="none" w:sz="0" w:space="0" w:color="auto"/>
        <w:left w:val="none" w:sz="0" w:space="0" w:color="auto"/>
        <w:bottom w:val="none" w:sz="0" w:space="0" w:color="auto"/>
        <w:right w:val="none" w:sz="0" w:space="0" w:color="auto"/>
      </w:divBdr>
    </w:div>
    <w:div w:id="267780122">
      <w:bodyDiv w:val="1"/>
      <w:marLeft w:val="0"/>
      <w:marRight w:val="0"/>
      <w:marTop w:val="0"/>
      <w:marBottom w:val="0"/>
      <w:divBdr>
        <w:top w:val="none" w:sz="0" w:space="0" w:color="auto"/>
        <w:left w:val="none" w:sz="0" w:space="0" w:color="auto"/>
        <w:bottom w:val="none" w:sz="0" w:space="0" w:color="auto"/>
        <w:right w:val="none" w:sz="0" w:space="0" w:color="auto"/>
      </w:divBdr>
      <w:divsChild>
        <w:div w:id="1474909040">
          <w:marLeft w:val="0"/>
          <w:marRight w:val="0"/>
          <w:marTop w:val="0"/>
          <w:marBottom w:val="0"/>
          <w:divBdr>
            <w:top w:val="none" w:sz="0" w:space="0" w:color="auto"/>
            <w:left w:val="none" w:sz="0" w:space="0" w:color="auto"/>
            <w:bottom w:val="none" w:sz="0" w:space="0" w:color="auto"/>
            <w:right w:val="none" w:sz="0" w:space="0" w:color="auto"/>
          </w:divBdr>
        </w:div>
        <w:div w:id="399444099">
          <w:marLeft w:val="0"/>
          <w:marRight w:val="0"/>
          <w:marTop w:val="0"/>
          <w:marBottom w:val="0"/>
          <w:divBdr>
            <w:top w:val="none" w:sz="0" w:space="0" w:color="auto"/>
            <w:left w:val="none" w:sz="0" w:space="0" w:color="auto"/>
            <w:bottom w:val="none" w:sz="0" w:space="0" w:color="auto"/>
            <w:right w:val="none" w:sz="0" w:space="0" w:color="auto"/>
          </w:divBdr>
        </w:div>
      </w:divsChild>
    </w:div>
    <w:div w:id="321544903">
      <w:bodyDiv w:val="1"/>
      <w:marLeft w:val="0"/>
      <w:marRight w:val="0"/>
      <w:marTop w:val="0"/>
      <w:marBottom w:val="0"/>
      <w:divBdr>
        <w:top w:val="none" w:sz="0" w:space="0" w:color="auto"/>
        <w:left w:val="none" w:sz="0" w:space="0" w:color="auto"/>
        <w:bottom w:val="none" w:sz="0" w:space="0" w:color="auto"/>
        <w:right w:val="none" w:sz="0" w:space="0" w:color="auto"/>
      </w:divBdr>
    </w:div>
    <w:div w:id="562375058">
      <w:bodyDiv w:val="1"/>
      <w:marLeft w:val="0"/>
      <w:marRight w:val="0"/>
      <w:marTop w:val="0"/>
      <w:marBottom w:val="0"/>
      <w:divBdr>
        <w:top w:val="none" w:sz="0" w:space="0" w:color="auto"/>
        <w:left w:val="none" w:sz="0" w:space="0" w:color="auto"/>
        <w:bottom w:val="none" w:sz="0" w:space="0" w:color="auto"/>
        <w:right w:val="none" w:sz="0" w:space="0" w:color="auto"/>
      </w:divBdr>
      <w:divsChild>
        <w:div w:id="986131937">
          <w:marLeft w:val="0"/>
          <w:marRight w:val="0"/>
          <w:marTop w:val="0"/>
          <w:marBottom w:val="0"/>
          <w:divBdr>
            <w:top w:val="none" w:sz="0" w:space="0" w:color="auto"/>
            <w:left w:val="none" w:sz="0" w:space="0" w:color="auto"/>
            <w:bottom w:val="none" w:sz="0" w:space="0" w:color="auto"/>
            <w:right w:val="none" w:sz="0" w:space="0" w:color="auto"/>
          </w:divBdr>
        </w:div>
      </w:divsChild>
    </w:div>
    <w:div w:id="62188478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1728">
      <w:bodyDiv w:val="1"/>
      <w:marLeft w:val="0"/>
      <w:marRight w:val="0"/>
      <w:marTop w:val="0"/>
      <w:marBottom w:val="0"/>
      <w:divBdr>
        <w:top w:val="none" w:sz="0" w:space="0" w:color="auto"/>
        <w:left w:val="none" w:sz="0" w:space="0" w:color="auto"/>
        <w:bottom w:val="none" w:sz="0" w:space="0" w:color="auto"/>
        <w:right w:val="none" w:sz="0" w:space="0" w:color="auto"/>
      </w:divBdr>
    </w:div>
    <w:div w:id="844438161">
      <w:bodyDiv w:val="1"/>
      <w:marLeft w:val="0"/>
      <w:marRight w:val="0"/>
      <w:marTop w:val="0"/>
      <w:marBottom w:val="0"/>
      <w:divBdr>
        <w:top w:val="none" w:sz="0" w:space="0" w:color="auto"/>
        <w:left w:val="none" w:sz="0" w:space="0" w:color="auto"/>
        <w:bottom w:val="none" w:sz="0" w:space="0" w:color="auto"/>
        <w:right w:val="none" w:sz="0" w:space="0" w:color="auto"/>
      </w:divBdr>
      <w:divsChild>
        <w:div w:id="1668052278">
          <w:marLeft w:val="0"/>
          <w:marRight w:val="0"/>
          <w:marTop w:val="0"/>
          <w:marBottom w:val="0"/>
          <w:divBdr>
            <w:top w:val="none" w:sz="0" w:space="0" w:color="auto"/>
            <w:left w:val="none" w:sz="0" w:space="0" w:color="auto"/>
            <w:bottom w:val="none" w:sz="0" w:space="0" w:color="auto"/>
            <w:right w:val="none" w:sz="0" w:space="0" w:color="auto"/>
          </w:divBdr>
          <w:divsChild>
            <w:div w:id="347099568">
              <w:marLeft w:val="0"/>
              <w:marRight w:val="0"/>
              <w:marTop w:val="0"/>
              <w:marBottom w:val="0"/>
              <w:divBdr>
                <w:top w:val="none" w:sz="0" w:space="0" w:color="auto"/>
                <w:left w:val="none" w:sz="0" w:space="0" w:color="auto"/>
                <w:bottom w:val="none" w:sz="0" w:space="0" w:color="auto"/>
                <w:right w:val="none" w:sz="0" w:space="0" w:color="auto"/>
              </w:divBdr>
              <w:divsChild>
                <w:div w:id="1491411113">
                  <w:marLeft w:val="0"/>
                  <w:marRight w:val="0"/>
                  <w:marTop w:val="0"/>
                  <w:marBottom w:val="0"/>
                  <w:divBdr>
                    <w:top w:val="none" w:sz="0" w:space="0" w:color="auto"/>
                    <w:left w:val="none" w:sz="0" w:space="0" w:color="auto"/>
                    <w:bottom w:val="none" w:sz="0" w:space="0" w:color="auto"/>
                    <w:right w:val="none" w:sz="0" w:space="0" w:color="auto"/>
                  </w:divBdr>
                  <w:divsChild>
                    <w:div w:id="1491748788">
                      <w:marLeft w:val="0"/>
                      <w:marRight w:val="0"/>
                      <w:marTop w:val="0"/>
                      <w:marBottom w:val="0"/>
                      <w:divBdr>
                        <w:top w:val="none" w:sz="0" w:space="0" w:color="auto"/>
                        <w:left w:val="none" w:sz="0" w:space="0" w:color="auto"/>
                        <w:bottom w:val="none" w:sz="0" w:space="0" w:color="auto"/>
                        <w:right w:val="none" w:sz="0" w:space="0" w:color="auto"/>
                      </w:divBdr>
                      <w:divsChild>
                        <w:div w:id="479464214">
                          <w:marLeft w:val="0"/>
                          <w:marRight w:val="0"/>
                          <w:marTop w:val="0"/>
                          <w:marBottom w:val="0"/>
                          <w:divBdr>
                            <w:top w:val="none" w:sz="0" w:space="0" w:color="auto"/>
                            <w:left w:val="none" w:sz="0" w:space="0" w:color="auto"/>
                            <w:bottom w:val="none" w:sz="0" w:space="0" w:color="auto"/>
                            <w:right w:val="none" w:sz="0" w:space="0" w:color="auto"/>
                          </w:divBdr>
                          <w:divsChild>
                            <w:div w:id="1813794532">
                              <w:marLeft w:val="0"/>
                              <w:marRight w:val="0"/>
                              <w:marTop w:val="0"/>
                              <w:marBottom w:val="0"/>
                              <w:divBdr>
                                <w:top w:val="none" w:sz="0" w:space="0" w:color="auto"/>
                                <w:left w:val="none" w:sz="0" w:space="0" w:color="auto"/>
                                <w:bottom w:val="none" w:sz="0" w:space="0" w:color="auto"/>
                                <w:right w:val="none" w:sz="0" w:space="0" w:color="auto"/>
                              </w:divBdr>
                              <w:divsChild>
                                <w:div w:id="1231185593">
                                  <w:marLeft w:val="0"/>
                                  <w:marRight w:val="0"/>
                                  <w:marTop w:val="0"/>
                                  <w:marBottom w:val="0"/>
                                  <w:divBdr>
                                    <w:top w:val="none" w:sz="0" w:space="0" w:color="auto"/>
                                    <w:left w:val="none" w:sz="0" w:space="0" w:color="auto"/>
                                    <w:bottom w:val="none" w:sz="0" w:space="0" w:color="auto"/>
                                    <w:right w:val="none" w:sz="0" w:space="0" w:color="auto"/>
                                  </w:divBdr>
                                  <w:divsChild>
                                    <w:div w:id="111749185">
                                      <w:marLeft w:val="0"/>
                                      <w:marRight w:val="0"/>
                                      <w:marTop w:val="0"/>
                                      <w:marBottom w:val="0"/>
                                      <w:divBdr>
                                        <w:top w:val="none" w:sz="0" w:space="0" w:color="auto"/>
                                        <w:left w:val="none" w:sz="0" w:space="0" w:color="auto"/>
                                        <w:bottom w:val="none" w:sz="0" w:space="0" w:color="auto"/>
                                        <w:right w:val="none" w:sz="0" w:space="0" w:color="auto"/>
                                      </w:divBdr>
                                      <w:divsChild>
                                        <w:div w:id="90979819">
                                          <w:marLeft w:val="0"/>
                                          <w:marRight w:val="0"/>
                                          <w:marTop w:val="0"/>
                                          <w:marBottom w:val="0"/>
                                          <w:divBdr>
                                            <w:top w:val="none" w:sz="0" w:space="0" w:color="auto"/>
                                            <w:left w:val="none" w:sz="0" w:space="0" w:color="auto"/>
                                            <w:bottom w:val="none" w:sz="0" w:space="0" w:color="auto"/>
                                            <w:right w:val="none" w:sz="0" w:space="0" w:color="auto"/>
                                          </w:divBdr>
                                          <w:divsChild>
                                            <w:div w:id="1350448522">
                                              <w:marLeft w:val="0"/>
                                              <w:marRight w:val="0"/>
                                              <w:marTop w:val="0"/>
                                              <w:marBottom w:val="0"/>
                                              <w:divBdr>
                                                <w:top w:val="none" w:sz="0" w:space="0" w:color="auto"/>
                                                <w:left w:val="none" w:sz="0" w:space="0" w:color="auto"/>
                                                <w:bottom w:val="none" w:sz="0" w:space="0" w:color="auto"/>
                                                <w:right w:val="none" w:sz="0" w:space="0" w:color="auto"/>
                                              </w:divBdr>
                                              <w:divsChild>
                                                <w:div w:id="1539195884">
                                                  <w:marLeft w:val="0"/>
                                                  <w:marRight w:val="0"/>
                                                  <w:marTop w:val="0"/>
                                                  <w:marBottom w:val="0"/>
                                                  <w:divBdr>
                                                    <w:top w:val="none" w:sz="0" w:space="0" w:color="auto"/>
                                                    <w:left w:val="none" w:sz="0" w:space="0" w:color="auto"/>
                                                    <w:bottom w:val="none" w:sz="0" w:space="0" w:color="auto"/>
                                                    <w:right w:val="none" w:sz="0" w:space="0" w:color="auto"/>
                                                  </w:divBdr>
                                                  <w:divsChild>
                                                    <w:div w:id="1908689000">
                                                      <w:marLeft w:val="0"/>
                                                      <w:marRight w:val="0"/>
                                                      <w:marTop w:val="90"/>
                                                      <w:marBottom w:val="90"/>
                                                      <w:divBdr>
                                                        <w:top w:val="none" w:sz="0" w:space="0" w:color="auto"/>
                                                        <w:left w:val="none" w:sz="0" w:space="0" w:color="auto"/>
                                                        <w:bottom w:val="none" w:sz="0" w:space="0" w:color="auto"/>
                                                        <w:right w:val="none" w:sz="0" w:space="0" w:color="auto"/>
                                                      </w:divBdr>
                                                      <w:divsChild>
                                                        <w:div w:id="1754089003">
                                                          <w:marLeft w:val="0"/>
                                                          <w:marRight w:val="0"/>
                                                          <w:marTop w:val="0"/>
                                                          <w:marBottom w:val="0"/>
                                                          <w:divBdr>
                                                            <w:top w:val="none" w:sz="0" w:space="0" w:color="auto"/>
                                                            <w:left w:val="none" w:sz="0" w:space="0" w:color="auto"/>
                                                            <w:bottom w:val="none" w:sz="0" w:space="0" w:color="auto"/>
                                                            <w:right w:val="none" w:sz="0" w:space="0" w:color="auto"/>
                                                          </w:divBdr>
                                                          <w:divsChild>
                                                            <w:div w:id="17734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191830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343150">
      <w:bodyDiv w:val="1"/>
      <w:marLeft w:val="0"/>
      <w:marRight w:val="0"/>
      <w:marTop w:val="0"/>
      <w:marBottom w:val="0"/>
      <w:divBdr>
        <w:top w:val="none" w:sz="0" w:space="0" w:color="auto"/>
        <w:left w:val="none" w:sz="0" w:space="0" w:color="auto"/>
        <w:bottom w:val="none" w:sz="0" w:space="0" w:color="auto"/>
        <w:right w:val="none" w:sz="0" w:space="0" w:color="auto"/>
      </w:divBdr>
      <w:divsChild>
        <w:div w:id="954412357">
          <w:marLeft w:val="0"/>
          <w:marRight w:val="0"/>
          <w:marTop w:val="0"/>
          <w:marBottom w:val="0"/>
          <w:divBdr>
            <w:top w:val="none" w:sz="0" w:space="0" w:color="auto"/>
            <w:left w:val="none" w:sz="0" w:space="0" w:color="auto"/>
            <w:bottom w:val="none" w:sz="0" w:space="0" w:color="auto"/>
            <w:right w:val="none" w:sz="0" w:space="0" w:color="auto"/>
          </w:divBdr>
          <w:divsChild>
            <w:div w:id="1974365587">
              <w:marLeft w:val="0"/>
              <w:marRight w:val="0"/>
              <w:marTop w:val="0"/>
              <w:marBottom w:val="0"/>
              <w:divBdr>
                <w:top w:val="none" w:sz="0" w:space="0" w:color="auto"/>
                <w:left w:val="none" w:sz="0" w:space="0" w:color="auto"/>
                <w:bottom w:val="none" w:sz="0" w:space="0" w:color="auto"/>
                <w:right w:val="none" w:sz="0" w:space="0" w:color="auto"/>
              </w:divBdr>
              <w:divsChild>
                <w:div w:id="606498159">
                  <w:marLeft w:val="0"/>
                  <w:marRight w:val="0"/>
                  <w:marTop w:val="0"/>
                  <w:marBottom w:val="0"/>
                  <w:divBdr>
                    <w:top w:val="none" w:sz="0" w:space="0" w:color="auto"/>
                    <w:left w:val="none" w:sz="0" w:space="0" w:color="auto"/>
                    <w:bottom w:val="none" w:sz="0" w:space="0" w:color="auto"/>
                    <w:right w:val="none" w:sz="0" w:space="0" w:color="auto"/>
                  </w:divBdr>
                  <w:divsChild>
                    <w:div w:id="568082154">
                      <w:marLeft w:val="0"/>
                      <w:marRight w:val="0"/>
                      <w:marTop w:val="0"/>
                      <w:marBottom w:val="0"/>
                      <w:divBdr>
                        <w:top w:val="none" w:sz="0" w:space="0" w:color="auto"/>
                        <w:left w:val="none" w:sz="0" w:space="0" w:color="auto"/>
                        <w:bottom w:val="none" w:sz="0" w:space="0" w:color="auto"/>
                        <w:right w:val="none" w:sz="0" w:space="0" w:color="auto"/>
                      </w:divBdr>
                      <w:divsChild>
                        <w:div w:id="1705594806">
                          <w:marLeft w:val="0"/>
                          <w:marRight w:val="0"/>
                          <w:marTop w:val="0"/>
                          <w:marBottom w:val="0"/>
                          <w:divBdr>
                            <w:top w:val="none" w:sz="0" w:space="0" w:color="auto"/>
                            <w:left w:val="none" w:sz="0" w:space="0" w:color="auto"/>
                            <w:bottom w:val="none" w:sz="0" w:space="0" w:color="auto"/>
                            <w:right w:val="none" w:sz="0" w:space="0" w:color="auto"/>
                          </w:divBdr>
                          <w:divsChild>
                            <w:div w:id="1643775005">
                              <w:marLeft w:val="0"/>
                              <w:marRight w:val="0"/>
                              <w:marTop w:val="0"/>
                              <w:marBottom w:val="0"/>
                              <w:divBdr>
                                <w:top w:val="none" w:sz="0" w:space="0" w:color="auto"/>
                                <w:left w:val="none" w:sz="0" w:space="0" w:color="auto"/>
                                <w:bottom w:val="none" w:sz="0" w:space="0" w:color="auto"/>
                                <w:right w:val="none" w:sz="0" w:space="0" w:color="auto"/>
                              </w:divBdr>
                              <w:divsChild>
                                <w:div w:id="277832433">
                                  <w:marLeft w:val="0"/>
                                  <w:marRight w:val="0"/>
                                  <w:marTop w:val="0"/>
                                  <w:marBottom w:val="0"/>
                                  <w:divBdr>
                                    <w:top w:val="none" w:sz="0" w:space="0" w:color="auto"/>
                                    <w:left w:val="none" w:sz="0" w:space="0" w:color="auto"/>
                                    <w:bottom w:val="none" w:sz="0" w:space="0" w:color="auto"/>
                                    <w:right w:val="none" w:sz="0" w:space="0" w:color="auto"/>
                                  </w:divBdr>
                                  <w:divsChild>
                                    <w:div w:id="82730074">
                                      <w:marLeft w:val="0"/>
                                      <w:marRight w:val="0"/>
                                      <w:marTop w:val="0"/>
                                      <w:marBottom w:val="0"/>
                                      <w:divBdr>
                                        <w:top w:val="none" w:sz="0" w:space="0" w:color="auto"/>
                                        <w:left w:val="none" w:sz="0" w:space="0" w:color="auto"/>
                                        <w:bottom w:val="none" w:sz="0" w:space="0" w:color="auto"/>
                                        <w:right w:val="none" w:sz="0" w:space="0" w:color="auto"/>
                                      </w:divBdr>
                                      <w:divsChild>
                                        <w:div w:id="357047475">
                                          <w:marLeft w:val="0"/>
                                          <w:marRight w:val="0"/>
                                          <w:marTop w:val="0"/>
                                          <w:marBottom w:val="495"/>
                                          <w:divBdr>
                                            <w:top w:val="none" w:sz="0" w:space="0" w:color="auto"/>
                                            <w:left w:val="none" w:sz="0" w:space="0" w:color="auto"/>
                                            <w:bottom w:val="none" w:sz="0" w:space="0" w:color="auto"/>
                                            <w:right w:val="none" w:sz="0" w:space="0" w:color="auto"/>
                                          </w:divBdr>
                                          <w:divsChild>
                                            <w:div w:id="1848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66054">
      <w:bodyDiv w:val="1"/>
      <w:marLeft w:val="0"/>
      <w:marRight w:val="0"/>
      <w:marTop w:val="0"/>
      <w:marBottom w:val="0"/>
      <w:divBdr>
        <w:top w:val="none" w:sz="0" w:space="0" w:color="auto"/>
        <w:left w:val="none" w:sz="0" w:space="0" w:color="auto"/>
        <w:bottom w:val="none" w:sz="0" w:space="0" w:color="auto"/>
        <w:right w:val="none" w:sz="0" w:space="0" w:color="auto"/>
      </w:divBdr>
      <w:divsChild>
        <w:div w:id="889800035">
          <w:marLeft w:val="0"/>
          <w:marRight w:val="0"/>
          <w:marTop w:val="0"/>
          <w:marBottom w:val="0"/>
          <w:divBdr>
            <w:top w:val="none" w:sz="0" w:space="0" w:color="auto"/>
            <w:left w:val="none" w:sz="0" w:space="0" w:color="auto"/>
            <w:bottom w:val="none" w:sz="0" w:space="0" w:color="auto"/>
            <w:right w:val="none" w:sz="0" w:space="0" w:color="auto"/>
          </w:divBdr>
        </w:div>
      </w:divsChild>
    </w:div>
    <w:div w:id="1041783668">
      <w:bodyDiv w:val="1"/>
      <w:marLeft w:val="0"/>
      <w:marRight w:val="0"/>
      <w:marTop w:val="0"/>
      <w:marBottom w:val="0"/>
      <w:divBdr>
        <w:top w:val="none" w:sz="0" w:space="0" w:color="auto"/>
        <w:left w:val="none" w:sz="0" w:space="0" w:color="auto"/>
        <w:bottom w:val="none" w:sz="0" w:space="0" w:color="auto"/>
        <w:right w:val="none" w:sz="0" w:space="0" w:color="auto"/>
      </w:divBdr>
    </w:div>
    <w:div w:id="1077746301">
      <w:bodyDiv w:val="1"/>
      <w:marLeft w:val="0"/>
      <w:marRight w:val="0"/>
      <w:marTop w:val="0"/>
      <w:marBottom w:val="0"/>
      <w:divBdr>
        <w:top w:val="none" w:sz="0" w:space="0" w:color="auto"/>
        <w:left w:val="none" w:sz="0" w:space="0" w:color="auto"/>
        <w:bottom w:val="none" w:sz="0" w:space="0" w:color="auto"/>
        <w:right w:val="none" w:sz="0" w:space="0" w:color="auto"/>
      </w:divBdr>
      <w:divsChild>
        <w:div w:id="330063206">
          <w:marLeft w:val="0"/>
          <w:marRight w:val="0"/>
          <w:marTop w:val="0"/>
          <w:marBottom w:val="0"/>
          <w:divBdr>
            <w:top w:val="none" w:sz="0" w:space="0" w:color="auto"/>
            <w:left w:val="none" w:sz="0" w:space="0" w:color="auto"/>
            <w:bottom w:val="none" w:sz="0" w:space="0" w:color="auto"/>
            <w:right w:val="none" w:sz="0" w:space="0" w:color="auto"/>
          </w:divBdr>
        </w:div>
      </w:divsChild>
    </w:div>
    <w:div w:id="1096174283">
      <w:bodyDiv w:val="1"/>
      <w:marLeft w:val="0"/>
      <w:marRight w:val="0"/>
      <w:marTop w:val="0"/>
      <w:marBottom w:val="0"/>
      <w:divBdr>
        <w:top w:val="none" w:sz="0" w:space="0" w:color="auto"/>
        <w:left w:val="none" w:sz="0" w:space="0" w:color="auto"/>
        <w:bottom w:val="none" w:sz="0" w:space="0" w:color="auto"/>
        <w:right w:val="none" w:sz="0" w:space="0" w:color="auto"/>
      </w:divBdr>
      <w:divsChild>
        <w:div w:id="1094470065">
          <w:marLeft w:val="0"/>
          <w:marRight w:val="0"/>
          <w:marTop w:val="0"/>
          <w:marBottom w:val="0"/>
          <w:divBdr>
            <w:top w:val="none" w:sz="0" w:space="0" w:color="auto"/>
            <w:left w:val="none" w:sz="0" w:space="0" w:color="auto"/>
            <w:bottom w:val="none" w:sz="0" w:space="0" w:color="auto"/>
            <w:right w:val="none" w:sz="0" w:space="0" w:color="auto"/>
          </w:divBdr>
        </w:div>
        <w:div w:id="429935591">
          <w:marLeft w:val="0"/>
          <w:marRight w:val="0"/>
          <w:marTop w:val="0"/>
          <w:marBottom w:val="0"/>
          <w:divBdr>
            <w:top w:val="none" w:sz="0" w:space="0" w:color="auto"/>
            <w:left w:val="none" w:sz="0" w:space="0" w:color="auto"/>
            <w:bottom w:val="none" w:sz="0" w:space="0" w:color="auto"/>
            <w:right w:val="none" w:sz="0" w:space="0" w:color="auto"/>
          </w:divBdr>
        </w:div>
        <w:div w:id="1860313133">
          <w:marLeft w:val="0"/>
          <w:marRight w:val="0"/>
          <w:marTop w:val="0"/>
          <w:marBottom w:val="0"/>
          <w:divBdr>
            <w:top w:val="none" w:sz="0" w:space="0" w:color="auto"/>
            <w:left w:val="none" w:sz="0" w:space="0" w:color="auto"/>
            <w:bottom w:val="none" w:sz="0" w:space="0" w:color="auto"/>
            <w:right w:val="none" w:sz="0" w:space="0" w:color="auto"/>
          </w:divBdr>
        </w:div>
        <w:div w:id="16273392">
          <w:marLeft w:val="0"/>
          <w:marRight w:val="0"/>
          <w:marTop w:val="0"/>
          <w:marBottom w:val="0"/>
          <w:divBdr>
            <w:top w:val="none" w:sz="0" w:space="0" w:color="auto"/>
            <w:left w:val="none" w:sz="0" w:space="0" w:color="auto"/>
            <w:bottom w:val="none" w:sz="0" w:space="0" w:color="auto"/>
            <w:right w:val="none" w:sz="0" w:space="0" w:color="auto"/>
          </w:divBdr>
        </w:div>
      </w:divsChild>
    </w:div>
    <w:div w:id="1132476966">
      <w:bodyDiv w:val="1"/>
      <w:marLeft w:val="0"/>
      <w:marRight w:val="0"/>
      <w:marTop w:val="0"/>
      <w:marBottom w:val="0"/>
      <w:divBdr>
        <w:top w:val="none" w:sz="0" w:space="0" w:color="auto"/>
        <w:left w:val="none" w:sz="0" w:space="0" w:color="auto"/>
        <w:bottom w:val="none" w:sz="0" w:space="0" w:color="auto"/>
        <w:right w:val="none" w:sz="0" w:space="0" w:color="auto"/>
      </w:divBdr>
    </w:div>
    <w:div w:id="1197155542">
      <w:bodyDiv w:val="1"/>
      <w:marLeft w:val="0"/>
      <w:marRight w:val="0"/>
      <w:marTop w:val="0"/>
      <w:marBottom w:val="0"/>
      <w:divBdr>
        <w:top w:val="none" w:sz="0" w:space="0" w:color="auto"/>
        <w:left w:val="none" w:sz="0" w:space="0" w:color="auto"/>
        <w:bottom w:val="none" w:sz="0" w:space="0" w:color="auto"/>
        <w:right w:val="none" w:sz="0" w:space="0" w:color="auto"/>
      </w:divBdr>
      <w:divsChild>
        <w:div w:id="317272376">
          <w:marLeft w:val="0"/>
          <w:marRight w:val="0"/>
          <w:marTop w:val="0"/>
          <w:marBottom w:val="0"/>
          <w:divBdr>
            <w:top w:val="none" w:sz="0" w:space="0" w:color="auto"/>
            <w:left w:val="none" w:sz="0" w:space="0" w:color="auto"/>
            <w:bottom w:val="none" w:sz="0" w:space="0" w:color="auto"/>
            <w:right w:val="none" w:sz="0" w:space="0" w:color="auto"/>
          </w:divBdr>
        </w:div>
      </w:divsChild>
    </w:div>
    <w:div w:id="1453669936">
      <w:bodyDiv w:val="1"/>
      <w:marLeft w:val="0"/>
      <w:marRight w:val="0"/>
      <w:marTop w:val="0"/>
      <w:marBottom w:val="0"/>
      <w:divBdr>
        <w:top w:val="none" w:sz="0" w:space="0" w:color="auto"/>
        <w:left w:val="none" w:sz="0" w:space="0" w:color="auto"/>
        <w:bottom w:val="none" w:sz="0" w:space="0" w:color="auto"/>
        <w:right w:val="none" w:sz="0" w:space="0" w:color="auto"/>
      </w:divBdr>
      <w:divsChild>
        <w:div w:id="1743673859">
          <w:marLeft w:val="0"/>
          <w:marRight w:val="0"/>
          <w:marTop w:val="0"/>
          <w:marBottom w:val="0"/>
          <w:divBdr>
            <w:top w:val="none" w:sz="0" w:space="0" w:color="auto"/>
            <w:left w:val="none" w:sz="0" w:space="0" w:color="auto"/>
            <w:bottom w:val="none" w:sz="0" w:space="0" w:color="auto"/>
            <w:right w:val="none" w:sz="0" w:space="0" w:color="auto"/>
          </w:divBdr>
          <w:divsChild>
            <w:div w:id="1212888270">
              <w:marLeft w:val="0"/>
              <w:marRight w:val="0"/>
              <w:marTop w:val="0"/>
              <w:marBottom w:val="0"/>
              <w:divBdr>
                <w:top w:val="none" w:sz="0" w:space="0" w:color="auto"/>
                <w:left w:val="none" w:sz="0" w:space="0" w:color="auto"/>
                <w:bottom w:val="none" w:sz="0" w:space="0" w:color="auto"/>
                <w:right w:val="none" w:sz="0" w:space="0" w:color="auto"/>
              </w:divBdr>
              <w:divsChild>
                <w:div w:id="1465271292">
                  <w:marLeft w:val="0"/>
                  <w:marRight w:val="0"/>
                  <w:marTop w:val="0"/>
                  <w:marBottom w:val="0"/>
                  <w:divBdr>
                    <w:top w:val="none" w:sz="0" w:space="0" w:color="auto"/>
                    <w:left w:val="none" w:sz="0" w:space="0" w:color="auto"/>
                    <w:bottom w:val="none" w:sz="0" w:space="0" w:color="auto"/>
                    <w:right w:val="none" w:sz="0" w:space="0" w:color="auto"/>
                  </w:divBdr>
                  <w:divsChild>
                    <w:div w:id="1598127025">
                      <w:marLeft w:val="0"/>
                      <w:marRight w:val="0"/>
                      <w:marTop w:val="0"/>
                      <w:marBottom w:val="0"/>
                      <w:divBdr>
                        <w:top w:val="none" w:sz="0" w:space="0" w:color="auto"/>
                        <w:left w:val="none" w:sz="0" w:space="0" w:color="auto"/>
                        <w:bottom w:val="none" w:sz="0" w:space="0" w:color="auto"/>
                        <w:right w:val="none" w:sz="0" w:space="0" w:color="auto"/>
                      </w:divBdr>
                      <w:divsChild>
                        <w:div w:id="221908675">
                          <w:marLeft w:val="0"/>
                          <w:marRight w:val="0"/>
                          <w:marTop w:val="0"/>
                          <w:marBottom w:val="0"/>
                          <w:divBdr>
                            <w:top w:val="none" w:sz="0" w:space="0" w:color="auto"/>
                            <w:left w:val="none" w:sz="0" w:space="0" w:color="auto"/>
                            <w:bottom w:val="none" w:sz="0" w:space="0" w:color="auto"/>
                            <w:right w:val="none" w:sz="0" w:space="0" w:color="auto"/>
                          </w:divBdr>
                          <w:divsChild>
                            <w:div w:id="665549222">
                              <w:marLeft w:val="0"/>
                              <w:marRight w:val="0"/>
                              <w:marTop w:val="0"/>
                              <w:marBottom w:val="0"/>
                              <w:divBdr>
                                <w:top w:val="none" w:sz="0" w:space="0" w:color="auto"/>
                                <w:left w:val="none" w:sz="0" w:space="0" w:color="auto"/>
                                <w:bottom w:val="none" w:sz="0" w:space="0" w:color="auto"/>
                                <w:right w:val="none" w:sz="0" w:space="0" w:color="auto"/>
                              </w:divBdr>
                              <w:divsChild>
                                <w:div w:id="577905420">
                                  <w:marLeft w:val="0"/>
                                  <w:marRight w:val="0"/>
                                  <w:marTop w:val="0"/>
                                  <w:marBottom w:val="0"/>
                                  <w:divBdr>
                                    <w:top w:val="none" w:sz="0" w:space="0" w:color="auto"/>
                                    <w:left w:val="none" w:sz="0" w:space="0" w:color="auto"/>
                                    <w:bottom w:val="none" w:sz="0" w:space="0" w:color="auto"/>
                                    <w:right w:val="none" w:sz="0" w:space="0" w:color="auto"/>
                                  </w:divBdr>
                                  <w:divsChild>
                                    <w:div w:id="1501391944">
                                      <w:marLeft w:val="0"/>
                                      <w:marRight w:val="0"/>
                                      <w:marTop w:val="0"/>
                                      <w:marBottom w:val="0"/>
                                      <w:divBdr>
                                        <w:top w:val="none" w:sz="0" w:space="0" w:color="auto"/>
                                        <w:left w:val="none" w:sz="0" w:space="0" w:color="auto"/>
                                        <w:bottom w:val="none" w:sz="0" w:space="0" w:color="auto"/>
                                        <w:right w:val="none" w:sz="0" w:space="0" w:color="auto"/>
                                      </w:divBdr>
                                      <w:divsChild>
                                        <w:div w:id="449858564">
                                          <w:marLeft w:val="0"/>
                                          <w:marRight w:val="0"/>
                                          <w:marTop w:val="0"/>
                                          <w:marBottom w:val="495"/>
                                          <w:divBdr>
                                            <w:top w:val="none" w:sz="0" w:space="0" w:color="auto"/>
                                            <w:left w:val="none" w:sz="0" w:space="0" w:color="auto"/>
                                            <w:bottom w:val="none" w:sz="0" w:space="0" w:color="auto"/>
                                            <w:right w:val="none" w:sz="0" w:space="0" w:color="auto"/>
                                          </w:divBdr>
                                          <w:divsChild>
                                            <w:div w:id="23929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2833215">
      <w:bodyDiv w:val="1"/>
      <w:marLeft w:val="0"/>
      <w:marRight w:val="0"/>
      <w:marTop w:val="0"/>
      <w:marBottom w:val="0"/>
      <w:divBdr>
        <w:top w:val="none" w:sz="0" w:space="0" w:color="auto"/>
        <w:left w:val="none" w:sz="0" w:space="0" w:color="auto"/>
        <w:bottom w:val="none" w:sz="0" w:space="0" w:color="auto"/>
        <w:right w:val="none" w:sz="0" w:space="0" w:color="auto"/>
      </w:divBdr>
      <w:divsChild>
        <w:div w:id="1422722809">
          <w:marLeft w:val="0"/>
          <w:marRight w:val="0"/>
          <w:marTop w:val="0"/>
          <w:marBottom w:val="0"/>
          <w:divBdr>
            <w:top w:val="none" w:sz="0" w:space="0" w:color="auto"/>
            <w:left w:val="none" w:sz="0" w:space="0" w:color="auto"/>
            <w:bottom w:val="none" w:sz="0" w:space="0" w:color="auto"/>
            <w:right w:val="none" w:sz="0" w:space="0" w:color="auto"/>
          </w:divBdr>
        </w:div>
      </w:divsChild>
    </w:div>
    <w:div w:id="167950479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9669">
      <w:bodyDiv w:val="1"/>
      <w:marLeft w:val="0"/>
      <w:marRight w:val="0"/>
      <w:marTop w:val="0"/>
      <w:marBottom w:val="0"/>
      <w:divBdr>
        <w:top w:val="none" w:sz="0" w:space="0" w:color="auto"/>
        <w:left w:val="none" w:sz="0" w:space="0" w:color="auto"/>
        <w:bottom w:val="none" w:sz="0" w:space="0" w:color="auto"/>
        <w:right w:val="none" w:sz="0" w:space="0" w:color="auto"/>
      </w:divBdr>
    </w:div>
    <w:div w:id="2116049944">
      <w:bodyDiv w:val="1"/>
      <w:marLeft w:val="0"/>
      <w:marRight w:val="0"/>
      <w:marTop w:val="0"/>
      <w:marBottom w:val="0"/>
      <w:divBdr>
        <w:top w:val="none" w:sz="0" w:space="0" w:color="auto"/>
        <w:left w:val="none" w:sz="0" w:space="0" w:color="auto"/>
        <w:bottom w:val="none" w:sz="0" w:space="0" w:color="auto"/>
        <w:right w:val="none" w:sz="0" w:space="0" w:color="auto"/>
      </w:divBdr>
      <w:divsChild>
        <w:div w:id="1896551512">
          <w:marLeft w:val="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14515-F079-4CE6-8AFB-AC38CE965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3828</Words>
  <Characters>21822</Characters>
  <Application>Microsoft Office Word</Application>
  <DocSecurity>0</DocSecurity>
  <Lines>181</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25599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4</cp:revision>
  <cp:lastPrinted>2019-02-15T14:24:00Z</cp:lastPrinted>
  <dcterms:created xsi:type="dcterms:W3CDTF">2019-02-15T16:31:00Z</dcterms:created>
  <dcterms:modified xsi:type="dcterms:W3CDTF">2019-04-01T12:37:00Z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