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F457D3"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F457D3" w:rsidRDefault="000A03B2" w:rsidP="00DE264A">
            <w:pPr>
              <w:tabs>
                <w:tab w:val="left" w:pos="-108"/>
              </w:tabs>
              <w:ind w:left="-108"/>
              <w:jc w:val="left"/>
              <w:rPr>
                <w:rFonts w:cs="Arial"/>
                <w:b/>
                <w:bCs/>
                <w:i/>
                <w:iCs/>
                <w:color w:val="000066"/>
                <w:sz w:val="12"/>
                <w:szCs w:val="12"/>
                <w:lang w:eastAsia="it-IT"/>
              </w:rPr>
            </w:pPr>
            <w:r w:rsidRPr="00F457D3">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F457D3">
              <w:rPr>
                <w:rFonts w:ascii="AdvP6960" w:hAnsi="AdvP6960" w:cs="AdvP6960"/>
                <w:color w:val="241F20"/>
                <w:szCs w:val="18"/>
                <w:lang w:eastAsia="it-IT"/>
              </w:rPr>
              <w:t xml:space="preserve"> </w:t>
            </w:r>
            <w:r w:rsidRPr="00F457D3">
              <w:rPr>
                <w:rFonts w:cs="Arial"/>
                <w:b/>
                <w:bCs/>
                <w:i/>
                <w:iCs/>
                <w:color w:val="000066"/>
                <w:sz w:val="24"/>
                <w:szCs w:val="24"/>
                <w:lang w:eastAsia="it-IT"/>
              </w:rPr>
              <w:t>CHEMICAL ENGINEERING</w:t>
            </w:r>
            <w:r w:rsidRPr="00F457D3">
              <w:rPr>
                <w:rFonts w:cs="Arial"/>
                <w:b/>
                <w:bCs/>
                <w:i/>
                <w:iCs/>
                <w:color w:val="0033FF"/>
                <w:sz w:val="24"/>
                <w:szCs w:val="24"/>
                <w:lang w:eastAsia="it-IT"/>
              </w:rPr>
              <w:t xml:space="preserve"> </w:t>
            </w:r>
            <w:r w:rsidRPr="00F457D3">
              <w:rPr>
                <w:rFonts w:cs="Arial"/>
                <w:b/>
                <w:bCs/>
                <w:i/>
                <w:iCs/>
                <w:color w:val="666666"/>
                <w:sz w:val="24"/>
                <w:szCs w:val="24"/>
                <w:lang w:eastAsia="it-IT"/>
              </w:rPr>
              <w:t>TRANSACTIONS</w:t>
            </w:r>
            <w:r w:rsidRPr="00F457D3">
              <w:rPr>
                <w:color w:val="333333"/>
                <w:sz w:val="24"/>
                <w:szCs w:val="24"/>
                <w:lang w:eastAsia="it-IT"/>
              </w:rPr>
              <w:t xml:space="preserve"> </w:t>
            </w:r>
            <w:r w:rsidRPr="00F457D3">
              <w:rPr>
                <w:rFonts w:cs="Arial"/>
                <w:b/>
                <w:bCs/>
                <w:i/>
                <w:iCs/>
                <w:color w:val="000066"/>
                <w:sz w:val="27"/>
                <w:szCs w:val="27"/>
                <w:lang w:eastAsia="it-IT"/>
              </w:rPr>
              <w:br/>
            </w:r>
          </w:p>
          <w:p w14:paraId="4B780582" w14:textId="530285EB" w:rsidR="000A03B2" w:rsidRPr="00F457D3" w:rsidRDefault="00A76EFC" w:rsidP="001D21AF">
            <w:pPr>
              <w:tabs>
                <w:tab w:val="left" w:pos="-108"/>
              </w:tabs>
              <w:ind w:left="-108"/>
              <w:rPr>
                <w:rFonts w:cs="Arial"/>
                <w:b/>
                <w:bCs/>
                <w:i/>
                <w:iCs/>
                <w:color w:val="000066"/>
                <w:sz w:val="22"/>
                <w:szCs w:val="22"/>
                <w:lang w:eastAsia="it-IT"/>
              </w:rPr>
            </w:pPr>
            <w:r w:rsidRPr="00F457D3">
              <w:rPr>
                <w:rFonts w:cs="Arial"/>
                <w:b/>
                <w:bCs/>
                <w:i/>
                <w:iCs/>
                <w:color w:val="000066"/>
                <w:sz w:val="22"/>
                <w:szCs w:val="22"/>
                <w:lang w:eastAsia="it-IT"/>
              </w:rPr>
              <w:t xml:space="preserve">VOL. </w:t>
            </w:r>
            <w:r w:rsidR="0030152C" w:rsidRPr="00F457D3">
              <w:rPr>
                <w:rFonts w:cs="Arial"/>
                <w:b/>
                <w:bCs/>
                <w:i/>
                <w:iCs/>
                <w:color w:val="000066"/>
                <w:sz w:val="22"/>
                <w:szCs w:val="22"/>
                <w:lang w:eastAsia="it-IT"/>
              </w:rPr>
              <w:t xml:space="preserve">   </w:t>
            </w:r>
            <w:r w:rsidR="007B48F9" w:rsidRPr="00F457D3">
              <w:rPr>
                <w:rFonts w:cs="Arial"/>
                <w:b/>
                <w:bCs/>
                <w:i/>
                <w:iCs/>
                <w:color w:val="000066"/>
                <w:sz w:val="22"/>
                <w:szCs w:val="22"/>
                <w:lang w:eastAsia="it-IT"/>
              </w:rPr>
              <w:t>,</w:t>
            </w:r>
            <w:r w:rsidR="00FA5F5F" w:rsidRPr="00F457D3">
              <w:rPr>
                <w:rFonts w:cs="Arial"/>
                <w:b/>
                <w:bCs/>
                <w:i/>
                <w:iCs/>
                <w:color w:val="000066"/>
                <w:sz w:val="22"/>
                <w:szCs w:val="22"/>
                <w:lang w:eastAsia="it-IT"/>
              </w:rPr>
              <w:t xml:space="preserve"> </w:t>
            </w:r>
            <w:r w:rsidR="0030152C" w:rsidRPr="00F457D3">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F457D3" w:rsidRDefault="000A03B2" w:rsidP="00CD5FE2">
            <w:pPr>
              <w:spacing w:line="140" w:lineRule="atLeast"/>
              <w:jc w:val="right"/>
              <w:rPr>
                <w:rFonts w:cs="Arial"/>
                <w:sz w:val="14"/>
                <w:szCs w:val="14"/>
              </w:rPr>
            </w:pPr>
            <w:r w:rsidRPr="00F457D3">
              <w:rPr>
                <w:rFonts w:cs="Arial"/>
                <w:sz w:val="14"/>
                <w:szCs w:val="14"/>
              </w:rPr>
              <w:t>A publication of</w:t>
            </w:r>
          </w:p>
          <w:p w14:paraId="599E5441" w14:textId="77777777" w:rsidR="000A03B2" w:rsidRPr="00F457D3" w:rsidRDefault="000A03B2" w:rsidP="00CD5FE2">
            <w:pPr>
              <w:jc w:val="right"/>
            </w:pPr>
            <w:r w:rsidRPr="00F457D3">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F457D3" w14:paraId="380FA3CD" w14:textId="77777777" w:rsidTr="00DE264A">
        <w:trPr>
          <w:trHeight w:val="567"/>
          <w:jc w:val="center"/>
        </w:trPr>
        <w:tc>
          <w:tcPr>
            <w:tcW w:w="6946" w:type="dxa"/>
            <w:vMerge/>
            <w:tcBorders>
              <w:right w:val="single" w:sz="4" w:space="0" w:color="auto"/>
            </w:tcBorders>
          </w:tcPr>
          <w:p w14:paraId="39E5E4C1" w14:textId="77777777" w:rsidR="000A03B2" w:rsidRPr="00F457D3"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F457D3" w:rsidRDefault="000A03B2" w:rsidP="00CD5FE2">
            <w:pPr>
              <w:spacing w:line="140" w:lineRule="atLeast"/>
              <w:jc w:val="right"/>
              <w:rPr>
                <w:rFonts w:cs="Arial"/>
                <w:sz w:val="14"/>
                <w:szCs w:val="14"/>
              </w:rPr>
            </w:pPr>
            <w:r w:rsidRPr="00F457D3">
              <w:rPr>
                <w:rFonts w:cs="Arial"/>
                <w:sz w:val="14"/>
                <w:szCs w:val="14"/>
              </w:rPr>
              <w:t>The Italian Association</w:t>
            </w:r>
          </w:p>
          <w:p w14:paraId="7522B1D2" w14:textId="77777777" w:rsidR="000A03B2" w:rsidRPr="00F457D3" w:rsidRDefault="000A03B2" w:rsidP="00CD5FE2">
            <w:pPr>
              <w:spacing w:line="140" w:lineRule="atLeast"/>
              <w:jc w:val="right"/>
              <w:rPr>
                <w:rFonts w:cs="Arial"/>
                <w:sz w:val="14"/>
                <w:szCs w:val="14"/>
              </w:rPr>
            </w:pPr>
            <w:r w:rsidRPr="00F457D3">
              <w:rPr>
                <w:rFonts w:cs="Arial"/>
                <w:sz w:val="14"/>
                <w:szCs w:val="14"/>
              </w:rPr>
              <w:t>of Chemical Engineering</w:t>
            </w:r>
          </w:p>
          <w:p w14:paraId="4F0CC5DE" w14:textId="47FDB2FC" w:rsidR="000A03B2" w:rsidRPr="00F457D3" w:rsidRDefault="000D0268" w:rsidP="00CD5FE2">
            <w:pPr>
              <w:spacing w:line="140" w:lineRule="atLeast"/>
              <w:jc w:val="right"/>
              <w:rPr>
                <w:rFonts w:cs="Arial"/>
                <w:sz w:val="13"/>
                <w:szCs w:val="13"/>
              </w:rPr>
            </w:pPr>
            <w:r w:rsidRPr="00F457D3">
              <w:rPr>
                <w:rFonts w:cs="Arial"/>
                <w:sz w:val="13"/>
                <w:szCs w:val="13"/>
              </w:rPr>
              <w:t>Online at www.cetjournal.it</w:t>
            </w:r>
          </w:p>
        </w:tc>
      </w:tr>
      <w:tr w:rsidR="000A03B2" w:rsidRPr="00F457D3" w14:paraId="2D1B7169" w14:textId="77777777" w:rsidTr="00DE264A">
        <w:trPr>
          <w:trHeight w:val="68"/>
          <w:jc w:val="center"/>
        </w:trPr>
        <w:tc>
          <w:tcPr>
            <w:tcW w:w="8789" w:type="dxa"/>
            <w:gridSpan w:val="2"/>
          </w:tcPr>
          <w:p w14:paraId="1D8DD3C9" w14:textId="7647CEDF" w:rsidR="00AA7D26" w:rsidRPr="00F457D3" w:rsidRDefault="00AA7D26" w:rsidP="00AA7D26">
            <w:pPr>
              <w:ind w:left="-107"/>
              <w:outlineLvl w:val="2"/>
              <w:rPr>
                <w:rFonts w:ascii="Tahoma" w:hAnsi="Tahoma" w:cs="Tahoma"/>
                <w:bCs/>
                <w:color w:val="000000"/>
                <w:sz w:val="14"/>
                <w:szCs w:val="14"/>
                <w:lang w:val="it-IT" w:eastAsia="it-IT"/>
              </w:rPr>
            </w:pPr>
            <w:r w:rsidRPr="00F457D3">
              <w:rPr>
                <w:rFonts w:ascii="Tahoma" w:hAnsi="Tahoma" w:cs="Tahoma"/>
                <w:iCs/>
                <w:color w:val="333333"/>
                <w:sz w:val="14"/>
                <w:szCs w:val="14"/>
                <w:lang w:val="it-IT" w:eastAsia="it-IT"/>
              </w:rPr>
              <w:t>Guest Editors:</w:t>
            </w:r>
            <w:r w:rsidRPr="00F457D3">
              <w:rPr>
                <w:rFonts w:ascii="Tahoma" w:hAnsi="Tahoma" w:cs="Tahoma"/>
                <w:color w:val="000000"/>
                <w:sz w:val="14"/>
                <w:szCs w:val="14"/>
                <w:shd w:val="clear" w:color="auto" w:fill="FFFFFF"/>
                <w:lang w:val="it-IT"/>
              </w:rPr>
              <w:t xml:space="preserve"> </w:t>
            </w:r>
            <w:r w:rsidR="000E0792" w:rsidRPr="00F457D3">
              <w:rPr>
                <w:rFonts w:ascii="Tahoma" w:hAnsi="Tahoma" w:cs="Tahoma"/>
                <w:color w:val="000000"/>
                <w:sz w:val="14"/>
                <w:szCs w:val="14"/>
                <w:shd w:val="clear" w:color="auto" w:fill="FFFFFF"/>
                <w:lang w:val="it-IT"/>
              </w:rPr>
              <w:t>Paolo Ciambelli, Luca Di Palma</w:t>
            </w:r>
          </w:p>
          <w:p w14:paraId="1B0F1814" w14:textId="30A65FD3" w:rsidR="000A03B2" w:rsidRPr="00F457D3" w:rsidRDefault="00AA7D26" w:rsidP="00AA7D26">
            <w:pPr>
              <w:tabs>
                <w:tab w:val="left" w:pos="-108"/>
              </w:tabs>
              <w:spacing w:line="140" w:lineRule="atLeast"/>
              <w:ind w:left="-107"/>
              <w:jc w:val="left"/>
            </w:pPr>
            <w:r w:rsidRPr="00F457D3">
              <w:rPr>
                <w:rFonts w:ascii="Tahoma" w:hAnsi="Tahoma" w:cs="Tahoma"/>
                <w:iCs/>
                <w:color w:val="333333"/>
                <w:sz w:val="14"/>
                <w:szCs w:val="14"/>
                <w:lang w:eastAsia="it-IT"/>
              </w:rPr>
              <w:t>Copyright © 2023, AIDIC Servizi S.r.l.</w:t>
            </w:r>
            <w:r w:rsidRPr="00F457D3">
              <w:rPr>
                <w:rFonts w:ascii="Tahoma" w:hAnsi="Tahoma" w:cs="Tahoma"/>
                <w:iCs/>
                <w:color w:val="333333"/>
                <w:sz w:val="14"/>
                <w:szCs w:val="14"/>
                <w:lang w:eastAsia="it-IT"/>
              </w:rPr>
              <w:br/>
            </w:r>
            <w:r w:rsidRPr="00F457D3">
              <w:rPr>
                <w:rFonts w:ascii="Tahoma" w:hAnsi="Tahoma" w:cs="Tahoma"/>
                <w:b/>
                <w:iCs/>
                <w:color w:val="000000"/>
                <w:sz w:val="14"/>
                <w:szCs w:val="14"/>
                <w:lang w:eastAsia="it-IT"/>
              </w:rPr>
              <w:t>ISBN</w:t>
            </w:r>
            <w:r w:rsidRPr="00F457D3">
              <w:rPr>
                <w:rFonts w:ascii="Tahoma" w:hAnsi="Tahoma" w:cs="Tahoma"/>
                <w:iCs/>
                <w:color w:val="000000"/>
                <w:sz w:val="14"/>
                <w:szCs w:val="14"/>
                <w:lang w:eastAsia="it-IT"/>
              </w:rPr>
              <w:t xml:space="preserve"> </w:t>
            </w:r>
            <w:r w:rsidRPr="00F457D3">
              <w:rPr>
                <w:rFonts w:ascii="Tahoma" w:hAnsi="Tahoma" w:cs="Tahoma"/>
                <w:sz w:val="14"/>
                <w:szCs w:val="14"/>
              </w:rPr>
              <w:t>978-88-</w:t>
            </w:r>
            <w:r w:rsidR="00E33DD7" w:rsidRPr="00F457D3">
              <w:rPr>
                <w:rFonts w:ascii="Tahoma" w:hAnsi="Tahoma" w:cs="Tahoma"/>
                <w:sz w:val="14"/>
                <w:szCs w:val="14"/>
              </w:rPr>
              <w:t>81206</w:t>
            </w:r>
            <w:r w:rsidRPr="00F457D3">
              <w:rPr>
                <w:rFonts w:ascii="Tahoma" w:hAnsi="Tahoma" w:cs="Tahoma"/>
                <w:sz w:val="14"/>
                <w:szCs w:val="14"/>
              </w:rPr>
              <w:t>-</w:t>
            </w:r>
            <w:r w:rsidR="00E33DD7" w:rsidRPr="00F457D3">
              <w:rPr>
                <w:rFonts w:ascii="Tahoma" w:hAnsi="Tahoma" w:cs="Tahoma"/>
                <w:sz w:val="14"/>
                <w:szCs w:val="14"/>
              </w:rPr>
              <w:t>00</w:t>
            </w:r>
            <w:r w:rsidRPr="00F457D3">
              <w:rPr>
                <w:rFonts w:ascii="Tahoma" w:hAnsi="Tahoma" w:cs="Tahoma"/>
                <w:sz w:val="14"/>
                <w:szCs w:val="14"/>
              </w:rPr>
              <w:t>-</w:t>
            </w:r>
            <w:r w:rsidR="00E33DD7" w:rsidRPr="00F457D3">
              <w:rPr>
                <w:rFonts w:ascii="Tahoma" w:hAnsi="Tahoma" w:cs="Tahoma"/>
                <w:sz w:val="14"/>
                <w:szCs w:val="14"/>
              </w:rPr>
              <w:t>7</w:t>
            </w:r>
            <w:r w:rsidRPr="00F457D3">
              <w:rPr>
                <w:rFonts w:ascii="Tahoma" w:hAnsi="Tahoma" w:cs="Tahoma"/>
                <w:iCs/>
                <w:color w:val="333333"/>
                <w:sz w:val="14"/>
                <w:szCs w:val="14"/>
                <w:lang w:eastAsia="it-IT"/>
              </w:rPr>
              <w:t xml:space="preserve">; </w:t>
            </w:r>
            <w:r w:rsidRPr="00F457D3">
              <w:rPr>
                <w:rFonts w:ascii="Tahoma" w:hAnsi="Tahoma" w:cs="Tahoma"/>
                <w:b/>
                <w:iCs/>
                <w:color w:val="333333"/>
                <w:sz w:val="14"/>
                <w:szCs w:val="14"/>
                <w:lang w:eastAsia="it-IT"/>
              </w:rPr>
              <w:t>ISSN</w:t>
            </w:r>
            <w:r w:rsidRPr="00F457D3">
              <w:rPr>
                <w:rFonts w:ascii="Tahoma" w:hAnsi="Tahoma" w:cs="Tahoma"/>
                <w:iCs/>
                <w:color w:val="333333"/>
                <w:sz w:val="14"/>
                <w:szCs w:val="14"/>
                <w:lang w:eastAsia="it-IT"/>
              </w:rPr>
              <w:t xml:space="preserve"> 2283-9216</w:t>
            </w:r>
          </w:p>
        </w:tc>
      </w:tr>
    </w:tbl>
    <w:p w14:paraId="6DD35E63" w14:textId="7B88FAD1" w:rsidR="008064F3" w:rsidRPr="00F457D3" w:rsidRDefault="008064F3" w:rsidP="008064F3">
      <w:pPr>
        <w:pStyle w:val="CETTitle"/>
      </w:pPr>
      <w:r w:rsidRPr="00F457D3">
        <w:t>Methanol electrochemical oxidation on modified alumina</w:t>
      </w:r>
    </w:p>
    <w:p w14:paraId="2E667253" w14:textId="60D8E2FD" w:rsidR="00E978D0" w:rsidRPr="00EF7985" w:rsidRDefault="008064F3" w:rsidP="008064F3">
      <w:pPr>
        <w:pStyle w:val="CETTitle"/>
      </w:pPr>
      <w:r w:rsidRPr="00EF7985">
        <w:t>supporting Pt-single atom catalyst</w:t>
      </w:r>
    </w:p>
    <w:p w14:paraId="036B40C1" w14:textId="7C5DFE9E" w:rsidR="0028312A" w:rsidRPr="00131E9E" w:rsidRDefault="00836F0E" w:rsidP="00836F0E">
      <w:pPr>
        <w:pStyle w:val="CETAuthors"/>
        <w:rPr>
          <w:lang w:val="en-US"/>
        </w:rPr>
      </w:pPr>
      <w:r w:rsidRPr="00131E9E">
        <w:rPr>
          <w:lang w:val="en-US"/>
        </w:rPr>
        <w:t>E. Ponticorvo</w:t>
      </w:r>
      <w:r w:rsidRPr="00131E9E">
        <w:rPr>
          <w:vertAlign w:val="superscript"/>
          <w:lang w:val="en-US"/>
        </w:rPr>
        <w:t>a,</w:t>
      </w:r>
      <w:r w:rsidRPr="00131E9E">
        <w:rPr>
          <w:lang w:val="en-US"/>
        </w:rPr>
        <w:t>*</w:t>
      </w:r>
      <w:r w:rsidR="0028312A" w:rsidRPr="00131E9E">
        <w:rPr>
          <w:lang w:val="en-US"/>
        </w:rPr>
        <w:t xml:space="preserve">, </w:t>
      </w:r>
      <w:r w:rsidRPr="00131E9E">
        <w:rPr>
          <w:lang w:val="en-US"/>
        </w:rPr>
        <w:t>M. Iuliano</w:t>
      </w:r>
      <w:r w:rsidR="00F95496" w:rsidRPr="00131E9E">
        <w:rPr>
          <w:vertAlign w:val="superscript"/>
          <w:lang w:val="en-US"/>
        </w:rPr>
        <w:t>b</w:t>
      </w:r>
      <w:r w:rsidR="0028312A" w:rsidRPr="00131E9E">
        <w:rPr>
          <w:lang w:val="en-US"/>
        </w:rPr>
        <w:t xml:space="preserve">, </w:t>
      </w:r>
      <w:r w:rsidRPr="00131E9E">
        <w:rPr>
          <w:lang w:val="en-US"/>
        </w:rPr>
        <w:t>C.</w:t>
      </w:r>
      <w:r w:rsidRPr="00131E9E">
        <w:rPr>
          <w:vertAlign w:val="superscript"/>
          <w:lang w:val="en-US"/>
        </w:rPr>
        <w:t xml:space="preserve"> </w:t>
      </w:r>
      <w:r w:rsidRPr="00131E9E">
        <w:rPr>
          <w:lang w:val="en-US"/>
        </w:rPr>
        <w:t>Cirillo</w:t>
      </w:r>
      <w:r w:rsidR="00F95496" w:rsidRPr="00131E9E">
        <w:rPr>
          <w:vertAlign w:val="superscript"/>
          <w:lang w:val="en-US"/>
        </w:rPr>
        <w:t>a</w:t>
      </w:r>
      <w:r w:rsidR="0028312A" w:rsidRPr="00131E9E">
        <w:rPr>
          <w:lang w:val="en-US"/>
        </w:rPr>
        <w:t>,</w:t>
      </w:r>
      <w:r w:rsidR="0028312A" w:rsidRPr="00131E9E">
        <w:rPr>
          <w:vertAlign w:val="superscript"/>
          <w:lang w:val="en-US"/>
        </w:rPr>
        <w:t xml:space="preserve"> </w:t>
      </w:r>
      <w:r w:rsidRPr="00131E9E">
        <w:rPr>
          <w:lang w:val="en-US"/>
        </w:rPr>
        <w:t>M. Sarno</w:t>
      </w:r>
      <w:r w:rsidR="0028312A" w:rsidRPr="00131E9E">
        <w:rPr>
          <w:vertAlign w:val="superscript"/>
          <w:lang w:val="en-US"/>
        </w:rPr>
        <w:t>a</w:t>
      </w:r>
    </w:p>
    <w:p w14:paraId="449FF086" w14:textId="5D8353BB" w:rsidR="0028312A" w:rsidRPr="00F457D3" w:rsidRDefault="0090671B" w:rsidP="0028312A">
      <w:pPr>
        <w:pStyle w:val="CETAddress"/>
        <w:jc w:val="both"/>
        <w:rPr>
          <w:lang w:val="en-US"/>
        </w:rPr>
      </w:pPr>
      <w:r>
        <w:rPr>
          <w:vertAlign w:val="superscript"/>
          <w:lang w:val="en-US"/>
        </w:rPr>
        <w:t>a</w:t>
      </w:r>
      <w:r w:rsidR="0028312A" w:rsidRPr="00F457D3">
        <w:rPr>
          <w:lang w:val="en-US"/>
        </w:rPr>
        <w:t>Department of Physics "E.R. Caianiello" and Centre NANO_MATES (Research Centre for Nanomaterials and Nanotechnology at the University of Salerno) University of Salerno, Via Giovanni Paolo II, 132 -  84084 Fisciano (SA), Italy.</w:t>
      </w:r>
    </w:p>
    <w:p w14:paraId="46DB184D" w14:textId="5C51D41F" w:rsidR="0028312A" w:rsidRPr="00F457D3" w:rsidRDefault="0028312A" w:rsidP="0028312A">
      <w:pPr>
        <w:pStyle w:val="CETAddress"/>
        <w:jc w:val="both"/>
      </w:pPr>
      <w:r w:rsidRPr="00F457D3">
        <w:rPr>
          <w:vertAlign w:val="superscript"/>
        </w:rPr>
        <w:t>b</w:t>
      </w:r>
      <w:r w:rsidR="00F95496" w:rsidRPr="00F457D3">
        <w:t>Department of Industrial Engineering and Centre NANO_MATES (Research Centre for Nanomaterials and Nanotechnology at the University of Salerno) University of Salerno, Via Giovanni Paolo II, 132 -  84084 Fisciano (SA), Italy.</w:t>
      </w:r>
    </w:p>
    <w:p w14:paraId="73F1267A" w14:textId="5346973D" w:rsidR="00B57E6F" w:rsidRPr="0090671B" w:rsidRDefault="0028312A" w:rsidP="0090671B">
      <w:pPr>
        <w:pStyle w:val="CETemail"/>
        <w:rPr>
          <w:lang w:val="fr-FR"/>
        </w:rPr>
      </w:pPr>
      <w:r w:rsidRPr="0090671B">
        <w:rPr>
          <w:lang w:val="fr-FR"/>
        </w:rPr>
        <w:t xml:space="preserve"> </w:t>
      </w:r>
      <w:r w:rsidR="0090671B" w:rsidRPr="0090671B">
        <w:rPr>
          <w:lang w:val="fr-FR"/>
        </w:rPr>
        <w:t>*</w:t>
      </w:r>
      <w:hyperlink r:id="rId10" w:history="1">
        <w:r w:rsidRPr="0090671B">
          <w:rPr>
            <w:lang w:val="fr-FR"/>
          </w:rPr>
          <w:t>epontic</w:t>
        </w:r>
        <w:bookmarkStart w:id="0" w:name="_GoBack"/>
        <w:bookmarkEnd w:id="0"/>
        <w:r w:rsidRPr="0090671B">
          <w:rPr>
            <w:lang w:val="fr-FR"/>
          </w:rPr>
          <w:t>orvo@unisa.it</w:t>
        </w:r>
      </w:hyperlink>
    </w:p>
    <w:p w14:paraId="4CF032C2" w14:textId="164CFACD" w:rsidR="00AC6562" w:rsidRPr="00F457D3" w:rsidRDefault="00AC6562" w:rsidP="00921375">
      <w:pPr>
        <w:pStyle w:val="CETHeading1"/>
        <w:numPr>
          <w:ilvl w:val="0"/>
          <w:numId w:val="0"/>
        </w:numPr>
        <w:jc w:val="both"/>
        <w:rPr>
          <w:b w:val="0"/>
          <w:sz w:val="18"/>
          <w:lang w:val="en-GB"/>
        </w:rPr>
      </w:pPr>
      <w:r w:rsidRPr="00F457D3">
        <w:rPr>
          <w:b w:val="0"/>
          <w:sz w:val="18"/>
          <w:lang w:val="en-GB"/>
        </w:rPr>
        <w:t xml:space="preserve">A facile procedure to synthesize </w:t>
      </w:r>
      <w:r w:rsidR="001F16D3" w:rsidRPr="00F457D3">
        <w:rPr>
          <w:b w:val="0"/>
          <w:sz w:val="18"/>
          <w:lang w:val="en-GB"/>
        </w:rPr>
        <w:t>Pt single atoms dispersed on Al</w:t>
      </w:r>
      <w:r w:rsidR="001F16D3" w:rsidRPr="00F457D3">
        <w:rPr>
          <w:b w:val="0"/>
          <w:sz w:val="18"/>
          <w:vertAlign w:val="subscript"/>
          <w:lang w:val="en-GB"/>
        </w:rPr>
        <w:t>2</w:t>
      </w:r>
      <w:r w:rsidR="001F16D3" w:rsidRPr="00F457D3">
        <w:rPr>
          <w:b w:val="0"/>
          <w:sz w:val="18"/>
          <w:lang w:val="en-GB"/>
        </w:rPr>
        <w:t>O</w:t>
      </w:r>
      <w:r w:rsidR="001F16D3" w:rsidRPr="00F457D3">
        <w:rPr>
          <w:b w:val="0"/>
          <w:sz w:val="18"/>
          <w:vertAlign w:val="subscript"/>
          <w:lang w:val="en-GB"/>
        </w:rPr>
        <w:t>3</w:t>
      </w:r>
      <w:r w:rsidR="00FF2B06" w:rsidRPr="00F457D3">
        <w:rPr>
          <w:b w:val="0"/>
          <w:sz w:val="18"/>
          <w:lang w:val="en-GB"/>
        </w:rPr>
        <w:t xml:space="preserve"> </w:t>
      </w:r>
      <w:r w:rsidR="00921375" w:rsidRPr="00F457D3">
        <w:rPr>
          <w:b w:val="0"/>
          <w:sz w:val="18"/>
          <w:lang w:val="en-GB"/>
        </w:rPr>
        <w:t>nanoparticles</w:t>
      </w:r>
      <w:r w:rsidR="009877C4" w:rsidRPr="00F457D3">
        <w:rPr>
          <w:b w:val="0"/>
          <w:sz w:val="18"/>
          <w:lang w:val="en-GB"/>
        </w:rPr>
        <w:t>, for methanol oxidation reaction (MOR),</w:t>
      </w:r>
      <w:r w:rsidR="00921375" w:rsidRPr="00F457D3">
        <w:rPr>
          <w:b w:val="0"/>
          <w:sz w:val="18"/>
          <w:lang w:val="en-GB"/>
        </w:rPr>
        <w:t xml:space="preserve"> </w:t>
      </w:r>
      <w:r w:rsidRPr="00F457D3">
        <w:rPr>
          <w:b w:val="0"/>
          <w:sz w:val="18"/>
          <w:lang w:val="en-GB"/>
        </w:rPr>
        <w:t xml:space="preserve">was proposed. </w:t>
      </w:r>
      <w:r w:rsidR="00FF2B06" w:rsidRPr="00F457D3">
        <w:rPr>
          <w:b w:val="0"/>
          <w:sz w:val="18"/>
          <w:lang w:val="en-GB"/>
        </w:rPr>
        <w:t xml:space="preserve">An effective surface modification, to enhance overall electrocatalytic performance, was performed. </w:t>
      </w:r>
      <w:r w:rsidR="006B173E" w:rsidRPr="00F457D3">
        <w:rPr>
          <w:b w:val="0"/>
          <w:sz w:val="18"/>
          <w:lang w:val="en-GB"/>
        </w:rPr>
        <w:t>Transmission</w:t>
      </w:r>
      <w:r w:rsidRPr="00F457D3">
        <w:rPr>
          <w:b w:val="0"/>
          <w:sz w:val="18"/>
          <w:lang w:val="en-GB"/>
        </w:rPr>
        <w:t xml:space="preserve"> Electron Microscopy (</w:t>
      </w:r>
      <w:r w:rsidR="001F16D3" w:rsidRPr="00F457D3">
        <w:rPr>
          <w:b w:val="0"/>
          <w:sz w:val="18"/>
          <w:lang w:val="en-GB"/>
        </w:rPr>
        <w:t>T</w:t>
      </w:r>
      <w:r w:rsidRPr="00F457D3">
        <w:rPr>
          <w:b w:val="0"/>
          <w:sz w:val="18"/>
          <w:lang w:val="en-GB"/>
        </w:rPr>
        <w:t>EM), thermogravimetric analysis (TG), Fourier Transform Infrared Spectroscopy (FTIR), and X-ray diffraction (XRD) were employed for</w:t>
      </w:r>
      <w:r w:rsidR="001F16D3" w:rsidRPr="00F457D3">
        <w:rPr>
          <w:b w:val="0"/>
          <w:sz w:val="18"/>
          <w:lang w:val="en-GB"/>
        </w:rPr>
        <w:t xml:space="preserve"> </w:t>
      </w:r>
      <w:r w:rsidR="009877C4" w:rsidRPr="00F457D3">
        <w:rPr>
          <w:b w:val="0"/>
          <w:sz w:val="18"/>
          <w:lang w:val="en-GB"/>
        </w:rPr>
        <w:t>nanomaterial</w:t>
      </w:r>
      <w:r w:rsidRPr="00F457D3">
        <w:rPr>
          <w:b w:val="0"/>
          <w:sz w:val="18"/>
          <w:lang w:val="en-GB"/>
        </w:rPr>
        <w:t xml:space="preserve"> characterization. </w:t>
      </w:r>
      <w:r w:rsidR="00921375" w:rsidRPr="00F457D3">
        <w:rPr>
          <w:b w:val="0"/>
          <w:sz w:val="18"/>
          <w:lang w:val="en-GB"/>
        </w:rPr>
        <w:t xml:space="preserve">The catalyst </w:t>
      </w:r>
      <w:r w:rsidR="009877C4" w:rsidRPr="00F457D3">
        <w:rPr>
          <w:b w:val="0"/>
          <w:sz w:val="18"/>
          <w:lang w:val="en-GB"/>
        </w:rPr>
        <w:t>showed a</w:t>
      </w:r>
      <w:r w:rsidR="00921375" w:rsidRPr="00F457D3">
        <w:rPr>
          <w:b w:val="0"/>
          <w:sz w:val="18"/>
          <w:lang w:val="en-GB"/>
        </w:rPr>
        <w:t xml:space="preserve"> low onset potential </w:t>
      </w:r>
      <w:r w:rsidR="006B173E" w:rsidRPr="00F457D3">
        <w:rPr>
          <w:b w:val="0"/>
          <w:sz w:val="18"/>
          <w:lang w:val="en-GB"/>
        </w:rPr>
        <w:t xml:space="preserve">of </w:t>
      </w:r>
      <w:r w:rsidR="00921375" w:rsidRPr="00F457D3">
        <w:rPr>
          <w:b w:val="0"/>
          <w:sz w:val="18"/>
          <w:lang w:val="en-GB"/>
        </w:rPr>
        <w:t>0.04 V and</w:t>
      </w:r>
      <w:r w:rsidR="009877C4" w:rsidRPr="00F457D3">
        <w:rPr>
          <w:b w:val="0"/>
          <w:sz w:val="18"/>
          <w:lang w:val="en-GB"/>
        </w:rPr>
        <w:t xml:space="preserve"> a</w:t>
      </w:r>
      <w:r w:rsidR="00921375" w:rsidRPr="00F457D3">
        <w:rPr>
          <w:b w:val="0"/>
          <w:sz w:val="18"/>
          <w:lang w:val="en-GB"/>
        </w:rPr>
        <w:t xml:space="preserve"> very high I</w:t>
      </w:r>
      <w:r w:rsidR="00921375" w:rsidRPr="00F457D3">
        <w:rPr>
          <w:b w:val="0"/>
          <w:sz w:val="18"/>
          <w:vertAlign w:val="subscript"/>
          <w:lang w:val="en-GB"/>
        </w:rPr>
        <w:t>f</w:t>
      </w:r>
      <w:r w:rsidR="00921375" w:rsidRPr="00F457D3">
        <w:rPr>
          <w:b w:val="0"/>
          <w:sz w:val="18"/>
          <w:lang w:val="en-GB"/>
        </w:rPr>
        <w:t>/I</w:t>
      </w:r>
      <w:r w:rsidR="00921375" w:rsidRPr="00F457D3">
        <w:rPr>
          <w:b w:val="0"/>
          <w:sz w:val="18"/>
          <w:vertAlign w:val="subscript"/>
          <w:lang w:val="en-GB"/>
        </w:rPr>
        <w:t>b</w:t>
      </w:r>
      <w:r w:rsidR="00921375" w:rsidRPr="00F457D3">
        <w:rPr>
          <w:b w:val="0"/>
          <w:sz w:val="18"/>
          <w:lang w:val="en-GB"/>
        </w:rPr>
        <w:t xml:space="preserve"> ratio </w:t>
      </w:r>
      <w:r w:rsidR="006B173E" w:rsidRPr="00F457D3">
        <w:rPr>
          <w:b w:val="0"/>
          <w:sz w:val="18"/>
          <w:lang w:val="en-GB"/>
        </w:rPr>
        <w:t xml:space="preserve">of </w:t>
      </w:r>
      <w:r w:rsidR="00921375" w:rsidRPr="00F457D3">
        <w:rPr>
          <w:b w:val="0"/>
          <w:sz w:val="18"/>
          <w:lang w:val="en-GB"/>
        </w:rPr>
        <w:t>2.14. The results obtained in this work evidence the outstanding performances of the synthesized nano-electrocatalyst.</w:t>
      </w:r>
    </w:p>
    <w:p w14:paraId="476B2F2E" w14:textId="3BF1CAA5" w:rsidR="00600535" w:rsidRPr="00F457D3" w:rsidRDefault="00600535" w:rsidP="00AC6562">
      <w:pPr>
        <w:pStyle w:val="CETHeading1"/>
        <w:rPr>
          <w:lang w:val="en-GB"/>
        </w:rPr>
      </w:pPr>
      <w:r w:rsidRPr="00F457D3">
        <w:rPr>
          <w:lang w:val="en-GB"/>
        </w:rPr>
        <w:t>Introduction</w:t>
      </w:r>
    </w:p>
    <w:p w14:paraId="79D74AA8" w14:textId="0AFEA6CA" w:rsidR="005B17A3" w:rsidRPr="00F457D3" w:rsidRDefault="00AC6562" w:rsidP="00600535">
      <w:pPr>
        <w:pStyle w:val="CETBodytext"/>
        <w:rPr>
          <w:lang w:val="en-GB"/>
        </w:rPr>
      </w:pPr>
      <w:r w:rsidRPr="00F457D3">
        <w:rPr>
          <w:lang w:val="en-GB"/>
        </w:rPr>
        <w:t xml:space="preserve">In recent years, liquid alcohols have been regarded as a valid alternative to fossil fuels to be used either in direct alcohol fuel cells (DAFCs) or electrolyzers for the electrochemical production of hydrogen. Namely, methanol has received increasing attention by virtue of its higher energy density and ease of storage </w:t>
      </w:r>
      <w:r w:rsidR="00C97D11" w:rsidRPr="00F457D3">
        <w:rPr>
          <w:lang w:val="en-GB"/>
        </w:rPr>
        <w:t>(Cloutier and Wilkinson, 2010)</w:t>
      </w:r>
      <w:r w:rsidRPr="00F457D3">
        <w:rPr>
          <w:lang w:val="en-GB"/>
        </w:rPr>
        <w:t xml:space="preserve">. </w:t>
      </w:r>
      <w:r w:rsidR="00C659E0" w:rsidRPr="00F457D3">
        <w:rPr>
          <w:lang w:val="en-GB"/>
        </w:rPr>
        <w:t>M</w:t>
      </w:r>
      <w:r w:rsidRPr="00F457D3">
        <w:rPr>
          <w:lang w:val="en-GB"/>
        </w:rPr>
        <w:t xml:space="preserve">ethanol oxidation reaction (MOR), occurring at the anode of DAFCs, requires a catalyst capable of improving the sluggish reaction kinetic with the minimum energy supply. Pt-based materials have been employed efficiently as catalysts of the two electrochemical reactions (oxidation and reduction) for DAFCs. However, Pt/C </w:t>
      </w:r>
      <w:r w:rsidR="0089335C" w:rsidRPr="00F457D3">
        <w:rPr>
          <w:lang w:val="en-GB"/>
        </w:rPr>
        <w:t>use is hampered by two issues: hi</w:t>
      </w:r>
      <w:r w:rsidRPr="00F457D3">
        <w:rPr>
          <w:lang w:val="en-GB"/>
        </w:rPr>
        <w:t>gh cost</w:t>
      </w:r>
      <w:r w:rsidR="0089335C" w:rsidRPr="00F457D3">
        <w:rPr>
          <w:lang w:val="en-GB"/>
        </w:rPr>
        <w:t>s</w:t>
      </w:r>
      <w:r w:rsidRPr="00F457D3">
        <w:rPr>
          <w:lang w:val="en-GB"/>
        </w:rPr>
        <w:t xml:space="preserve"> and vulnerability toward poisoning by CO or carbonaceous intermediates</w:t>
      </w:r>
      <w:r w:rsidR="00C97D11" w:rsidRPr="00F457D3">
        <w:rPr>
          <w:lang w:val="en-GB"/>
        </w:rPr>
        <w:t xml:space="preserve"> (Jeon and McGinn, 2010; </w:t>
      </w:r>
      <w:r w:rsidR="004A70F5" w:rsidRPr="00F457D3">
        <w:rPr>
          <w:lang w:val="en-GB"/>
        </w:rPr>
        <w:t>Carrette et al., 2001)</w:t>
      </w:r>
      <w:r w:rsidR="00C659E0" w:rsidRPr="00F457D3">
        <w:rPr>
          <w:lang w:val="en-GB"/>
        </w:rPr>
        <w:t>. O</w:t>
      </w:r>
      <w:r w:rsidRPr="00F457D3">
        <w:rPr>
          <w:lang w:val="en-GB"/>
        </w:rPr>
        <w:t xml:space="preserve">ne of the major efforts in alcohol fuel cell catalysts research is to improve the electrocatalytic activity for alcohol oxidation and alcohol tolerance, as well as reduce </w:t>
      </w:r>
      <w:r w:rsidR="0089335C" w:rsidRPr="00F457D3">
        <w:rPr>
          <w:lang w:val="en-GB"/>
        </w:rPr>
        <w:t xml:space="preserve">the </w:t>
      </w:r>
      <w:r w:rsidRPr="00F457D3">
        <w:rPr>
          <w:lang w:val="en-GB"/>
        </w:rPr>
        <w:t>cost</w:t>
      </w:r>
      <w:r w:rsidR="0089335C" w:rsidRPr="00F457D3">
        <w:rPr>
          <w:lang w:val="en-GB"/>
        </w:rPr>
        <w:t>s</w:t>
      </w:r>
      <w:r w:rsidRPr="00F457D3">
        <w:rPr>
          <w:lang w:val="en-GB"/>
        </w:rPr>
        <w:t xml:space="preserve">. </w:t>
      </w:r>
    </w:p>
    <w:p w14:paraId="74DCFC13" w14:textId="2383B7EF" w:rsidR="005B17A3" w:rsidRPr="00F457D3" w:rsidRDefault="00AC6562" w:rsidP="00600535">
      <w:pPr>
        <w:pStyle w:val="CETBodytext"/>
        <w:rPr>
          <w:lang w:val="en-GB"/>
        </w:rPr>
      </w:pPr>
      <w:r w:rsidRPr="00F457D3">
        <w:rPr>
          <w:lang w:val="en-GB"/>
        </w:rPr>
        <w:t>Aluminum oxides (Al</w:t>
      </w:r>
      <w:r w:rsidRPr="00F457D3">
        <w:rPr>
          <w:vertAlign w:val="subscript"/>
          <w:lang w:val="en-GB"/>
        </w:rPr>
        <w:t>2</w:t>
      </w:r>
      <w:r w:rsidRPr="00F457D3">
        <w:rPr>
          <w:lang w:val="en-GB"/>
        </w:rPr>
        <w:t>O</w:t>
      </w:r>
      <w:r w:rsidRPr="00F457D3">
        <w:rPr>
          <w:vertAlign w:val="subscript"/>
          <w:lang w:val="en-GB"/>
        </w:rPr>
        <w:t>3</w:t>
      </w:r>
      <w:r w:rsidRPr="00F457D3">
        <w:rPr>
          <w:lang w:val="en-GB"/>
        </w:rPr>
        <w:t xml:space="preserve">) are a class of </w:t>
      </w:r>
      <w:r w:rsidR="006475D2" w:rsidRPr="00F457D3">
        <w:rPr>
          <w:lang w:val="en-GB"/>
        </w:rPr>
        <w:t>fascinating</w:t>
      </w:r>
      <w:r w:rsidRPr="00F457D3">
        <w:rPr>
          <w:lang w:val="en-GB"/>
        </w:rPr>
        <w:t xml:space="preserve"> materials with widespread applications as adsorbents and catalysts</w:t>
      </w:r>
      <w:r w:rsidR="00A41B62" w:rsidRPr="00F457D3">
        <w:rPr>
          <w:lang w:val="en-GB"/>
        </w:rPr>
        <w:t xml:space="preserve"> (Passos et al., 2016; Samain et al., 2014)</w:t>
      </w:r>
      <w:r w:rsidRPr="00F457D3">
        <w:rPr>
          <w:lang w:val="en-GB"/>
        </w:rPr>
        <w:t>. Particularly, γ-</w:t>
      </w:r>
      <w:r w:rsidR="00450018" w:rsidRPr="00F457D3">
        <w:rPr>
          <w:lang w:val="en-GB"/>
        </w:rPr>
        <w:t>Al</w:t>
      </w:r>
      <w:r w:rsidR="00450018" w:rsidRPr="00F457D3">
        <w:rPr>
          <w:vertAlign w:val="subscript"/>
          <w:lang w:val="en-GB"/>
        </w:rPr>
        <w:t>2</w:t>
      </w:r>
      <w:r w:rsidR="00450018" w:rsidRPr="00F457D3">
        <w:rPr>
          <w:lang w:val="en-GB"/>
        </w:rPr>
        <w:t>O</w:t>
      </w:r>
      <w:r w:rsidR="00450018" w:rsidRPr="00F457D3">
        <w:rPr>
          <w:vertAlign w:val="subscript"/>
          <w:lang w:val="en-GB"/>
        </w:rPr>
        <w:t>3</w:t>
      </w:r>
      <w:r w:rsidRPr="00F457D3">
        <w:rPr>
          <w:lang w:val="en-GB"/>
        </w:rPr>
        <w:t xml:space="preserve"> is one of the most employed supports for heterogeneous industrial catalysis. The assets of alumina include low cost, relatively high surface area, large porosity, and good chemical and thermal stability</w:t>
      </w:r>
      <w:r w:rsidR="00736BF5" w:rsidRPr="00F457D3">
        <w:rPr>
          <w:lang w:val="en-GB"/>
        </w:rPr>
        <w:t xml:space="preserve"> (Segal et al., 2018)</w:t>
      </w:r>
      <w:r w:rsidRPr="00F457D3">
        <w:rPr>
          <w:lang w:val="en-GB"/>
        </w:rPr>
        <w:t xml:space="preserve">. </w:t>
      </w:r>
      <w:r w:rsidR="00450018" w:rsidRPr="00F457D3">
        <w:rPr>
          <w:lang w:val="en-GB"/>
        </w:rPr>
        <w:t>Al</w:t>
      </w:r>
      <w:r w:rsidR="00450018" w:rsidRPr="00F457D3">
        <w:rPr>
          <w:vertAlign w:val="subscript"/>
          <w:lang w:val="en-GB"/>
        </w:rPr>
        <w:t>2</w:t>
      </w:r>
      <w:r w:rsidR="00450018" w:rsidRPr="00F457D3">
        <w:rPr>
          <w:lang w:val="en-GB"/>
        </w:rPr>
        <w:t>O</w:t>
      </w:r>
      <w:r w:rsidR="00450018" w:rsidRPr="00F457D3">
        <w:rPr>
          <w:vertAlign w:val="subscript"/>
          <w:lang w:val="en-GB"/>
        </w:rPr>
        <w:t>3</w:t>
      </w:r>
      <w:r w:rsidRPr="00F457D3">
        <w:rPr>
          <w:lang w:val="en-GB"/>
        </w:rPr>
        <w:t xml:space="preserve"> also possesses special surface properties that certainly affect the ability of the catalytic systems</w:t>
      </w:r>
      <w:r w:rsidR="00736BF5" w:rsidRPr="00F457D3">
        <w:rPr>
          <w:lang w:val="en-GB"/>
        </w:rPr>
        <w:t xml:space="preserve"> (Robatjazi et al., 2019)</w:t>
      </w:r>
      <w:r w:rsidRPr="00F457D3">
        <w:rPr>
          <w:lang w:val="en-GB"/>
        </w:rPr>
        <w:t>. Additionally, a simple NH</w:t>
      </w:r>
      <w:r w:rsidRPr="00F457D3">
        <w:rPr>
          <w:vertAlign w:val="subscript"/>
          <w:lang w:val="en-GB"/>
        </w:rPr>
        <w:t>4</w:t>
      </w:r>
      <w:r w:rsidRPr="00F457D3">
        <w:rPr>
          <w:lang w:val="en-GB"/>
        </w:rPr>
        <w:t>BF</w:t>
      </w:r>
      <w:r w:rsidRPr="00F457D3">
        <w:rPr>
          <w:vertAlign w:val="subscript"/>
          <w:lang w:val="en-GB"/>
        </w:rPr>
        <w:t>4</w:t>
      </w:r>
      <w:r w:rsidRPr="00F457D3">
        <w:rPr>
          <w:lang w:val="en-GB"/>
        </w:rPr>
        <w:t xml:space="preserve"> </w:t>
      </w:r>
      <w:r w:rsidR="00450018" w:rsidRPr="00F457D3">
        <w:rPr>
          <w:lang w:val="en-GB"/>
        </w:rPr>
        <w:t xml:space="preserve">surface </w:t>
      </w:r>
      <w:r w:rsidRPr="00F457D3">
        <w:rPr>
          <w:lang w:val="en-GB"/>
        </w:rPr>
        <w:t>modification allows obtaining an improved amount of Brønsted acid sites on the catalyst framework that facilities the flow of protons</w:t>
      </w:r>
      <w:r w:rsidR="00736BF5" w:rsidRPr="00F457D3">
        <w:rPr>
          <w:lang w:val="en-GB"/>
        </w:rPr>
        <w:t xml:space="preserve"> (</w:t>
      </w:r>
      <w:r w:rsidR="00736BF5" w:rsidRPr="00F457D3">
        <w:t xml:space="preserve">Ueda et al., 2000) </w:t>
      </w:r>
      <w:r w:rsidRPr="00F457D3">
        <w:rPr>
          <w:lang w:val="en-GB"/>
        </w:rPr>
        <w:t>and the cleansing of the catalyst surface by minimizing the formation of intermediates as CO</w:t>
      </w:r>
      <w:r w:rsidRPr="00F457D3">
        <w:rPr>
          <w:vertAlign w:val="subscript"/>
          <w:lang w:val="en-GB"/>
        </w:rPr>
        <w:t>ads</w:t>
      </w:r>
      <w:r w:rsidRPr="00F457D3">
        <w:rPr>
          <w:lang w:val="en-GB"/>
        </w:rPr>
        <w:t xml:space="preserve">. </w:t>
      </w:r>
      <w:r w:rsidR="00450018" w:rsidRPr="00F457D3">
        <w:rPr>
          <w:lang w:val="en-GB"/>
        </w:rPr>
        <w:t>On the other hand, s</w:t>
      </w:r>
      <w:r w:rsidRPr="00F457D3">
        <w:rPr>
          <w:lang w:val="en-GB"/>
        </w:rPr>
        <w:t>upported single-atom metals, maximizing atom efficiency, have been demonstrated as promising materials for C–H bond activation</w:t>
      </w:r>
      <w:r w:rsidR="00736BF5" w:rsidRPr="00F457D3">
        <w:rPr>
          <w:lang w:val="en-GB"/>
        </w:rPr>
        <w:t xml:space="preserve"> (Shan et al., 2017)</w:t>
      </w:r>
      <w:r w:rsidRPr="00F457D3">
        <w:rPr>
          <w:lang w:val="en-GB"/>
        </w:rPr>
        <w:t xml:space="preserve">. </w:t>
      </w:r>
    </w:p>
    <w:p w14:paraId="2CFAFE14" w14:textId="233E4A92" w:rsidR="00AC6562" w:rsidRPr="00F457D3" w:rsidRDefault="00AC6562" w:rsidP="00600535">
      <w:pPr>
        <w:pStyle w:val="CETBodytext"/>
        <w:rPr>
          <w:lang w:val="en-GB"/>
        </w:rPr>
      </w:pPr>
      <w:r w:rsidRPr="00F457D3">
        <w:rPr>
          <w:lang w:val="en-GB"/>
        </w:rPr>
        <w:t xml:space="preserve">Herein, to develop enhanced and cheaper catalysts for MOR, Pt single atoms dispersed on alumina, modified by Brønsted acid sites, were prepared. </w:t>
      </w:r>
      <w:r w:rsidR="00963A9C" w:rsidRPr="00F457D3">
        <w:rPr>
          <w:lang w:val="en-GB"/>
        </w:rPr>
        <w:t>Transmission</w:t>
      </w:r>
      <w:r w:rsidRPr="00F457D3">
        <w:rPr>
          <w:lang w:val="en-GB"/>
        </w:rPr>
        <w:t xml:space="preserve"> Electron Microscopy (</w:t>
      </w:r>
      <w:r w:rsidR="00C659E0" w:rsidRPr="00F457D3">
        <w:rPr>
          <w:lang w:val="en-GB"/>
        </w:rPr>
        <w:t>T</w:t>
      </w:r>
      <w:r w:rsidRPr="00F457D3">
        <w:rPr>
          <w:lang w:val="en-GB"/>
        </w:rPr>
        <w:t>EM), thermogravimetric analysis (TG-DTG), Fourier-transform infrared spectroscopy (FT-IR), and X-ray diffraction (XRD) were employed for characterization. The electrochemical performances of the electrode were investigated by cyclic voltammetry and long-term chronoamperometry tests in CH</w:t>
      </w:r>
      <w:r w:rsidRPr="00F457D3">
        <w:rPr>
          <w:vertAlign w:val="subscript"/>
          <w:lang w:val="en-GB"/>
        </w:rPr>
        <w:t>3</w:t>
      </w:r>
      <w:r w:rsidRPr="00F457D3">
        <w:rPr>
          <w:lang w:val="en-GB"/>
        </w:rPr>
        <w:t xml:space="preserve">OH solution. The results proved that this kind of electrode has remarkable electrochemical performance showing a low onset potential, a high If/Ib ratio, i.e. ratio between the </w:t>
      </w:r>
      <w:r w:rsidRPr="00F457D3">
        <w:rPr>
          <w:lang w:val="en-GB"/>
        </w:rPr>
        <w:lastRenderedPageBreak/>
        <w:t>peak current density in the forward scan and the peak in the backward scan, and improved electrochemical stability.</w:t>
      </w:r>
    </w:p>
    <w:p w14:paraId="24A3F5E1" w14:textId="678D26EA" w:rsidR="00CA5068" w:rsidRPr="00F457D3" w:rsidRDefault="00CA5068" w:rsidP="00CA5068">
      <w:pPr>
        <w:pStyle w:val="CETHeading1"/>
      </w:pPr>
      <w:r w:rsidRPr="00F457D3">
        <w:t>Experimental</w:t>
      </w:r>
    </w:p>
    <w:p w14:paraId="2D1ABFAB" w14:textId="551A9BDB" w:rsidR="00CA5068" w:rsidRPr="00F457D3" w:rsidRDefault="00CA5068" w:rsidP="00CA5068">
      <w:pPr>
        <w:pStyle w:val="CETheadingx"/>
      </w:pPr>
      <w:r w:rsidRPr="00F457D3">
        <w:t>Catalyst preparation</w:t>
      </w:r>
    </w:p>
    <w:p w14:paraId="78D9F30D" w14:textId="28980E73" w:rsidR="00CA5068" w:rsidRPr="00F457D3" w:rsidRDefault="00B019F4" w:rsidP="00B019F4">
      <w:pPr>
        <w:pStyle w:val="CETBodytext"/>
      </w:pPr>
      <w:r w:rsidRPr="00F457D3">
        <w:t>All chemicals were acquired from Sigma Aldrich and used as received without further treatment. The synthesis of γ-Al</w:t>
      </w:r>
      <w:r w:rsidRPr="00F457D3">
        <w:rPr>
          <w:vertAlign w:val="subscript"/>
        </w:rPr>
        <w:t>2</w:t>
      </w:r>
      <w:r w:rsidRPr="00F457D3">
        <w:t>O</w:t>
      </w:r>
      <w:r w:rsidRPr="00F457D3">
        <w:rPr>
          <w:vertAlign w:val="subscript"/>
        </w:rPr>
        <w:t>3</w:t>
      </w:r>
      <w:r w:rsidRPr="00F457D3">
        <w:t xml:space="preserve"> supported Pt was carried out by an impregnation method</w:t>
      </w:r>
      <w:r w:rsidR="00444D05" w:rsidRPr="00F457D3">
        <w:t xml:space="preserve"> (Wang et al., 2020)</w:t>
      </w:r>
      <w:r w:rsidRPr="00F457D3">
        <w:t>. Briefly, 300 mg of γ-Al</w:t>
      </w:r>
      <w:r w:rsidRPr="00F457D3">
        <w:rPr>
          <w:vertAlign w:val="subscript"/>
        </w:rPr>
        <w:t>2</w:t>
      </w:r>
      <w:r w:rsidRPr="00F457D3">
        <w:t>O</w:t>
      </w:r>
      <w:r w:rsidRPr="00F457D3">
        <w:rPr>
          <w:vertAlign w:val="subscript"/>
        </w:rPr>
        <w:t>3</w:t>
      </w:r>
      <w:r w:rsidRPr="00F457D3">
        <w:t xml:space="preserve"> was added into an aqueous solution (20 ml) containing platinum nitrate (Sigma Aldrich). The solution was stirred for 120 min, and, after, the water was removed by a vacuum rotary evaporator (Hei-VAP Core, Heidolph).  Finally, the obtained material was dried at 105°C overnight and then calcined at 500°C for 180 min in air.</w:t>
      </w:r>
    </w:p>
    <w:p w14:paraId="3FFCEBAD" w14:textId="109066CA" w:rsidR="00CA5068" w:rsidRPr="00F457D3" w:rsidRDefault="00930F64" w:rsidP="00CA5068">
      <w:pPr>
        <w:pStyle w:val="CETBodytext"/>
      </w:pPr>
      <w:r w:rsidRPr="00F457D3">
        <w:t>Pt/Al</w:t>
      </w:r>
      <w:r w:rsidRPr="00F457D3">
        <w:rPr>
          <w:vertAlign w:val="subscript"/>
        </w:rPr>
        <w:t>2</w:t>
      </w:r>
      <w:r w:rsidRPr="00F457D3">
        <w:t>O</w:t>
      </w:r>
      <w:r w:rsidRPr="00F457D3">
        <w:rPr>
          <w:vertAlign w:val="subscript"/>
        </w:rPr>
        <w:t>3</w:t>
      </w:r>
      <w:r w:rsidRPr="00F457D3">
        <w:t xml:space="preserve"> catalyst modified with Brønsted acid sites was prepared by a sol−gel route. In particular, 150 mg of Pt/Al</w:t>
      </w:r>
      <w:r w:rsidRPr="00F457D3">
        <w:rPr>
          <w:vertAlign w:val="subscript"/>
        </w:rPr>
        <w:t>2</w:t>
      </w:r>
      <w:r w:rsidRPr="00F457D3">
        <w:t>O</w:t>
      </w:r>
      <w:r w:rsidRPr="00F457D3">
        <w:rPr>
          <w:vertAlign w:val="subscript"/>
        </w:rPr>
        <w:t>3</w:t>
      </w:r>
      <w:r w:rsidRPr="00F457D3">
        <w:t xml:space="preserve"> was dispersed in 40 mL of distilled water (DW) and vigorously stirred, and 35 ml of NH</w:t>
      </w:r>
      <w:r w:rsidRPr="00F457D3">
        <w:rPr>
          <w:vertAlign w:val="subscript"/>
        </w:rPr>
        <w:t>4</w:t>
      </w:r>
      <w:r w:rsidRPr="00F457D3">
        <w:t>BF</w:t>
      </w:r>
      <w:r w:rsidRPr="00F457D3">
        <w:rPr>
          <w:vertAlign w:val="subscript"/>
        </w:rPr>
        <w:t>4</w:t>
      </w:r>
      <w:r w:rsidRPr="00F457D3">
        <w:t xml:space="preserve"> aqueous solution (1.85 mg/ml) was added in the suspension at 85°C. Nitric acid (1 M)</w:t>
      </w:r>
      <w:r w:rsidR="000D01DB" w:rsidRPr="00F457D3">
        <w:t xml:space="preserve"> solution</w:t>
      </w:r>
      <w:r w:rsidRPr="00F457D3">
        <w:t xml:space="preserve"> was dropwise added in the suspension until to pH=3 (the pH solution was</w:t>
      </w:r>
      <w:r w:rsidR="000D01DB" w:rsidRPr="00F457D3">
        <w:t xml:space="preserve"> measured with a 3510 pH meter </w:t>
      </w:r>
      <w:r w:rsidRPr="00F457D3">
        <w:t>Jenway). The suspension was vigorously mixed for 2 h at 85°C. After, to reach pH 6, aqueous ammonia was dropwise added into the solution under stirring. The suspension was dried at 75°C for 24 h in air. The gel obtained was then washed with DW and dried at 85°C for 48 h. Finally, the sample was calcinated at 550°C for 4 h to obtain Pt/Al</w:t>
      </w:r>
      <w:r w:rsidRPr="00F457D3">
        <w:rPr>
          <w:vertAlign w:val="subscript"/>
        </w:rPr>
        <w:t>2</w:t>
      </w:r>
      <w:r w:rsidRPr="00F457D3">
        <w:t>O</w:t>
      </w:r>
      <w:r w:rsidRPr="00F457D3">
        <w:rPr>
          <w:vertAlign w:val="subscript"/>
        </w:rPr>
        <w:t>3</w:t>
      </w:r>
      <w:r w:rsidRPr="00F457D3">
        <w:t>@NH</w:t>
      </w:r>
      <w:r w:rsidRPr="00F457D3">
        <w:rPr>
          <w:vertAlign w:val="subscript"/>
        </w:rPr>
        <w:t>4</w:t>
      </w:r>
      <w:r w:rsidRPr="00F457D3">
        <w:t>BF</w:t>
      </w:r>
      <w:r w:rsidRPr="00F457D3">
        <w:rPr>
          <w:vertAlign w:val="subscript"/>
        </w:rPr>
        <w:t>4</w:t>
      </w:r>
      <w:r w:rsidRPr="00F457D3">
        <w:t xml:space="preserve"> catalyst.</w:t>
      </w:r>
    </w:p>
    <w:p w14:paraId="57A67145" w14:textId="77777777" w:rsidR="00CA5068" w:rsidRPr="00F457D3" w:rsidRDefault="00CA5068" w:rsidP="00CA5068">
      <w:pPr>
        <w:pStyle w:val="CETheadingx"/>
      </w:pPr>
      <w:r w:rsidRPr="00F457D3">
        <w:t>Characterization methods</w:t>
      </w:r>
    </w:p>
    <w:p w14:paraId="5741900F" w14:textId="60E34DE4" w:rsidR="00453E24" w:rsidRPr="00F457D3" w:rsidRDefault="00580338" w:rsidP="006B21EB">
      <w:pPr>
        <w:pStyle w:val="CETBodytext"/>
        <w:rPr>
          <w:lang w:val="en-GB"/>
        </w:rPr>
      </w:pPr>
      <w:r w:rsidRPr="00F457D3">
        <w:rPr>
          <w:lang w:val="en-GB"/>
        </w:rPr>
        <w:t>Transmission electron microscopy (TEM) images were obtained by an FEI Tecnai electron microscope (200 kV). High-resolution analytical TEM (F20 FEI Tecnai-200 kV) was used for high-angle annular dark-field (HAADF) analysis. HAADF detector was employed in STEM mode</w:t>
      </w:r>
      <w:r w:rsidR="006B21EB" w:rsidRPr="00F457D3">
        <w:rPr>
          <w:lang w:val="en-GB"/>
        </w:rPr>
        <w:t>. A Bruker D8 X-ray diffractometer with a monochromatic CuK</w:t>
      </w:r>
      <w:r w:rsidR="006B21EB" w:rsidRPr="00F457D3">
        <w:rPr>
          <w:szCs w:val="18"/>
          <w:lang w:val="en-GB"/>
        </w:rPr>
        <w:sym w:font="Symbol" w:char="F061"/>
      </w:r>
      <w:r w:rsidR="006B21EB" w:rsidRPr="00F457D3">
        <w:rPr>
          <w:lang w:val="en-GB"/>
        </w:rPr>
        <w:t xml:space="preserve"> radiation was used for measurements of powder diffraction profiles. The thermal behavior of the samples was investigated using thermogravimetric (TG) and derivative thermogravimetric (DTG) analysis (Mettler Toledo TGA, Model), between 25 and 1000 °C under air flow (60 mL/min) with a heating rate of 10 °C/min. FTIR was recorded on the Fourier transform infrared spectrometer BRUKER VERTEX-70, (Bruker Corporation)</w:t>
      </w:r>
      <w:r w:rsidR="002F2BF0">
        <w:rPr>
          <w:lang w:val="en-GB"/>
        </w:rPr>
        <w:t>,</w:t>
      </w:r>
      <w:r w:rsidR="002F2BF0" w:rsidRPr="002F2BF0">
        <w:t xml:space="preserve"> </w:t>
      </w:r>
      <w:r w:rsidR="002F2BF0" w:rsidRPr="002F2BF0">
        <w:rPr>
          <w:lang w:val="en-GB"/>
        </w:rPr>
        <w:t>by applying KBr technique</w:t>
      </w:r>
      <w:r w:rsidR="006B21EB" w:rsidRPr="00F457D3">
        <w:rPr>
          <w:lang w:val="en-GB"/>
        </w:rPr>
        <w:t>. Electrochemical tests of the synthesized samples, in particular cyclic voltammetry (CV) tests, were carried out by means of an Autolab PGSTAT302N potentiostat. For electrode preparation, 4 mg of catalyst were dispersed into 80 μl of a 5 wt% Nafion solution, 200 μl of ethanol and 800 μL of water (Sarno and Ponticorvo, 2020</w:t>
      </w:r>
      <w:r w:rsidR="00126B87" w:rsidRPr="00F457D3">
        <w:rPr>
          <w:lang w:val="en-GB"/>
        </w:rPr>
        <w:t>a, Sarno and Ponticorvo, 2020b</w:t>
      </w:r>
      <w:r w:rsidR="006B21EB" w:rsidRPr="00F457D3">
        <w:rPr>
          <w:lang w:val="en-GB"/>
        </w:rPr>
        <w:t>). The subsequent mixture consists of a homogeneous suspension which, after being sonicated for 30 mins and then air-dried, was partially deposited dropwise onto a Screen Printed Electrode (SPE) (Rowley-Neale et al., 2015; Sarno et al., 2019</w:t>
      </w:r>
      <w:r w:rsidR="00AF752E" w:rsidRPr="00F457D3">
        <w:rPr>
          <w:lang w:val="en-GB"/>
        </w:rPr>
        <w:t>a</w:t>
      </w:r>
      <w:r w:rsidR="006B21EB" w:rsidRPr="00F457D3">
        <w:rPr>
          <w:lang w:val="en-GB"/>
        </w:rPr>
        <w:t>).</w:t>
      </w:r>
    </w:p>
    <w:p w14:paraId="08440A00" w14:textId="6002F93B" w:rsidR="007E33BE" w:rsidRPr="00F457D3" w:rsidRDefault="002E47E0" w:rsidP="002E47E0">
      <w:pPr>
        <w:pStyle w:val="CETHeading1"/>
      </w:pPr>
      <w:r w:rsidRPr="00F457D3">
        <w:t xml:space="preserve">Results and Discussion </w:t>
      </w:r>
    </w:p>
    <w:p w14:paraId="6D202D3D" w14:textId="43E75139" w:rsidR="00F12942" w:rsidRPr="00F457D3" w:rsidRDefault="00F12942" w:rsidP="00F12942">
      <w:pPr>
        <w:pStyle w:val="CETheadingx"/>
      </w:pPr>
      <w:r w:rsidRPr="00F457D3">
        <w:t>Catalyst characterization</w:t>
      </w:r>
    </w:p>
    <w:p w14:paraId="54026F78" w14:textId="431758C3" w:rsidR="00DC2830" w:rsidRPr="00F457D3" w:rsidRDefault="00DC2830" w:rsidP="00DC2830">
      <w:pPr>
        <w:pStyle w:val="CETBodytext"/>
        <w:rPr>
          <w:lang w:val="en-GB"/>
        </w:rPr>
      </w:pPr>
      <w:r w:rsidRPr="00F457D3">
        <w:rPr>
          <w:lang w:val="en-GB"/>
        </w:rPr>
        <w:t>Figure 1 shows TEM analysis of Pt/Al</w:t>
      </w:r>
      <w:r w:rsidRPr="00F457D3">
        <w:rPr>
          <w:vertAlign w:val="subscript"/>
          <w:lang w:val="en-GB"/>
        </w:rPr>
        <w:t>2</w:t>
      </w:r>
      <w:r w:rsidRPr="00F457D3">
        <w:rPr>
          <w:lang w:val="en-GB"/>
        </w:rPr>
        <w:t>O</w:t>
      </w:r>
      <w:r w:rsidRPr="00F457D3">
        <w:rPr>
          <w:vertAlign w:val="subscript"/>
          <w:lang w:val="en-GB"/>
        </w:rPr>
        <w:t>3</w:t>
      </w:r>
      <w:r w:rsidRPr="00F457D3">
        <w:rPr>
          <w:lang w:val="en-GB"/>
        </w:rPr>
        <w:t>. The image shows particles with a diameter of few nanometers. The aberration-corrected HAADF/STEM image of Pt/Al</w:t>
      </w:r>
      <w:r w:rsidRPr="00F457D3">
        <w:rPr>
          <w:vertAlign w:val="subscript"/>
          <w:lang w:val="en-GB"/>
        </w:rPr>
        <w:t>2</w:t>
      </w:r>
      <w:r w:rsidRPr="00F457D3">
        <w:rPr>
          <w:lang w:val="en-GB"/>
        </w:rPr>
        <w:t>O</w:t>
      </w:r>
      <w:r w:rsidRPr="00F457D3">
        <w:rPr>
          <w:vertAlign w:val="subscript"/>
          <w:lang w:val="en-GB"/>
        </w:rPr>
        <w:t xml:space="preserve">3 </w:t>
      </w:r>
      <w:r w:rsidRPr="00F457D3">
        <w:rPr>
          <w:lang w:val="en-GB"/>
        </w:rPr>
        <w:t xml:space="preserve">is also shown in Figure </w:t>
      </w:r>
      <w:r w:rsidR="00C03082" w:rsidRPr="00F457D3">
        <w:rPr>
          <w:lang w:val="en-GB"/>
        </w:rPr>
        <w:t>1</w:t>
      </w:r>
      <w:r w:rsidRPr="00F457D3">
        <w:rPr>
          <w:lang w:val="en-GB"/>
        </w:rPr>
        <w:t xml:space="preserve">. Contrast points, coherent with single </w:t>
      </w:r>
      <w:r w:rsidR="00A96591" w:rsidRPr="00F457D3">
        <w:rPr>
          <w:lang w:val="en-GB"/>
        </w:rPr>
        <w:t xml:space="preserve">platinum </w:t>
      </w:r>
      <w:r w:rsidRPr="00F457D3">
        <w:rPr>
          <w:lang w:val="en-GB"/>
        </w:rPr>
        <w:t>atoms, can be seen. EDX provided the Al, O and Pt maps, which are practically superimposable, supplying evidence of the homogeno</w:t>
      </w:r>
      <w:r w:rsidR="00650BB4" w:rsidRPr="00F457D3">
        <w:rPr>
          <w:lang w:val="en-GB"/>
        </w:rPr>
        <w:t>us distribution of the elements</w:t>
      </w:r>
      <w:r w:rsidRPr="00F457D3">
        <w:rPr>
          <w:lang w:val="en-GB"/>
        </w:rPr>
        <w:t>. Al/Pt atomic ratio</w:t>
      </w:r>
      <w:r w:rsidR="00173642" w:rsidRPr="00F457D3">
        <w:rPr>
          <w:lang w:val="en-GB"/>
        </w:rPr>
        <w:t>, according to EDX evaluation,</w:t>
      </w:r>
      <w:r w:rsidRPr="00F457D3">
        <w:rPr>
          <w:lang w:val="en-GB"/>
        </w:rPr>
        <w:t xml:space="preserve"> </w:t>
      </w:r>
      <w:r w:rsidR="00173642" w:rsidRPr="00F457D3">
        <w:rPr>
          <w:lang w:val="en-GB"/>
        </w:rPr>
        <w:t xml:space="preserve">equal to </w:t>
      </w:r>
      <w:r w:rsidRPr="00F457D3">
        <w:rPr>
          <w:lang w:val="en-GB"/>
        </w:rPr>
        <w:t>39.94/0.15</w:t>
      </w:r>
      <w:r w:rsidR="00173642" w:rsidRPr="00F457D3">
        <w:rPr>
          <w:lang w:val="en-GB"/>
        </w:rPr>
        <w:t>,</w:t>
      </w:r>
      <w:r w:rsidRPr="00F457D3">
        <w:rPr>
          <w:lang w:val="en-GB"/>
        </w:rPr>
        <w:t xml:space="preserve"> in good agreement with the amount of precursors used for synthesis</w:t>
      </w:r>
      <w:r w:rsidR="00173642" w:rsidRPr="00F457D3">
        <w:rPr>
          <w:lang w:val="en-GB"/>
        </w:rPr>
        <w:t>, was found</w:t>
      </w:r>
      <w:r w:rsidRPr="00F457D3">
        <w:rPr>
          <w:lang w:val="en-GB"/>
        </w:rPr>
        <w:t>.</w:t>
      </w:r>
    </w:p>
    <w:p w14:paraId="6531C822" w14:textId="1266F868" w:rsidR="00DC2830" w:rsidRPr="00F457D3" w:rsidRDefault="00DC2830" w:rsidP="00DC2830">
      <w:pPr>
        <w:pStyle w:val="CETBodytext"/>
        <w:rPr>
          <w:rStyle w:val="CETCaptionCarattere"/>
        </w:rPr>
      </w:pPr>
    </w:p>
    <w:p w14:paraId="3730388E" w14:textId="2037D8AD" w:rsidR="00DC2830" w:rsidRPr="00F457D3" w:rsidRDefault="00820A70" w:rsidP="00455B37">
      <w:pPr>
        <w:pStyle w:val="CETBodytext"/>
        <w:jc w:val="center"/>
        <w:rPr>
          <w:rStyle w:val="CETCaptionCarattere"/>
        </w:rPr>
      </w:pPr>
      <w:r w:rsidRPr="00820A70">
        <w:rPr>
          <w:noProof/>
          <w:lang w:val="it-IT" w:eastAsia="it-IT"/>
        </w:rPr>
        <w:drawing>
          <wp:inline distT="0" distB="0" distL="0" distR="0" wp14:anchorId="38F6C88C" wp14:editId="49D939C4">
            <wp:extent cx="3124200" cy="1505639"/>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2896" cy="1514649"/>
                    </a:xfrm>
                    <a:prstGeom prst="rect">
                      <a:avLst/>
                    </a:prstGeom>
                    <a:noFill/>
                    <a:ln>
                      <a:noFill/>
                    </a:ln>
                  </pic:spPr>
                </pic:pic>
              </a:graphicData>
            </a:graphic>
          </wp:inline>
        </w:drawing>
      </w:r>
    </w:p>
    <w:p w14:paraId="7CFA4FB2" w14:textId="6C27F28D" w:rsidR="00A96591" w:rsidRPr="00F457D3" w:rsidRDefault="00DC2830" w:rsidP="006B21EB">
      <w:pPr>
        <w:pStyle w:val="CETBodytext"/>
        <w:rPr>
          <w:i/>
          <w:lang w:val="en-GB"/>
        </w:rPr>
      </w:pPr>
      <w:r w:rsidRPr="00F457D3">
        <w:rPr>
          <w:rStyle w:val="CETCaptionCarattere"/>
        </w:rPr>
        <w:t xml:space="preserve">Figure 1: </w:t>
      </w:r>
      <w:r w:rsidR="00A96591" w:rsidRPr="00F457D3">
        <w:rPr>
          <w:rStyle w:val="CETCaptionCarattere"/>
        </w:rPr>
        <w:t>TEM image of Pt/Al</w:t>
      </w:r>
      <w:r w:rsidR="00A96591" w:rsidRPr="00F457D3">
        <w:rPr>
          <w:rStyle w:val="CETCaptionCarattere"/>
          <w:vertAlign w:val="subscript"/>
        </w:rPr>
        <w:t>2</w:t>
      </w:r>
      <w:r w:rsidR="00A96591" w:rsidRPr="00F457D3">
        <w:rPr>
          <w:rStyle w:val="CETCaptionCarattere"/>
        </w:rPr>
        <w:t>O</w:t>
      </w:r>
      <w:r w:rsidR="00A96591" w:rsidRPr="00F457D3">
        <w:rPr>
          <w:rStyle w:val="CETCaptionCarattere"/>
          <w:vertAlign w:val="subscript"/>
        </w:rPr>
        <w:t>3</w:t>
      </w:r>
      <w:r w:rsidR="00A96591" w:rsidRPr="00F457D3">
        <w:rPr>
          <w:rStyle w:val="CETCaptionCarattere"/>
        </w:rPr>
        <w:t xml:space="preserve"> (red box), aberration-corrected HAADF/STEM image (yellow box), and EDX maps of Al, O, and Pt (orange, blue and green boxes, respectively).</w:t>
      </w:r>
    </w:p>
    <w:p w14:paraId="5B9F1B1E" w14:textId="26A2FA07" w:rsidR="002E47E0" w:rsidRPr="00F457D3" w:rsidRDefault="002E47E0" w:rsidP="006B21EB">
      <w:pPr>
        <w:pStyle w:val="CETBodytext"/>
      </w:pPr>
      <w:r w:rsidRPr="00F457D3">
        <w:t>The XRD pattern of Pt/Al</w:t>
      </w:r>
      <w:r w:rsidRPr="00F457D3">
        <w:rPr>
          <w:vertAlign w:val="subscript"/>
        </w:rPr>
        <w:t>2</w:t>
      </w:r>
      <w:r w:rsidRPr="00F457D3">
        <w:t>O</w:t>
      </w:r>
      <w:r w:rsidRPr="00F457D3">
        <w:rPr>
          <w:vertAlign w:val="subscript"/>
        </w:rPr>
        <w:t>3</w:t>
      </w:r>
      <w:r w:rsidRPr="00F457D3">
        <w:t xml:space="preserve"> sample was shown in Figure </w:t>
      </w:r>
      <w:r w:rsidR="00DC2830" w:rsidRPr="00F457D3">
        <w:t>2</w:t>
      </w:r>
      <w:r w:rsidRPr="00F457D3">
        <w:t>. The X-ray diffraction pattern was acquired in the 2θ range of 20-</w:t>
      </w:r>
      <w:r w:rsidR="00E95172" w:rsidRPr="00F457D3">
        <w:t>9</w:t>
      </w:r>
      <w:r w:rsidRPr="00F457D3">
        <w:t xml:space="preserve">0º. The result indicates some crystalline phases mixed with the primary amorphous structures </w:t>
      </w:r>
      <w:r w:rsidRPr="00F457D3">
        <w:lastRenderedPageBreak/>
        <w:t>of γ-alumina</w:t>
      </w:r>
      <w:r w:rsidR="00DD0786" w:rsidRPr="00F457D3">
        <w:t xml:space="preserve"> (Wang et al., 2016)</w:t>
      </w:r>
      <w:r w:rsidRPr="00F457D3">
        <w:t>. No Pt peaks were detected from the XRD patterns, in agreement with the single-atom nature of that Pt</w:t>
      </w:r>
      <w:r w:rsidR="00126B87" w:rsidRPr="00F457D3">
        <w:t xml:space="preserve"> (Sarno et al., 2020)</w:t>
      </w:r>
      <w:r w:rsidRPr="00F457D3">
        <w:t>.</w:t>
      </w:r>
      <w:r w:rsidR="0077613B" w:rsidRPr="00F457D3">
        <w:t xml:space="preserve"> The TG-DTG analyses of the synthesized sample was carried out, and the results are displayed in Figure </w:t>
      </w:r>
      <w:r w:rsidR="00DC2830" w:rsidRPr="00F457D3">
        <w:t>3</w:t>
      </w:r>
      <w:r w:rsidR="0077613B" w:rsidRPr="00F457D3">
        <w:t xml:space="preserve">. The TG curve, with soft slopes and without sharp peaks, showed single phases and no impurity. </w:t>
      </w:r>
      <w:r w:rsidR="00A41BCD" w:rsidRPr="00F457D3">
        <w:t>Slight</w:t>
      </w:r>
      <w:r w:rsidR="0077613B" w:rsidRPr="00F457D3">
        <w:t>, but consecutive, weight loss</w:t>
      </w:r>
      <w:r w:rsidR="00A41BCD" w:rsidRPr="00F457D3">
        <w:t>es</w:t>
      </w:r>
      <w:r w:rsidR="0077613B" w:rsidRPr="00F457D3">
        <w:t xml:space="preserve"> w</w:t>
      </w:r>
      <w:r w:rsidR="00A41BCD" w:rsidRPr="00F457D3">
        <w:t>ere</w:t>
      </w:r>
      <w:r w:rsidR="0077613B" w:rsidRPr="00F457D3">
        <w:t xml:space="preserve"> observed, which can be ascribed to samples' dehydration and the chemically adsorbed residual hydroxyl species decomposition</w:t>
      </w:r>
      <w:r w:rsidR="00E8404F" w:rsidRPr="00F457D3">
        <w:t xml:space="preserve"> (Gao et al., 2018)</w:t>
      </w:r>
      <w:r w:rsidR="0077613B" w:rsidRPr="00F457D3">
        <w:t>.</w:t>
      </w:r>
    </w:p>
    <w:p w14:paraId="42EC8F58" w14:textId="0B7FC099" w:rsidR="007E33BE" w:rsidRPr="00F457D3" w:rsidRDefault="006F3698" w:rsidP="00455B37">
      <w:pPr>
        <w:pStyle w:val="CETCaption"/>
        <w:jc w:val="center"/>
      </w:pPr>
      <w:r w:rsidRPr="006F3698">
        <w:rPr>
          <w:noProof/>
          <w:lang w:val="it-IT" w:eastAsia="it-IT"/>
        </w:rPr>
        <w:drawing>
          <wp:inline distT="0" distB="0" distL="0" distR="0" wp14:anchorId="2851642B" wp14:editId="051BE28B">
            <wp:extent cx="2633851" cy="267707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10495" t="11917" r="33022" b="6133"/>
                    <a:stretch/>
                  </pic:blipFill>
                  <pic:spPr bwMode="auto">
                    <a:xfrm>
                      <a:off x="0" y="0"/>
                      <a:ext cx="2686820" cy="2730909"/>
                    </a:xfrm>
                    <a:prstGeom prst="rect">
                      <a:avLst/>
                    </a:prstGeom>
                    <a:noFill/>
                    <a:ln>
                      <a:noFill/>
                    </a:ln>
                    <a:extLst>
                      <a:ext uri="{53640926-AAD7-44D8-BBD7-CCE9431645EC}">
                        <a14:shadowObscured xmlns:a14="http://schemas.microsoft.com/office/drawing/2010/main"/>
                      </a:ext>
                    </a:extLst>
                  </pic:spPr>
                </pic:pic>
              </a:graphicData>
            </a:graphic>
          </wp:inline>
        </w:drawing>
      </w:r>
    </w:p>
    <w:p w14:paraId="1B6DA407" w14:textId="375B3EAD" w:rsidR="008064F3" w:rsidRPr="00F457D3" w:rsidRDefault="001D5081" w:rsidP="008064F3">
      <w:pPr>
        <w:pStyle w:val="CETBodytext"/>
        <w:rPr>
          <w:rStyle w:val="CETCaptionCarattere"/>
        </w:rPr>
      </w:pPr>
      <w:r w:rsidRPr="00F457D3">
        <w:rPr>
          <w:rStyle w:val="CETCaptionCarattere"/>
        </w:rPr>
        <w:t xml:space="preserve">Figure </w:t>
      </w:r>
      <w:r w:rsidR="00DC2830" w:rsidRPr="00F457D3">
        <w:rPr>
          <w:rStyle w:val="CETCaptionCarattere"/>
        </w:rPr>
        <w:t>2</w:t>
      </w:r>
      <w:r w:rsidRPr="00F457D3">
        <w:rPr>
          <w:rStyle w:val="CETCaptionCarattere"/>
        </w:rPr>
        <w:t>: XRD spectrum of Pt/Al</w:t>
      </w:r>
      <w:r w:rsidRPr="00F457D3">
        <w:rPr>
          <w:rStyle w:val="CETCaptionCarattere"/>
          <w:vertAlign w:val="subscript"/>
        </w:rPr>
        <w:t>2</w:t>
      </w:r>
      <w:r w:rsidRPr="00F457D3">
        <w:rPr>
          <w:rStyle w:val="CETCaptionCarattere"/>
        </w:rPr>
        <w:t>O</w:t>
      </w:r>
      <w:r w:rsidRPr="00F457D3">
        <w:rPr>
          <w:rStyle w:val="CETCaptionCarattere"/>
          <w:vertAlign w:val="subscript"/>
        </w:rPr>
        <w:t>3</w:t>
      </w:r>
      <w:r w:rsidR="00ED2B21" w:rsidRPr="00F457D3">
        <w:rPr>
          <w:rStyle w:val="CETCaptionCarattere"/>
        </w:rPr>
        <w:t xml:space="preserve"> before the modification with NH</w:t>
      </w:r>
      <w:r w:rsidR="00ED2B21" w:rsidRPr="00F457D3">
        <w:rPr>
          <w:rStyle w:val="CETCaptionCarattere"/>
          <w:vertAlign w:val="subscript"/>
        </w:rPr>
        <w:t>4</w:t>
      </w:r>
      <w:r w:rsidR="00ED2B21" w:rsidRPr="00F457D3">
        <w:rPr>
          <w:rStyle w:val="CETCaptionCarattere"/>
        </w:rPr>
        <w:t>BF</w:t>
      </w:r>
      <w:r w:rsidR="00ED2B21" w:rsidRPr="00F457D3">
        <w:rPr>
          <w:rStyle w:val="CETCaptionCarattere"/>
          <w:vertAlign w:val="subscript"/>
        </w:rPr>
        <w:t>4</w:t>
      </w:r>
      <w:r w:rsidR="00ED2B21" w:rsidRPr="00F457D3">
        <w:rPr>
          <w:rStyle w:val="CETCaptionCarattere"/>
        </w:rPr>
        <w:t>.</w:t>
      </w:r>
    </w:p>
    <w:p w14:paraId="42803EAD" w14:textId="77777777" w:rsidR="00DC2830" w:rsidRPr="00F457D3" w:rsidRDefault="00DC2830" w:rsidP="008064F3">
      <w:pPr>
        <w:pStyle w:val="CETBodytext"/>
        <w:rPr>
          <w:lang w:val="en-GB"/>
        </w:rPr>
      </w:pPr>
    </w:p>
    <w:p w14:paraId="64120D39" w14:textId="26146D80" w:rsidR="0077613B" w:rsidRPr="00F457D3" w:rsidRDefault="008A3277" w:rsidP="00455B37">
      <w:pPr>
        <w:pStyle w:val="CETBodytext"/>
        <w:jc w:val="center"/>
      </w:pPr>
      <w:r w:rsidRPr="008A3277">
        <w:rPr>
          <w:noProof/>
          <w:lang w:val="it-IT" w:eastAsia="it-IT"/>
        </w:rPr>
        <w:drawing>
          <wp:inline distT="0" distB="0" distL="0" distR="0" wp14:anchorId="5AA84D01" wp14:editId="48A21FC6">
            <wp:extent cx="5096519" cy="1850571"/>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48475"/>
                    <a:stretch/>
                  </pic:blipFill>
                  <pic:spPr bwMode="auto">
                    <a:xfrm>
                      <a:off x="0" y="0"/>
                      <a:ext cx="5189465" cy="1884320"/>
                    </a:xfrm>
                    <a:prstGeom prst="rect">
                      <a:avLst/>
                    </a:prstGeom>
                    <a:noFill/>
                    <a:ln>
                      <a:noFill/>
                    </a:ln>
                    <a:extLst>
                      <a:ext uri="{53640926-AAD7-44D8-BBD7-CCE9431645EC}">
                        <a14:shadowObscured xmlns:a14="http://schemas.microsoft.com/office/drawing/2010/main"/>
                      </a:ext>
                    </a:extLst>
                  </pic:spPr>
                </pic:pic>
              </a:graphicData>
            </a:graphic>
          </wp:inline>
        </w:drawing>
      </w:r>
    </w:p>
    <w:p w14:paraId="3E45DF09" w14:textId="60190750" w:rsidR="0077613B" w:rsidRPr="00F457D3" w:rsidRDefault="0077613B" w:rsidP="0077613B">
      <w:pPr>
        <w:pStyle w:val="CETBodytext"/>
        <w:rPr>
          <w:lang w:val="en-GB"/>
        </w:rPr>
      </w:pPr>
      <w:r w:rsidRPr="00F457D3">
        <w:rPr>
          <w:rStyle w:val="CETCaptionCarattere"/>
        </w:rPr>
        <w:t xml:space="preserve">Figure </w:t>
      </w:r>
      <w:r w:rsidR="00DC2830" w:rsidRPr="00F457D3">
        <w:rPr>
          <w:rStyle w:val="CETCaptionCarattere"/>
        </w:rPr>
        <w:t>3</w:t>
      </w:r>
      <w:r w:rsidRPr="00F457D3">
        <w:rPr>
          <w:rStyle w:val="CETCaptionCarattere"/>
        </w:rPr>
        <w:t>: TG/DTG profiles of Pt/Al</w:t>
      </w:r>
      <w:r w:rsidRPr="00F457D3">
        <w:rPr>
          <w:rStyle w:val="CETCaptionCarattere"/>
          <w:vertAlign w:val="subscript"/>
        </w:rPr>
        <w:t>2</w:t>
      </w:r>
      <w:r w:rsidRPr="00F457D3">
        <w:rPr>
          <w:rStyle w:val="CETCaptionCarattere"/>
        </w:rPr>
        <w:t>O</w:t>
      </w:r>
      <w:r w:rsidRPr="00F457D3">
        <w:rPr>
          <w:rStyle w:val="CETCaptionCarattere"/>
          <w:vertAlign w:val="subscript"/>
        </w:rPr>
        <w:t>3</w:t>
      </w:r>
      <w:r w:rsidR="00ED2B21" w:rsidRPr="00F457D3">
        <w:rPr>
          <w:rStyle w:val="CETCaptionCarattere"/>
        </w:rPr>
        <w:t xml:space="preserve"> before the modification with NH</w:t>
      </w:r>
      <w:r w:rsidR="00ED2B21" w:rsidRPr="00F457D3">
        <w:rPr>
          <w:rStyle w:val="CETCaptionCarattere"/>
          <w:vertAlign w:val="subscript"/>
        </w:rPr>
        <w:t>4</w:t>
      </w:r>
      <w:r w:rsidR="00ED2B21" w:rsidRPr="00F457D3">
        <w:rPr>
          <w:rStyle w:val="CETCaptionCarattere"/>
        </w:rPr>
        <w:t>BF</w:t>
      </w:r>
      <w:r w:rsidR="00ED2B21" w:rsidRPr="00F457D3">
        <w:rPr>
          <w:rStyle w:val="CETCaptionCarattere"/>
          <w:vertAlign w:val="subscript"/>
        </w:rPr>
        <w:t>4</w:t>
      </w:r>
      <w:r w:rsidR="00ED2B21" w:rsidRPr="00F457D3">
        <w:rPr>
          <w:rStyle w:val="CETCaptionCarattere"/>
        </w:rPr>
        <w:t>.</w:t>
      </w:r>
    </w:p>
    <w:p w14:paraId="619C1E47" w14:textId="77777777" w:rsidR="0077613B" w:rsidRPr="00F457D3" w:rsidRDefault="0077613B" w:rsidP="008064F3">
      <w:pPr>
        <w:pStyle w:val="CETBodytext"/>
        <w:rPr>
          <w:lang w:val="en-GB"/>
        </w:rPr>
      </w:pPr>
    </w:p>
    <w:p w14:paraId="2845C375" w14:textId="5308690D" w:rsidR="00931555" w:rsidRPr="00F457D3" w:rsidRDefault="003542DB" w:rsidP="003542DB">
      <w:pPr>
        <w:pStyle w:val="CETBodytext"/>
      </w:pPr>
      <w:r w:rsidRPr="00F457D3">
        <w:t>FT-IR spectroscopy was used to analyze the chemical property of Pt/Al</w:t>
      </w:r>
      <w:r w:rsidRPr="00F457D3">
        <w:rPr>
          <w:vertAlign w:val="subscript"/>
        </w:rPr>
        <w:t>2</w:t>
      </w:r>
      <w:r w:rsidRPr="00F457D3">
        <w:t>O</w:t>
      </w:r>
      <w:r w:rsidRPr="00F457D3">
        <w:rPr>
          <w:vertAlign w:val="subscript"/>
        </w:rPr>
        <w:t>3</w:t>
      </w:r>
      <w:r w:rsidRPr="00F457D3">
        <w:t xml:space="preserve"> (Figure </w:t>
      </w:r>
      <w:r w:rsidR="00DC2830" w:rsidRPr="00F457D3">
        <w:t>4</w:t>
      </w:r>
      <w:r w:rsidRPr="00F457D3">
        <w:t>). The FT-IR profile showed a slight band at 33</w:t>
      </w:r>
      <w:r w:rsidR="00ED2B21" w:rsidRPr="00F457D3">
        <w:t>36</w:t>
      </w:r>
      <w:r w:rsidRPr="00F457D3">
        <w:t xml:space="preserve"> cm</w:t>
      </w:r>
      <w:r w:rsidRPr="00F457D3">
        <w:rPr>
          <w:vertAlign w:val="superscript"/>
        </w:rPr>
        <w:t>-1</w:t>
      </w:r>
      <w:r w:rsidRPr="00F457D3">
        <w:t xml:space="preserve"> assigned to the stretching vibration of hydroxyl groups</w:t>
      </w:r>
      <w:r w:rsidR="002D045A" w:rsidRPr="00F457D3">
        <w:t xml:space="preserve"> (Feng et al., 2014</w:t>
      </w:r>
      <w:r w:rsidR="00F843DB" w:rsidRPr="00F457D3">
        <w:t>a</w:t>
      </w:r>
      <w:r w:rsidR="002D045A" w:rsidRPr="00F457D3">
        <w:t>)</w:t>
      </w:r>
      <w:r w:rsidRPr="00F457D3">
        <w:t>. The band at 16</w:t>
      </w:r>
      <w:r w:rsidR="00ED2B21" w:rsidRPr="00F457D3">
        <w:t>40</w:t>
      </w:r>
      <w:r w:rsidRPr="00F457D3">
        <w:t xml:space="preserve"> cm</w:t>
      </w:r>
      <w:r w:rsidRPr="00F457D3">
        <w:rPr>
          <w:vertAlign w:val="superscript"/>
        </w:rPr>
        <w:t>-1</w:t>
      </w:r>
      <w:r w:rsidRPr="00F457D3">
        <w:t xml:space="preserve"> can be ascribed to the typical deformation vibration of physically adsorbed water</w:t>
      </w:r>
      <w:r w:rsidR="00090709" w:rsidRPr="00F457D3">
        <w:t xml:space="preserve"> (Li et al., 2008)</w:t>
      </w:r>
      <w:r w:rsidRPr="00F457D3">
        <w:t>. Finally, the profile showed a broad band at about 500 cm</w:t>
      </w:r>
      <w:r w:rsidRPr="00F457D3">
        <w:rPr>
          <w:vertAlign w:val="superscript"/>
        </w:rPr>
        <w:t>−1</w:t>
      </w:r>
      <w:r w:rsidRPr="00F457D3">
        <w:t xml:space="preserve">, attributed to the Al–O bond of alumina </w:t>
      </w:r>
      <w:r w:rsidR="009A317C" w:rsidRPr="00F457D3">
        <w:t>(Li et al., 2008)</w:t>
      </w:r>
      <w:r w:rsidRPr="00F457D3">
        <w:t>.</w:t>
      </w:r>
      <w:r w:rsidR="00FB70D0" w:rsidRPr="00F457D3">
        <w:t xml:space="preserve"> In Figure </w:t>
      </w:r>
      <w:r w:rsidR="00DC2830" w:rsidRPr="00F457D3">
        <w:t>5</w:t>
      </w:r>
      <w:r w:rsidR="00FB70D0" w:rsidRPr="00F457D3">
        <w:t>, the FT-IR profile of Pt/Al</w:t>
      </w:r>
      <w:r w:rsidR="00FB70D0" w:rsidRPr="00F457D3">
        <w:rPr>
          <w:vertAlign w:val="subscript"/>
        </w:rPr>
        <w:t>2</w:t>
      </w:r>
      <w:r w:rsidR="00FB70D0" w:rsidRPr="00F457D3">
        <w:t>O</w:t>
      </w:r>
      <w:r w:rsidR="00FB70D0" w:rsidRPr="00F457D3">
        <w:rPr>
          <w:vertAlign w:val="subscript"/>
        </w:rPr>
        <w:t>3</w:t>
      </w:r>
      <w:r w:rsidR="00FB70D0" w:rsidRPr="00F457D3">
        <w:t>@NH</w:t>
      </w:r>
      <w:r w:rsidR="00FB70D0" w:rsidRPr="00F457D3">
        <w:rPr>
          <w:vertAlign w:val="subscript"/>
        </w:rPr>
        <w:t>4</w:t>
      </w:r>
      <w:r w:rsidR="00FB70D0" w:rsidRPr="00F457D3">
        <w:t>BF</w:t>
      </w:r>
      <w:r w:rsidR="00FB70D0" w:rsidRPr="00F457D3">
        <w:rPr>
          <w:vertAlign w:val="subscript"/>
        </w:rPr>
        <w:t>4</w:t>
      </w:r>
      <w:r w:rsidR="00FB70D0" w:rsidRPr="00F457D3">
        <w:t xml:space="preserve"> is shown. The profile evidenced the presence of new main bands at ~ 1485 cm</w:t>
      </w:r>
      <w:r w:rsidR="00FB70D0" w:rsidRPr="00F457D3">
        <w:rPr>
          <w:vertAlign w:val="superscript"/>
        </w:rPr>
        <w:t>-1</w:t>
      </w:r>
      <w:r w:rsidR="00FB70D0" w:rsidRPr="00F457D3">
        <w:t xml:space="preserve"> and 720 cm</w:t>
      </w:r>
      <w:r w:rsidR="00FB70D0" w:rsidRPr="00F457D3">
        <w:rPr>
          <w:vertAlign w:val="superscript"/>
        </w:rPr>
        <w:t>-1</w:t>
      </w:r>
      <w:r w:rsidR="00FB70D0" w:rsidRPr="00F457D3">
        <w:t xml:space="preserve">, probably due to the formation of aluminum borate </w:t>
      </w:r>
      <w:r w:rsidR="002D045A" w:rsidRPr="00F457D3">
        <w:t>(Feng et al., 2014</w:t>
      </w:r>
      <w:r w:rsidR="00F843DB" w:rsidRPr="00F457D3">
        <w:t>a</w:t>
      </w:r>
      <w:r w:rsidR="002D045A" w:rsidRPr="00F457D3">
        <w:t>)</w:t>
      </w:r>
      <w:r w:rsidR="00FB70D0" w:rsidRPr="00F457D3">
        <w:t>. These results confirmed the modification of Pt/Al</w:t>
      </w:r>
      <w:r w:rsidR="00FB70D0" w:rsidRPr="00F457D3">
        <w:rPr>
          <w:vertAlign w:val="subscript"/>
        </w:rPr>
        <w:t>2</w:t>
      </w:r>
      <w:r w:rsidR="00FB70D0" w:rsidRPr="00F457D3">
        <w:t>O</w:t>
      </w:r>
      <w:r w:rsidR="00FB70D0" w:rsidRPr="00F457D3">
        <w:rPr>
          <w:vertAlign w:val="subscript"/>
        </w:rPr>
        <w:t xml:space="preserve">3 </w:t>
      </w:r>
      <w:r w:rsidR="00FB70D0" w:rsidRPr="00F457D3">
        <w:t>with NH</w:t>
      </w:r>
      <w:r w:rsidR="00FB70D0" w:rsidRPr="00F457D3">
        <w:rPr>
          <w:vertAlign w:val="subscript"/>
        </w:rPr>
        <w:t>4</w:t>
      </w:r>
      <w:r w:rsidR="00FB70D0" w:rsidRPr="00F457D3">
        <w:t>BF</w:t>
      </w:r>
      <w:r w:rsidR="00FB70D0" w:rsidRPr="00F457D3">
        <w:rPr>
          <w:vertAlign w:val="subscript"/>
        </w:rPr>
        <w:t>4</w:t>
      </w:r>
      <w:r w:rsidR="00FB70D0" w:rsidRPr="00F457D3">
        <w:t>.</w:t>
      </w:r>
    </w:p>
    <w:p w14:paraId="4A6DC0E8" w14:textId="04B2F65C" w:rsidR="00BA0CA1" w:rsidRPr="00F457D3" w:rsidRDefault="00BA0CA1" w:rsidP="00BA0CA1">
      <w:pPr>
        <w:pStyle w:val="CETBodytext"/>
        <w:rPr>
          <w:rStyle w:val="CETCaptionCarattere"/>
          <w:i w:val="0"/>
          <w:lang w:val="en-US"/>
        </w:rPr>
      </w:pPr>
      <w:r w:rsidRPr="00F457D3">
        <w:t>Acidities for Pt/Al</w:t>
      </w:r>
      <w:r w:rsidRPr="00F457D3">
        <w:rPr>
          <w:vertAlign w:val="subscript"/>
        </w:rPr>
        <w:t>2</w:t>
      </w:r>
      <w:r w:rsidRPr="00F457D3">
        <w:t>O</w:t>
      </w:r>
      <w:r w:rsidRPr="00F457D3">
        <w:rPr>
          <w:vertAlign w:val="subscript"/>
        </w:rPr>
        <w:t>3</w:t>
      </w:r>
      <w:r w:rsidRPr="00F457D3">
        <w:t>@NH</w:t>
      </w:r>
      <w:r w:rsidRPr="00F457D3">
        <w:rPr>
          <w:vertAlign w:val="subscript"/>
        </w:rPr>
        <w:t>4</w:t>
      </w:r>
      <w:r w:rsidRPr="00F457D3">
        <w:t>BF</w:t>
      </w:r>
      <w:r w:rsidRPr="00F457D3">
        <w:rPr>
          <w:vertAlign w:val="subscript"/>
        </w:rPr>
        <w:t>4</w:t>
      </w:r>
      <w:r w:rsidRPr="00F457D3">
        <w:t xml:space="preserve"> sample were monitored by FT-IR pyridine adsorption (Figure 5). Firstly, physically adsorbed pyridine was outgassed at 300°C in nitrogen flow for 3 h. The bands at 1445, 1579, 1597, and 1617 cm</w:t>
      </w:r>
      <w:r w:rsidRPr="00F457D3">
        <w:rPr>
          <w:vertAlign w:val="superscript"/>
        </w:rPr>
        <w:t>−1</w:t>
      </w:r>
      <w:r w:rsidRPr="00F457D3">
        <w:t xml:space="preserve"> were ascribed to pyridine species absorbed on Lewis acidic sites</w:t>
      </w:r>
      <w:r w:rsidR="00C146D5" w:rsidRPr="00F457D3">
        <w:t xml:space="preserve"> (Burtin et al., 1987; Morterra and Magnacca, 1996)</w:t>
      </w:r>
      <w:r w:rsidRPr="00F457D3">
        <w:t>. The band at 1495 cm</w:t>
      </w:r>
      <w:r w:rsidRPr="00F457D3">
        <w:rPr>
          <w:vertAlign w:val="superscript"/>
        </w:rPr>
        <w:t>-1</w:t>
      </w:r>
      <w:r w:rsidRPr="00F457D3">
        <w:t xml:space="preserve"> was assigned to the combined Brønsted and Lewis acid sites. Furthermore, the bands at 1545 cm</w:t>
      </w:r>
      <w:r w:rsidRPr="00F457D3">
        <w:rPr>
          <w:vertAlign w:val="superscript"/>
        </w:rPr>
        <w:t>-1</w:t>
      </w:r>
      <w:r w:rsidRPr="00F457D3">
        <w:t xml:space="preserve"> and 1646 cm</w:t>
      </w:r>
      <w:r w:rsidRPr="00F457D3">
        <w:rPr>
          <w:vertAlign w:val="superscript"/>
        </w:rPr>
        <w:t>-1</w:t>
      </w:r>
      <w:r w:rsidRPr="00F457D3">
        <w:t xml:space="preserve">, respectively, due to the pyridine absorbed on Brønsted acidic sites, confirming the presence of Brønsted acidic sites </w:t>
      </w:r>
      <w:r w:rsidR="00C612AD" w:rsidRPr="00F457D3">
        <w:t>(Feng et al., 2014</w:t>
      </w:r>
      <w:r w:rsidR="00F843DB" w:rsidRPr="00F457D3">
        <w:t>b</w:t>
      </w:r>
      <w:r w:rsidR="00C612AD" w:rsidRPr="00F457D3">
        <w:t>)</w:t>
      </w:r>
      <w:r w:rsidRPr="00F457D3">
        <w:t>.</w:t>
      </w:r>
    </w:p>
    <w:p w14:paraId="1827D046" w14:textId="01818651" w:rsidR="00BA0CA1" w:rsidRPr="00F457D3" w:rsidRDefault="00736BF5" w:rsidP="00736BF5">
      <w:pPr>
        <w:pStyle w:val="CETBodytext"/>
      </w:pPr>
      <w:r w:rsidRPr="00F457D3">
        <w:t>The surface composition of Al</w:t>
      </w:r>
      <w:r w:rsidRPr="00F457D3">
        <w:rPr>
          <w:vertAlign w:val="subscript"/>
        </w:rPr>
        <w:t>2</w:t>
      </w:r>
      <w:r w:rsidRPr="00F457D3">
        <w:t>O</w:t>
      </w:r>
      <w:r w:rsidRPr="00F457D3">
        <w:rPr>
          <w:vertAlign w:val="subscript"/>
        </w:rPr>
        <w:t>3</w:t>
      </w:r>
      <w:r w:rsidRPr="00F457D3">
        <w:t xml:space="preserve"> is responsible for the surface acidity of the catalyst, the surface of Al</w:t>
      </w:r>
      <w:r w:rsidRPr="00F457D3">
        <w:rPr>
          <w:vertAlign w:val="subscript"/>
        </w:rPr>
        <w:t>2</w:t>
      </w:r>
      <w:r w:rsidRPr="00F457D3">
        <w:t>O</w:t>
      </w:r>
      <w:r w:rsidRPr="00F457D3">
        <w:rPr>
          <w:vertAlign w:val="subscript"/>
        </w:rPr>
        <w:t>3</w:t>
      </w:r>
      <w:r w:rsidRPr="00F457D3">
        <w:t xml:space="preserve"> was covered with hydroxyl groups bound to sites of various geometries. As reported by </w:t>
      </w:r>
      <w:r w:rsidR="00E0028E" w:rsidRPr="00F457D3">
        <w:t>Knözinger and Ratnasamy</w:t>
      </w:r>
      <w:r w:rsidRPr="00F457D3">
        <w:t xml:space="preserve"> </w:t>
      </w:r>
      <w:r w:rsidR="00E0028E" w:rsidRPr="00F457D3">
        <w:t>(1978)</w:t>
      </w:r>
      <w:r w:rsidRPr="00F457D3">
        <w:t>, the surface composition/structure of alumina can be described by five types of surface sites.</w:t>
      </w:r>
    </w:p>
    <w:p w14:paraId="5C693794" w14:textId="77777777" w:rsidR="002725CB" w:rsidRPr="00F457D3" w:rsidRDefault="002725CB" w:rsidP="003542DB">
      <w:pPr>
        <w:pStyle w:val="CETBodytext"/>
      </w:pPr>
    </w:p>
    <w:p w14:paraId="14A07451" w14:textId="3BA2D2F2" w:rsidR="00931555" w:rsidRPr="00F457D3" w:rsidRDefault="00455B37" w:rsidP="00455B37">
      <w:pPr>
        <w:pStyle w:val="CETBodytext"/>
        <w:jc w:val="center"/>
      </w:pPr>
      <w:r w:rsidRPr="00F457D3">
        <w:rPr>
          <w:noProof/>
          <w:lang w:val="it-IT" w:eastAsia="it-IT"/>
        </w:rPr>
        <mc:AlternateContent>
          <mc:Choice Requires="wps">
            <w:drawing>
              <wp:anchor distT="45720" distB="45720" distL="114300" distR="114300" simplePos="0" relativeHeight="251659264" behindDoc="0" locked="0" layoutInCell="1" allowOverlap="1" wp14:anchorId="157335BA" wp14:editId="0260F510">
                <wp:simplePos x="0" y="0"/>
                <wp:positionH relativeFrom="column">
                  <wp:posOffset>2231844</wp:posOffset>
                </wp:positionH>
                <wp:positionV relativeFrom="paragraph">
                  <wp:posOffset>1672046</wp:posOffset>
                </wp:positionV>
                <wp:extent cx="344170" cy="1404620"/>
                <wp:effectExtent l="0" t="0" r="0" b="1905"/>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404620"/>
                        </a:xfrm>
                        <a:prstGeom prst="rect">
                          <a:avLst/>
                        </a:prstGeom>
                        <a:noFill/>
                        <a:ln w="9525">
                          <a:noFill/>
                          <a:miter lim="800000"/>
                          <a:headEnd/>
                          <a:tailEnd/>
                        </a:ln>
                      </wps:spPr>
                      <wps:txbx>
                        <w:txbxContent>
                          <w:p w14:paraId="767A74A1" w14:textId="44BE56D8" w:rsidR="00FB70D0" w:rsidRPr="00FB70D0" w:rsidRDefault="00FB70D0">
                            <w:pPr>
                              <w:rPr>
                                <w:b/>
                                <w:sz w:val="30"/>
                                <w:szCs w:val="30"/>
                                <w:lang w:val="it-IT"/>
                              </w:rPr>
                            </w:pPr>
                            <w:r w:rsidRPr="00FB70D0">
                              <w:rPr>
                                <w:b/>
                                <w:sz w:val="30"/>
                                <w:szCs w:val="3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7335BA" id="_x0000_t202" coordsize="21600,21600" o:spt="202" path="m,l,21600r21600,l21600,xe">
                <v:stroke joinstyle="miter"/>
                <v:path gradientshapeok="t" o:connecttype="rect"/>
              </v:shapetype>
              <v:shape id="Casella di testo 2" o:spid="_x0000_s1026" type="#_x0000_t202" style="position:absolute;left:0;text-align:left;margin-left:175.75pt;margin-top:131.65pt;width:27.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" filled="f" stroked="f">
                <v:textbox style="mso-fit-shape-to-text:t">
                  <w:txbxContent>
                    <w:p w14:paraId="767A74A1" w14:textId="44BE56D8" w:rsidR="00FB70D0" w:rsidRPr="00FB70D0" w:rsidRDefault="00FB70D0">
                      <w:pPr>
                        <w:rPr>
                          <w:b/>
                          <w:sz w:val="30"/>
                          <w:szCs w:val="30"/>
                          <w:lang w:val="it-IT"/>
                        </w:rPr>
                      </w:pPr>
                      <w:r w:rsidRPr="00FB70D0">
                        <w:rPr>
                          <w:b/>
                          <w:sz w:val="30"/>
                          <w:szCs w:val="30"/>
                        </w:rPr>
                        <w:t>a</w:t>
                      </w:r>
                    </w:p>
                  </w:txbxContent>
                </v:textbox>
              </v:shape>
            </w:pict>
          </mc:Fallback>
        </mc:AlternateContent>
      </w:r>
      <w:r w:rsidR="009F6195" w:rsidRPr="00F457D3">
        <w:rPr>
          <w:noProof/>
          <w:lang w:val="it-IT" w:eastAsia="it-IT"/>
        </w:rPr>
        <mc:AlternateContent>
          <mc:Choice Requires="wps">
            <w:drawing>
              <wp:anchor distT="45720" distB="45720" distL="114300" distR="114300" simplePos="0" relativeHeight="251661312" behindDoc="0" locked="0" layoutInCell="1" allowOverlap="1" wp14:anchorId="13855688" wp14:editId="50D00C18">
                <wp:simplePos x="0" y="0"/>
                <wp:positionH relativeFrom="column">
                  <wp:posOffset>4310108</wp:posOffset>
                </wp:positionH>
                <wp:positionV relativeFrom="paragraph">
                  <wp:posOffset>1693817</wp:posOffset>
                </wp:positionV>
                <wp:extent cx="383909" cy="3130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09" cy="313075"/>
                        </a:xfrm>
                        <a:prstGeom prst="rect">
                          <a:avLst/>
                        </a:prstGeom>
                        <a:noFill/>
                        <a:ln w="9525">
                          <a:noFill/>
                          <a:miter lim="800000"/>
                          <a:headEnd/>
                          <a:tailEnd/>
                        </a:ln>
                      </wps:spPr>
                      <wps:txbx>
                        <w:txbxContent>
                          <w:p w14:paraId="743DF66D" w14:textId="2F4FA98B" w:rsidR="00FB70D0" w:rsidRPr="00FB70D0" w:rsidRDefault="00FB70D0" w:rsidP="00FB70D0">
                            <w:pPr>
                              <w:rPr>
                                <w:b/>
                                <w:sz w:val="30"/>
                                <w:szCs w:val="30"/>
                                <w:lang w:val="it-IT"/>
                              </w:rPr>
                            </w:pPr>
                            <w:r>
                              <w:rPr>
                                <w:b/>
                                <w:sz w:val="30"/>
                                <w:szCs w:val="3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55688" id="_x0000_s1027" type="#_x0000_t202" style="position:absolute;left:0;text-align:left;margin-left:339.4pt;margin-top:133.35pt;width:30.25pt;height:2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" filled="f" stroked="f">
                <v:textbox>
                  <w:txbxContent>
                    <w:p w14:paraId="743DF66D" w14:textId="2F4FA98B" w:rsidR="00FB70D0" w:rsidRPr="00FB70D0" w:rsidRDefault="00FB70D0" w:rsidP="00FB70D0">
                      <w:pPr>
                        <w:rPr>
                          <w:b/>
                          <w:sz w:val="30"/>
                          <w:szCs w:val="30"/>
                          <w:lang w:val="it-IT"/>
                        </w:rPr>
                      </w:pPr>
                      <w:r>
                        <w:rPr>
                          <w:b/>
                          <w:sz w:val="30"/>
                          <w:szCs w:val="30"/>
                        </w:rPr>
                        <w:t>b</w:t>
                      </w:r>
                    </w:p>
                  </w:txbxContent>
                </v:textbox>
              </v:shape>
            </w:pict>
          </mc:Fallback>
        </mc:AlternateContent>
      </w:r>
      <w:r w:rsidR="00ED2B21" w:rsidRPr="00F457D3">
        <w:rPr>
          <w:noProof/>
          <w:lang w:val="it-IT" w:eastAsia="it-IT"/>
        </w:rPr>
        <w:drawing>
          <wp:inline distT="0" distB="0" distL="0" distR="0" wp14:anchorId="4D6A6F2C" wp14:editId="7AB19E83">
            <wp:extent cx="2060027" cy="247113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8272" r="40828"/>
                    <a:stretch/>
                  </pic:blipFill>
                  <pic:spPr bwMode="auto">
                    <a:xfrm>
                      <a:off x="0" y="0"/>
                      <a:ext cx="2098594" cy="2517403"/>
                    </a:xfrm>
                    <a:prstGeom prst="rect">
                      <a:avLst/>
                    </a:prstGeom>
                    <a:noFill/>
                    <a:ln>
                      <a:noFill/>
                    </a:ln>
                    <a:extLst>
                      <a:ext uri="{53640926-AAD7-44D8-BBD7-CCE9431645EC}">
                        <a14:shadowObscured xmlns:a14="http://schemas.microsoft.com/office/drawing/2010/main"/>
                      </a:ext>
                    </a:extLst>
                  </pic:spPr>
                </pic:pic>
              </a:graphicData>
            </a:graphic>
          </wp:inline>
        </w:drawing>
      </w:r>
      <w:r w:rsidR="00FB70D0" w:rsidRPr="00F457D3">
        <w:rPr>
          <w:noProof/>
          <w:lang w:val="it-IT" w:eastAsia="it-IT"/>
        </w:rPr>
        <w:drawing>
          <wp:inline distT="0" distB="0" distL="0" distR="0" wp14:anchorId="57D87578" wp14:editId="3170833C">
            <wp:extent cx="2112579" cy="247877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7905" r="39264"/>
                    <a:stretch/>
                  </pic:blipFill>
                  <pic:spPr bwMode="auto">
                    <a:xfrm>
                      <a:off x="0" y="0"/>
                      <a:ext cx="2166963" cy="2542582"/>
                    </a:xfrm>
                    <a:prstGeom prst="rect">
                      <a:avLst/>
                    </a:prstGeom>
                    <a:noFill/>
                    <a:ln>
                      <a:noFill/>
                    </a:ln>
                    <a:extLst>
                      <a:ext uri="{53640926-AAD7-44D8-BBD7-CCE9431645EC}">
                        <a14:shadowObscured xmlns:a14="http://schemas.microsoft.com/office/drawing/2010/main"/>
                      </a:ext>
                    </a:extLst>
                  </pic:spPr>
                </pic:pic>
              </a:graphicData>
            </a:graphic>
          </wp:inline>
        </w:drawing>
      </w:r>
    </w:p>
    <w:p w14:paraId="423351E7" w14:textId="58BABE23" w:rsidR="00A63BA1" w:rsidRPr="00F457D3" w:rsidRDefault="00ED2B21" w:rsidP="00ED2B21">
      <w:pPr>
        <w:pStyle w:val="CETBodytext"/>
        <w:rPr>
          <w:rStyle w:val="CETCaptionCarattere"/>
        </w:rPr>
      </w:pPr>
      <w:r w:rsidRPr="00F457D3">
        <w:rPr>
          <w:rStyle w:val="CETCaptionCarattere"/>
        </w:rPr>
        <w:t xml:space="preserve">Figure </w:t>
      </w:r>
      <w:r w:rsidR="00F832AE" w:rsidRPr="00F457D3">
        <w:rPr>
          <w:rStyle w:val="CETCaptionCarattere"/>
        </w:rPr>
        <w:t>4</w:t>
      </w:r>
      <w:r w:rsidRPr="00F457D3">
        <w:rPr>
          <w:rStyle w:val="CETCaptionCarattere"/>
        </w:rPr>
        <w:t>: FT-IR spectrum for Pt/Al</w:t>
      </w:r>
      <w:r w:rsidRPr="00F457D3">
        <w:rPr>
          <w:rStyle w:val="CETCaptionCarattere"/>
          <w:vertAlign w:val="subscript"/>
        </w:rPr>
        <w:t>2</w:t>
      </w:r>
      <w:r w:rsidRPr="00F457D3">
        <w:rPr>
          <w:rStyle w:val="CETCaptionCarattere"/>
        </w:rPr>
        <w:t>O</w:t>
      </w:r>
      <w:r w:rsidRPr="00F457D3">
        <w:rPr>
          <w:rStyle w:val="CETCaptionCarattere"/>
          <w:vertAlign w:val="subscript"/>
        </w:rPr>
        <w:t>3</w:t>
      </w:r>
      <w:r w:rsidRPr="00F457D3">
        <w:rPr>
          <w:rStyle w:val="CETCaptionCarattere"/>
        </w:rPr>
        <w:t xml:space="preserve"> before</w:t>
      </w:r>
      <w:r w:rsidR="00FB70D0" w:rsidRPr="00F457D3">
        <w:rPr>
          <w:rStyle w:val="CETCaptionCarattere"/>
        </w:rPr>
        <w:t xml:space="preserve"> (a) and after (b)</w:t>
      </w:r>
      <w:r w:rsidRPr="00F457D3">
        <w:rPr>
          <w:rStyle w:val="CETCaptionCarattere"/>
        </w:rPr>
        <w:t xml:space="preserve"> the modification with NH</w:t>
      </w:r>
      <w:r w:rsidRPr="00F457D3">
        <w:rPr>
          <w:rStyle w:val="CETCaptionCarattere"/>
          <w:vertAlign w:val="subscript"/>
        </w:rPr>
        <w:t>4</w:t>
      </w:r>
      <w:r w:rsidRPr="00F457D3">
        <w:rPr>
          <w:rStyle w:val="CETCaptionCarattere"/>
        </w:rPr>
        <w:t>BF</w:t>
      </w:r>
      <w:r w:rsidRPr="00F457D3">
        <w:rPr>
          <w:rStyle w:val="CETCaptionCarattere"/>
          <w:vertAlign w:val="subscript"/>
        </w:rPr>
        <w:t>4</w:t>
      </w:r>
      <w:r w:rsidRPr="00F457D3">
        <w:rPr>
          <w:rStyle w:val="CETCaptionCarattere"/>
        </w:rPr>
        <w:t>.</w:t>
      </w:r>
    </w:p>
    <w:p w14:paraId="307DFBFA" w14:textId="77777777" w:rsidR="002725CB" w:rsidRPr="00F457D3" w:rsidRDefault="002725CB" w:rsidP="00ED2B21">
      <w:pPr>
        <w:pStyle w:val="CETBodytext"/>
        <w:rPr>
          <w:rStyle w:val="CETCaptionCarattere"/>
        </w:rPr>
      </w:pPr>
    </w:p>
    <w:p w14:paraId="4BFF62B6" w14:textId="72BE5585" w:rsidR="00BE7240" w:rsidRPr="00F457D3" w:rsidRDefault="00B37DD7" w:rsidP="00455B37">
      <w:pPr>
        <w:pStyle w:val="CETBodytext"/>
        <w:jc w:val="center"/>
      </w:pPr>
      <w:r w:rsidRPr="00B37DD7">
        <w:rPr>
          <w:noProof/>
          <w:lang w:val="it-IT" w:eastAsia="it-IT"/>
        </w:rPr>
        <w:drawing>
          <wp:inline distT="0" distB="0" distL="0" distR="0" wp14:anchorId="23A6FDF2" wp14:editId="62FD7281">
            <wp:extent cx="2144486" cy="246468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9197" r="38855"/>
                    <a:stretch/>
                  </pic:blipFill>
                  <pic:spPr bwMode="auto">
                    <a:xfrm>
                      <a:off x="0" y="0"/>
                      <a:ext cx="2177015" cy="2502066"/>
                    </a:xfrm>
                    <a:prstGeom prst="rect">
                      <a:avLst/>
                    </a:prstGeom>
                    <a:noFill/>
                    <a:ln>
                      <a:noFill/>
                    </a:ln>
                    <a:extLst>
                      <a:ext uri="{53640926-AAD7-44D8-BBD7-CCE9431645EC}">
                        <a14:shadowObscured xmlns:a14="http://schemas.microsoft.com/office/drawing/2010/main"/>
                      </a:ext>
                    </a:extLst>
                  </pic:spPr>
                </pic:pic>
              </a:graphicData>
            </a:graphic>
          </wp:inline>
        </w:drawing>
      </w:r>
    </w:p>
    <w:p w14:paraId="2C253045" w14:textId="62E23CB9" w:rsidR="0056556E" w:rsidRPr="00F457D3" w:rsidRDefault="0056556E" w:rsidP="0056556E">
      <w:pPr>
        <w:pStyle w:val="CETBodytext"/>
        <w:rPr>
          <w:lang w:val="en-GB"/>
        </w:rPr>
      </w:pPr>
      <w:r w:rsidRPr="00F457D3">
        <w:rPr>
          <w:rStyle w:val="CETCaptionCarattere"/>
        </w:rPr>
        <w:t xml:space="preserve">Figure </w:t>
      </w:r>
      <w:r w:rsidR="00DC2830" w:rsidRPr="00F457D3">
        <w:rPr>
          <w:rStyle w:val="CETCaptionCarattere"/>
        </w:rPr>
        <w:t>5</w:t>
      </w:r>
      <w:r w:rsidRPr="00F457D3">
        <w:rPr>
          <w:rStyle w:val="CETCaptionCarattere"/>
        </w:rPr>
        <w:t>: FT-IR spectrum of adsorbed pyridine on Pt/Al</w:t>
      </w:r>
      <w:r w:rsidRPr="00F457D3">
        <w:rPr>
          <w:rStyle w:val="CETCaptionCarattere"/>
          <w:vertAlign w:val="subscript"/>
        </w:rPr>
        <w:t>2</w:t>
      </w:r>
      <w:r w:rsidRPr="00F457D3">
        <w:rPr>
          <w:rStyle w:val="CETCaptionCarattere"/>
        </w:rPr>
        <w:t>O</w:t>
      </w:r>
      <w:r w:rsidRPr="00F457D3">
        <w:rPr>
          <w:rStyle w:val="CETCaptionCarattere"/>
          <w:vertAlign w:val="subscript"/>
        </w:rPr>
        <w:t>3</w:t>
      </w:r>
      <w:r w:rsidRPr="00F457D3">
        <w:rPr>
          <w:rStyle w:val="CETCaptionCarattere"/>
        </w:rPr>
        <w:t xml:space="preserve"> modified with NH</w:t>
      </w:r>
      <w:r w:rsidRPr="00F457D3">
        <w:rPr>
          <w:rStyle w:val="CETCaptionCarattere"/>
          <w:vertAlign w:val="subscript"/>
        </w:rPr>
        <w:t>4</w:t>
      </w:r>
      <w:r w:rsidRPr="00F457D3">
        <w:rPr>
          <w:rStyle w:val="CETCaptionCarattere"/>
        </w:rPr>
        <w:t>BF</w:t>
      </w:r>
      <w:r w:rsidRPr="00F457D3">
        <w:rPr>
          <w:rStyle w:val="CETCaptionCarattere"/>
          <w:vertAlign w:val="subscript"/>
        </w:rPr>
        <w:t>4</w:t>
      </w:r>
      <w:r w:rsidRPr="00F457D3">
        <w:rPr>
          <w:rStyle w:val="CETCaptionCarattere"/>
        </w:rPr>
        <w:t>. The sample is shown after exposure to pyridine and then treated under vacuum for 3 h.</w:t>
      </w:r>
    </w:p>
    <w:p w14:paraId="6CF29C60" w14:textId="77777777" w:rsidR="00DC2830" w:rsidRPr="00F457D3" w:rsidRDefault="00DC2830" w:rsidP="00A63BA1">
      <w:pPr>
        <w:pStyle w:val="CETBodytext"/>
      </w:pPr>
    </w:p>
    <w:p w14:paraId="69C19C28" w14:textId="616C4BFC" w:rsidR="00A01CD0" w:rsidRPr="00F457D3" w:rsidRDefault="00A01CD0" w:rsidP="00A63BA1">
      <w:pPr>
        <w:pStyle w:val="CETBodytext"/>
      </w:pPr>
      <w:r w:rsidRPr="00F457D3">
        <w:t xml:space="preserve">In Figure </w:t>
      </w:r>
      <w:r w:rsidR="00DC2830" w:rsidRPr="00F457D3">
        <w:t>6</w:t>
      </w:r>
      <w:r w:rsidRPr="00F457D3">
        <w:t>, the mechanism explaining the formation of Brönsted acid site</w:t>
      </w:r>
      <w:r w:rsidR="00A41BCD" w:rsidRPr="00F457D3">
        <w:t>s</w:t>
      </w:r>
      <w:r w:rsidRPr="00F457D3">
        <w:t xml:space="preserve"> on the alumina surface was shown</w:t>
      </w:r>
      <w:r w:rsidR="00131E9E">
        <w:t xml:space="preserve"> </w:t>
      </w:r>
      <w:r w:rsidR="00131E9E" w:rsidRPr="00F457D3">
        <w:t>(Feng et al., 2014a)</w:t>
      </w:r>
      <w:r w:rsidRPr="00F457D3">
        <w:t>. -OH group, which can be bounded to two tetrahedral or octahedral aluminum atoms is also depicted. Fluorine modification replaces oxygen groups located on alumina atoms with strong electronegative F atoms. In the meantime, electrons from neighboring atoms were withdrawn leading to a decreased electron cloud density of -OH groups and allowing a much easier proton release, which improves Brönsted sites' acidity</w:t>
      </w:r>
      <w:r w:rsidR="00131E9E">
        <w:t xml:space="preserve"> </w:t>
      </w:r>
      <w:r w:rsidR="00131E9E" w:rsidRPr="00F457D3">
        <w:t>(Feng et al., 2014a)</w:t>
      </w:r>
      <w:r w:rsidRPr="00F457D3">
        <w:t xml:space="preserve">. Boron atoms form B−O−Al </w:t>
      </w:r>
      <w:r w:rsidR="00A41BCD" w:rsidRPr="00F457D3">
        <w:t>are bound</w:t>
      </w:r>
      <w:r w:rsidRPr="00F457D3">
        <w:t xml:space="preserve"> with under-coordinated aluminum.</w:t>
      </w:r>
    </w:p>
    <w:p w14:paraId="15A6DB2F" w14:textId="4EF52E72" w:rsidR="003A417E" w:rsidRPr="00F457D3" w:rsidRDefault="00A01CD0" w:rsidP="00455B37">
      <w:pPr>
        <w:pStyle w:val="CETBodytext"/>
        <w:jc w:val="center"/>
        <w:rPr>
          <w:rStyle w:val="CETCaptionCarattere"/>
        </w:rPr>
      </w:pPr>
      <w:r w:rsidRPr="00F457D3">
        <w:rPr>
          <w:noProof/>
          <w:lang w:val="it-IT" w:eastAsia="it-IT"/>
        </w:rPr>
        <w:drawing>
          <wp:inline distT="0" distB="0" distL="0" distR="0" wp14:anchorId="1E217A30" wp14:editId="4CD9BB1C">
            <wp:extent cx="3615558" cy="1521934"/>
            <wp:effectExtent l="0" t="0" r="4445" b="254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5373" cy="1551322"/>
                    </a:xfrm>
                    <a:prstGeom prst="rect">
                      <a:avLst/>
                    </a:prstGeom>
                    <a:noFill/>
                    <a:ln>
                      <a:noFill/>
                    </a:ln>
                  </pic:spPr>
                </pic:pic>
              </a:graphicData>
            </a:graphic>
          </wp:inline>
        </w:drawing>
      </w:r>
    </w:p>
    <w:p w14:paraId="061ACA9E" w14:textId="6681DD75" w:rsidR="00DB1F09" w:rsidRPr="00F457D3" w:rsidRDefault="003A417E" w:rsidP="00DB1F09">
      <w:pPr>
        <w:pStyle w:val="CETBodytext"/>
        <w:rPr>
          <w:rStyle w:val="CETCaptionCarattere"/>
        </w:rPr>
      </w:pPr>
      <w:r w:rsidRPr="00F457D3">
        <w:rPr>
          <w:rStyle w:val="CETCaptionCarattere"/>
        </w:rPr>
        <w:t xml:space="preserve">Figure </w:t>
      </w:r>
      <w:r w:rsidR="00DC2830" w:rsidRPr="00F457D3">
        <w:rPr>
          <w:rStyle w:val="CETCaptionCarattere"/>
        </w:rPr>
        <w:t>6</w:t>
      </w:r>
      <w:r w:rsidRPr="00F457D3">
        <w:rPr>
          <w:rStyle w:val="CETCaptionCarattere"/>
        </w:rPr>
        <w:t>: The schematic mechanism for the formation of Brønsted acid sites on the catalyst surface.</w:t>
      </w:r>
    </w:p>
    <w:p w14:paraId="206F09AB" w14:textId="5B9D0628" w:rsidR="00F12942" w:rsidRPr="00F457D3" w:rsidRDefault="00F12942" w:rsidP="00DB1F09">
      <w:pPr>
        <w:pStyle w:val="CETheadingx"/>
      </w:pPr>
      <w:r w:rsidRPr="00F457D3">
        <w:lastRenderedPageBreak/>
        <w:t>Electrochemical methanol conversion</w:t>
      </w:r>
    </w:p>
    <w:p w14:paraId="388145BC" w14:textId="28BC0B6B" w:rsidR="001E7FAC" w:rsidRPr="00F457D3" w:rsidRDefault="001E7FAC" w:rsidP="001E7FAC">
      <w:pPr>
        <w:pStyle w:val="CETBodytext"/>
      </w:pPr>
      <w:r w:rsidRPr="00F457D3">
        <w:t>The electrocatalytic activity towards MOR of the synthesized nanomaterial was tested in a 0.5 M H</w:t>
      </w:r>
      <w:r w:rsidRPr="00F457D3">
        <w:rPr>
          <w:vertAlign w:val="subscript"/>
        </w:rPr>
        <w:t>2</w:t>
      </w:r>
      <w:r w:rsidRPr="00F457D3">
        <w:t>SO</w:t>
      </w:r>
      <w:r w:rsidRPr="00F457D3">
        <w:rPr>
          <w:vertAlign w:val="subscript"/>
        </w:rPr>
        <w:t>4</w:t>
      </w:r>
      <w:r w:rsidRPr="00F457D3">
        <w:t xml:space="preserve"> and 2 M CH</w:t>
      </w:r>
      <w:r w:rsidRPr="00F457D3">
        <w:rPr>
          <w:vertAlign w:val="subscript"/>
        </w:rPr>
        <w:t>3</w:t>
      </w:r>
      <w:r w:rsidRPr="00F457D3">
        <w:t>OH solution</w:t>
      </w:r>
      <w:r w:rsidR="006604B1">
        <w:t xml:space="preserve"> and the resulting CV response </w:t>
      </w:r>
      <w:r w:rsidRPr="00F457D3">
        <w:t xml:space="preserve">at 50 mV/s </w:t>
      </w:r>
      <w:r w:rsidR="006604B1">
        <w:t>is</w:t>
      </w:r>
      <w:r w:rsidRPr="00F457D3">
        <w:t xml:space="preserve"> shown in Figure 7</w:t>
      </w:r>
      <w:r w:rsidR="00E8404F" w:rsidRPr="00F457D3">
        <w:t>a</w:t>
      </w:r>
      <w:r w:rsidR="007F2B12">
        <w:t>,</w:t>
      </w:r>
      <w:r w:rsidR="007F2B12" w:rsidRPr="007F2B12">
        <w:t xml:space="preserve"> in comparison with the controlled experiment</w:t>
      </w:r>
      <w:r w:rsidRPr="00F457D3">
        <w:t>.</w:t>
      </w:r>
    </w:p>
    <w:p w14:paraId="525D206D" w14:textId="74A5F9F4" w:rsidR="001E7FAC" w:rsidRPr="00F457D3" w:rsidRDefault="001E7FAC" w:rsidP="001E7FAC">
      <w:pPr>
        <w:pStyle w:val="CETBodytext"/>
      </w:pPr>
      <w:r w:rsidRPr="00F457D3">
        <w:t>The sample exhibits low onset potentials (0.04V vs. SCE), indicating that CH</w:t>
      </w:r>
      <w:r w:rsidRPr="00F457D3">
        <w:rPr>
          <w:vertAlign w:val="subscript"/>
        </w:rPr>
        <w:t>3</w:t>
      </w:r>
      <w:r w:rsidRPr="00F457D3">
        <w:t xml:space="preserve">OH oxidation reaction requires low energies to start. </w:t>
      </w:r>
    </w:p>
    <w:p w14:paraId="63E45FCF" w14:textId="7D082931" w:rsidR="00BA0CA1" w:rsidRPr="00F457D3" w:rsidRDefault="001E7FAC" w:rsidP="00D70592">
      <w:pPr>
        <w:pStyle w:val="CETBodytext"/>
        <w:rPr>
          <w:szCs w:val="18"/>
        </w:rPr>
      </w:pPr>
      <w:r w:rsidRPr="00F457D3">
        <w:t>The I</w:t>
      </w:r>
      <w:r w:rsidRPr="00F457D3">
        <w:rPr>
          <w:vertAlign w:val="subscript"/>
        </w:rPr>
        <w:t>f</w:t>
      </w:r>
      <w:r w:rsidRPr="00F457D3">
        <w:t>/I</w:t>
      </w:r>
      <w:r w:rsidRPr="00F457D3">
        <w:rPr>
          <w:vertAlign w:val="subscript"/>
        </w:rPr>
        <w:t>b</w:t>
      </w:r>
      <w:r w:rsidRPr="00F457D3">
        <w:t xml:space="preserve"> ratio, the ratio between the peak current density in the forward scan (I</w:t>
      </w:r>
      <w:r w:rsidRPr="00F457D3">
        <w:rPr>
          <w:vertAlign w:val="subscript"/>
        </w:rPr>
        <w:t>f</w:t>
      </w:r>
      <w:r w:rsidRPr="00F457D3">
        <w:t>) and the peak in the backward scan (I</w:t>
      </w:r>
      <w:r w:rsidRPr="00F457D3">
        <w:rPr>
          <w:vertAlign w:val="subscript"/>
        </w:rPr>
        <w:t>b</w:t>
      </w:r>
      <w:r w:rsidRPr="00F457D3">
        <w:t xml:space="preserve">), was also evaluated. By providing a comparison of methanol oxidation with the oxidation of the intermediate </w:t>
      </w:r>
      <w:r w:rsidRPr="00F457D3">
        <w:rPr>
          <w:szCs w:val="18"/>
        </w:rPr>
        <w:t>carbonaceous species tightly absorbed on the catalyst, it is a reliable parameter to assess catalyst resistance to poisoning</w:t>
      </w:r>
      <w:r w:rsidR="00584E49" w:rsidRPr="00F457D3">
        <w:rPr>
          <w:szCs w:val="18"/>
        </w:rPr>
        <w:t xml:space="preserve"> (Liu et al., 2017)</w:t>
      </w:r>
      <w:r w:rsidRPr="00F457D3">
        <w:rPr>
          <w:szCs w:val="18"/>
        </w:rPr>
        <w:t>. The value obtained for</w:t>
      </w:r>
      <w:r w:rsidR="00D70592" w:rsidRPr="00F457D3">
        <w:rPr>
          <w:szCs w:val="18"/>
        </w:rPr>
        <w:t xml:space="preserve"> Pt/Al</w:t>
      </w:r>
      <w:r w:rsidR="00D70592" w:rsidRPr="00F457D3">
        <w:rPr>
          <w:szCs w:val="18"/>
          <w:vertAlign w:val="subscript"/>
        </w:rPr>
        <w:t>2</w:t>
      </w:r>
      <w:r w:rsidR="00D70592" w:rsidRPr="00F457D3">
        <w:rPr>
          <w:szCs w:val="18"/>
        </w:rPr>
        <w:t>O</w:t>
      </w:r>
      <w:r w:rsidR="00D70592" w:rsidRPr="00F457D3">
        <w:rPr>
          <w:szCs w:val="18"/>
          <w:vertAlign w:val="subscript"/>
        </w:rPr>
        <w:t>3</w:t>
      </w:r>
      <w:r w:rsidR="00D70592" w:rsidRPr="00F457D3">
        <w:rPr>
          <w:szCs w:val="18"/>
        </w:rPr>
        <w:t>@NH</w:t>
      </w:r>
      <w:r w:rsidR="00D70592" w:rsidRPr="00F457D3">
        <w:rPr>
          <w:szCs w:val="18"/>
          <w:vertAlign w:val="subscript"/>
        </w:rPr>
        <w:t>4</w:t>
      </w:r>
      <w:r w:rsidR="00D70592" w:rsidRPr="00F457D3">
        <w:rPr>
          <w:szCs w:val="18"/>
        </w:rPr>
        <w:t>BF</w:t>
      </w:r>
      <w:r w:rsidR="00D70592" w:rsidRPr="00F457D3">
        <w:rPr>
          <w:szCs w:val="18"/>
          <w:vertAlign w:val="subscript"/>
        </w:rPr>
        <w:t>4</w:t>
      </w:r>
      <w:r w:rsidR="00D70592" w:rsidRPr="00F457D3">
        <w:rPr>
          <w:szCs w:val="18"/>
        </w:rPr>
        <w:t xml:space="preserve"> catalyst</w:t>
      </w:r>
      <w:r w:rsidRPr="00F457D3">
        <w:rPr>
          <w:szCs w:val="18"/>
        </w:rPr>
        <w:t xml:space="preserve"> </w:t>
      </w:r>
      <w:r w:rsidR="00D70592" w:rsidRPr="00F457D3">
        <w:rPr>
          <w:szCs w:val="18"/>
        </w:rPr>
        <w:t>is</w:t>
      </w:r>
      <w:r w:rsidRPr="00F457D3">
        <w:rPr>
          <w:szCs w:val="18"/>
        </w:rPr>
        <w:t xml:space="preserve"> of </w:t>
      </w:r>
      <w:r w:rsidR="00AC2377" w:rsidRPr="00F457D3">
        <w:rPr>
          <w:szCs w:val="18"/>
        </w:rPr>
        <w:t>2.14</w:t>
      </w:r>
      <w:r w:rsidRPr="00F457D3">
        <w:rPr>
          <w:szCs w:val="18"/>
        </w:rPr>
        <w:t>, proving a high tolerance towards CO poisoning</w:t>
      </w:r>
      <w:r w:rsidR="0095746F" w:rsidRPr="00F457D3">
        <w:rPr>
          <w:szCs w:val="18"/>
        </w:rPr>
        <w:t xml:space="preserve"> (TIoroi and Yasuda, 2005)</w:t>
      </w:r>
      <w:r w:rsidRPr="00F457D3">
        <w:rPr>
          <w:szCs w:val="18"/>
        </w:rPr>
        <w:t>.</w:t>
      </w:r>
    </w:p>
    <w:p w14:paraId="208E84C3" w14:textId="7837DFB9" w:rsidR="00F12942" w:rsidRPr="00F457D3" w:rsidRDefault="00B37DD7" w:rsidP="00455B37">
      <w:pPr>
        <w:pStyle w:val="CETBodytext"/>
        <w:jc w:val="center"/>
        <w:rPr>
          <w:lang w:val="en-GB"/>
        </w:rPr>
      </w:pPr>
      <w:r w:rsidRPr="00F457D3">
        <w:rPr>
          <w:noProof/>
          <w:lang w:val="it-IT" w:eastAsia="it-IT"/>
        </w:rPr>
        <mc:AlternateContent>
          <mc:Choice Requires="wps">
            <w:drawing>
              <wp:anchor distT="45720" distB="45720" distL="114300" distR="114300" simplePos="0" relativeHeight="251665408" behindDoc="0" locked="0" layoutInCell="1" allowOverlap="1" wp14:anchorId="18C73926" wp14:editId="14B1AFCE">
                <wp:simplePos x="0" y="0"/>
                <wp:positionH relativeFrom="column">
                  <wp:posOffset>5081905</wp:posOffset>
                </wp:positionH>
                <wp:positionV relativeFrom="paragraph">
                  <wp:posOffset>1623967</wp:posOffset>
                </wp:positionV>
                <wp:extent cx="238760" cy="1404620"/>
                <wp:effectExtent l="0" t="0" r="8890" b="5715"/>
                <wp:wrapNone/>
                <wp:docPr id="12"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404620"/>
                        </a:xfrm>
                        <a:prstGeom prst="rect">
                          <a:avLst/>
                        </a:prstGeom>
                        <a:solidFill>
                          <a:srgbClr val="FFFFFF"/>
                        </a:solidFill>
                        <a:ln w="9525">
                          <a:noFill/>
                          <a:miter lim="800000"/>
                          <a:headEnd/>
                          <a:tailEnd/>
                        </a:ln>
                      </wps:spPr>
                      <wps:txbx>
                        <w:txbxContent>
                          <w:p w14:paraId="28FD9AF8" w14:textId="046D8C79" w:rsidR="00E8404F" w:rsidRPr="00E8404F" w:rsidRDefault="00E8404F" w:rsidP="00E8404F">
                            <w:pPr>
                              <w:rPr>
                                <w:b/>
                                <w:color w:val="FF0000"/>
                                <w:sz w:val="20"/>
                                <w:lang w:val="it-IT"/>
                              </w:rPr>
                            </w:pPr>
                            <w:r>
                              <w:rPr>
                                <w:b/>
                                <w:color w:val="FF0000"/>
                                <w:sz w:val="2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C73926" id="Casella di testo 12" o:spid="_x0000_s1028" type="#_x0000_t202" style="position:absolute;left:0;text-align:left;margin-left:400.15pt;margin-top:127.85pt;width:18.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" stroked="f">
                <v:textbox style="mso-fit-shape-to-text:t">
                  <w:txbxContent>
                    <w:p w14:paraId="28FD9AF8" w14:textId="046D8C79" w:rsidR="00E8404F" w:rsidRPr="00E8404F" w:rsidRDefault="00E8404F" w:rsidP="00E8404F">
                      <w:pPr>
                        <w:rPr>
                          <w:b/>
                          <w:color w:val="FF0000"/>
                          <w:sz w:val="20"/>
                          <w:lang w:val="it-IT"/>
                        </w:rPr>
                      </w:pPr>
                      <w:r>
                        <w:rPr>
                          <w:b/>
                          <w:color w:val="FF0000"/>
                          <w:sz w:val="20"/>
                        </w:rPr>
                        <w:t>b</w:t>
                      </w:r>
                    </w:p>
                  </w:txbxContent>
                </v:textbox>
              </v:shape>
            </w:pict>
          </mc:Fallback>
        </mc:AlternateContent>
      </w:r>
      <w:r w:rsidR="003E0227" w:rsidRPr="00F457D3">
        <w:rPr>
          <w:noProof/>
          <w:lang w:val="it-IT" w:eastAsia="it-IT"/>
        </w:rPr>
        <mc:AlternateContent>
          <mc:Choice Requires="wps">
            <w:drawing>
              <wp:anchor distT="45720" distB="45720" distL="114300" distR="114300" simplePos="0" relativeHeight="251663360" behindDoc="0" locked="0" layoutInCell="1" allowOverlap="1" wp14:anchorId="414E81CC" wp14:editId="50DA2856">
                <wp:simplePos x="0" y="0"/>
                <wp:positionH relativeFrom="column">
                  <wp:posOffset>2023110</wp:posOffset>
                </wp:positionH>
                <wp:positionV relativeFrom="paragraph">
                  <wp:posOffset>1626326</wp:posOffset>
                </wp:positionV>
                <wp:extent cx="238760" cy="1404620"/>
                <wp:effectExtent l="0" t="0" r="8890" b="254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404620"/>
                        </a:xfrm>
                        <a:prstGeom prst="rect">
                          <a:avLst/>
                        </a:prstGeom>
                        <a:solidFill>
                          <a:srgbClr val="FFFFFF"/>
                        </a:solidFill>
                        <a:ln w="9525">
                          <a:noFill/>
                          <a:miter lim="800000"/>
                          <a:headEnd/>
                          <a:tailEnd/>
                        </a:ln>
                      </wps:spPr>
                      <wps:txbx>
                        <w:txbxContent>
                          <w:p w14:paraId="3D08775C" w14:textId="7F1CDB05" w:rsidR="00E8404F" w:rsidRPr="00E8404F" w:rsidRDefault="00E8404F">
                            <w:pPr>
                              <w:rPr>
                                <w:b/>
                                <w:color w:val="FF0000"/>
                                <w:sz w:val="20"/>
                                <w:lang w:val="it-IT"/>
                              </w:rPr>
                            </w:pPr>
                            <w:r w:rsidRPr="00E8404F">
                              <w:rPr>
                                <w:b/>
                                <w:color w:val="FF0000"/>
                                <w:sz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4E81CC" id="_x0000_s1029" type="#_x0000_t202" style="position:absolute;left:0;text-align:left;margin-left:159.3pt;margin-top:128.05pt;width:18.8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" stroked="f">
                <v:textbox style="mso-fit-shape-to-text:t">
                  <w:txbxContent>
                    <w:p w14:paraId="3D08775C" w14:textId="7F1CDB05" w:rsidR="00E8404F" w:rsidRPr="00E8404F" w:rsidRDefault="00E8404F">
                      <w:pPr>
                        <w:rPr>
                          <w:b/>
                          <w:color w:val="FF0000"/>
                          <w:sz w:val="20"/>
                          <w:lang w:val="it-IT"/>
                        </w:rPr>
                      </w:pPr>
                      <w:r w:rsidRPr="00E8404F">
                        <w:rPr>
                          <w:b/>
                          <w:color w:val="FF0000"/>
                          <w:sz w:val="20"/>
                        </w:rPr>
                        <w:t>a</w:t>
                      </w:r>
                    </w:p>
                  </w:txbxContent>
                </v:textbox>
              </v:shape>
            </w:pict>
          </mc:Fallback>
        </mc:AlternateContent>
      </w:r>
      <w:r w:rsidR="007F2B12" w:rsidRPr="007F2B12">
        <w:t xml:space="preserve"> </w:t>
      </w:r>
      <w:r w:rsidR="007F2B12" w:rsidRPr="007F2B12">
        <w:rPr>
          <w:noProof/>
          <w:lang w:val="it-IT" w:eastAsia="it-IT"/>
        </w:rPr>
        <w:drawing>
          <wp:inline distT="0" distB="0" distL="0" distR="0" wp14:anchorId="710ED10A" wp14:editId="5B8B99F4">
            <wp:extent cx="2350770" cy="2383133"/>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8371" r="36069"/>
                    <a:stretch/>
                  </pic:blipFill>
                  <pic:spPr bwMode="auto">
                    <a:xfrm>
                      <a:off x="0" y="0"/>
                      <a:ext cx="2354534" cy="2386949"/>
                    </a:xfrm>
                    <a:prstGeom prst="rect">
                      <a:avLst/>
                    </a:prstGeom>
                    <a:noFill/>
                    <a:ln>
                      <a:noFill/>
                    </a:ln>
                    <a:extLst>
                      <a:ext uri="{53640926-AAD7-44D8-BBD7-CCE9431645EC}">
                        <a14:shadowObscured xmlns:a14="http://schemas.microsoft.com/office/drawing/2010/main"/>
                      </a:ext>
                    </a:extLst>
                  </pic:spPr>
                </pic:pic>
              </a:graphicData>
            </a:graphic>
          </wp:inline>
        </w:drawing>
      </w:r>
      <w:r w:rsidR="007F2B12" w:rsidRPr="007F2B12">
        <w:t xml:space="preserve"> </w:t>
      </w:r>
      <w:r w:rsidR="00E8404F" w:rsidRPr="00F457D3">
        <w:rPr>
          <w:noProof/>
          <w:lang w:val="it-IT" w:eastAsia="it-IT"/>
        </w:rPr>
        <w:drawing>
          <wp:inline distT="0" distB="0" distL="0" distR="0" wp14:anchorId="66D30392" wp14:editId="5AE18A60">
            <wp:extent cx="3088768" cy="2387688"/>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5292" t="8359" r="11312"/>
                    <a:stretch/>
                  </pic:blipFill>
                  <pic:spPr bwMode="auto">
                    <a:xfrm>
                      <a:off x="0" y="0"/>
                      <a:ext cx="3215574" cy="2485712"/>
                    </a:xfrm>
                    <a:prstGeom prst="rect">
                      <a:avLst/>
                    </a:prstGeom>
                    <a:noFill/>
                    <a:ln>
                      <a:noFill/>
                    </a:ln>
                    <a:extLst>
                      <a:ext uri="{53640926-AAD7-44D8-BBD7-CCE9431645EC}">
                        <a14:shadowObscured xmlns:a14="http://schemas.microsoft.com/office/drawing/2010/main"/>
                      </a:ext>
                    </a:extLst>
                  </pic:spPr>
                </pic:pic>
              </a:graphicData>
            </a:graphic>
          </wp:inline>
        </w:drawing>
      </w:r>
    </w:p>
    <w:p w14:paraId="552D88D6" w14:textId="252F46A6" w:rsidR="00FA3F16" w:rsidRPr="00F457D3" w:rsidRDefault="00DB1F09" w:rsidP="003542DB">
      <w:pPr>
        <w:pStyle w:val="CETBodytext"/>
        <w:rPr>
          <w:rStyle w:val="CETCaptionCarattere"/>
        </w:rPr>
      </w:pPr>
      <w:r w:rsidRPr="00F457D3">
        <w:rPr>
          <w:rStyle w:val="CETCaptionCarattere"/>
        </w:rPr>
        <w:t xml:space="preserve">Figure 7: </w:t>
      </w:r>
      <w:r w:rsidR="004D3D28" w:rsidRPr="00F457D3">
        <w:rPr>
          <w:rStyle w:val="CETCaptionCarattere"/>
        </w:rPr>
        <w:t>Cyclic voltammograms over Pt/Al</w:t>
      </w:r>
      <w:r w:rsidR="004D3D28" w:rsidRPr="00F457D3">
        <w:rPr>
          <w:rStyle w:val="CETCaptionCarattere"/>
          <w:vertAlign w:val="subscript"/>
        </w:rPr>
        <w:t>2</w:t>
      </w:r>
      <w:r w:rsidR="004D3D28" w:rsidRPr="00F457D3">
        <w:rPr>
          <w:rStyle w:val="CETCaptionCarattere"/>
        </w:rPr>
        <w:t>O</w:t>
      </w:r>
      <w:r w:rsidR="004D3D28" w:rsidRPr="00F457D3">
        <w:rPr>
          <w:rStyle w:val="CETCaptionCarattere"/>
          <w:vertAlign w:val="subscript"/>
        </w:rPr>
        <w:t>3</w:t>
      </w:r>
      <w:r w:rsidR="004D3D28" w:rsidRPr="00F457D3">
        <w:rPr>
          <w:rStyle w:val="CETCaptionCarattere"/>
        </w:rPr>
        <w:t xml:space="preserve"> modified with NH</w:t>
      </w:r>
      <w:r w:rsidR="004D3D28" w:rsidRPr="00F457D3">
        <w:rPr>
          <w:rStyle w:val="CETCaptionCarattere"/>
          <w:vertAlign w:val="subscript"/>
        </w:rPr>
        <w:t>4</w:t>
      </w:r>
      <w:r w:rsidR="004D3D28" w:rsidRPr="00F457D3">
        <w:rPr>
          <w:rStyle w:val="CETCaptionCarattere"/>
        </w:rPr>
        <w:t>BF</w:t>
      </w:r>
      <w:r w:rsidR="004D3D28" w:rsidRPr="00F457D3">
        <w:rPr>
          <w:rStyle w:val="CETCaptionCarattere"/>
          <w:vertAlign w:val="subscript"/>
        </w:rPr>
        <w:t>4</w:t>
      </w:r>
      <w:r w:rsidR="004D3D28" w:rsidRPr="00F457D3">
        <w:rPr>
          <w:rStyle w:val="CETCaptionCarattere"/>
        </w:rPr>
        <w:t xml:space="preserve"> in 0.5 H</w:t>
      </w:r>
      <w:r w:rsidR="004D3D28" w:rsidRPr="00F457D3">
        <w:rPr>
          <w:rStyle w:val="CETCaptionCarattere"/>
          <w:vertAlign w:val="subscript"/>
        </w:rPr>
        <w:t>2</w:t>
      </w:r>
      <w:r w:rsidR="004D3D28" w:rsidRPr="00F457D3">
        <w:rPr>
          <w:rStyle w:val="CETCaptionCarattere"/>
        </w:rPr>
        <w:t>SO</w:t>
      </w:r>
      <w:r w:rsidR="004D3D28" w:rsidRPr="00F457D3">
        <w:rPr>
          <w:rStyle w:val="CETCaptionCarattere"/>
          <w:vertAlign w:val="subscript"/>
        </w:rPr>
        <w:t>4</w:t>
      </w:r>
      <w:r w:rsidR="004D3D28" w:rsidRPr="007F2B12">
        <w:rPr>
          <w:rStyle w:val="CETCaptionCarattere"/>
        </w:rPr>
        <w:t xml:space="preserve"> </w:t>
      </w:r>
      <w:r w:rsidR="007F2B12" w:rsidRPr="007F2B12">
        <w:rPr>
          <w:rStyle w:val="CETCaptionCarattere"/>
        </w:rPr>
        <w:t xml:space="preserve">solution </w:t>
      </w:r>
      <w:r w:rsidR="007F2B12">
        <w:rPr>
          <w:rStyle w:val="CETCaptionCarattere"/>
        </w:rPr>
        <w:t xml:space="preserve">in the absence and presence of </w:t>
      </w:r>
      <w:r w:rsidR="004D3D28" w:rsidRPr="00F457D3">
        <w:rPr>
          <w:rStyle w:val="CETCaptionCarattere"/>
        </w:rPr>
        <w:t>2M CH</w:t>
      </w:r>
      <w:r w:rsidR="004D3D28" w:rsidRPr="00F457D3">
        <w:rPr>
          <w:rStyle w:val="CETCaptionCarattere"/>
          <w:vertAlign w:val="subscript"/>
        </w:rPr>
        <w:t>3</w:t>
      </w:r>
      <w:r w:rsidR="004D3D28" w:rsidRPr="00F457D3">
        <w:rPr>
          <w:rStyle w:val="CETCaptionCarattere"/>
        </w:rPr>
        <w:t>OH</w:t>
      </w:r>
      <w:r w:rsidR="007F2B12">
        <w:rPr>
          <w:rStyle w:val="CETCaptionCarattere"/>
        </w:rPr>
        <w:t>,</w:t>
      </w:r>
      <w:r w:rsidR="004D3D28" w:rsidRPr="00F457D3">
        <w:rPr>
          <w:rStyle w:val="CETCaptionCarattere"/>
        </w:rPr>
        <w:t xml:space="preserve"> at a scan rate of 50 mV/s</w:t>
      </w:r>
      <w:r w:rsidR="00E8404F" w:rsidRPr="00F457D3">
        <w:rPr>
          <w:rStyle w:val="CETCaptionCarattere"/>
        </w:rPr>
        <w:t xml:space="preserve"> (a)</w:t>
      </w:r>
      <w:r w:rsidRPr="00F457D3">
        <w:rPr>
          <w:rStyle w:val="CETCaptionCarattere"/>
        </w:rPr>
        <w:t>.</w:t>
      </w:r>
      <w:r w:rsidR="00E8404F" w:rsidRPr="00F457D3">
        <w:rPr>
          <w:rStyle w:val="CETCaptionCarattere"/>
        </w:rPr>
        <w:t xml:space="preserve"> Chronoamperometry curve of Pt/Al</w:t>
      </w:r>
      <w:r w:rsidR="00E8404F" w:rsidRPr="00F457D3">
        <w:rPr>
          <w:rStyle w:val="CETCaptionCarattere"/>
          <w:vertAlign w:val="subscript"/>
        </w:rPr>
        <w:t>2</w:t>
      </w:r>
      <w:r w:rsidR="00E8404F" w:rsidRPr="00F457D3">
        <w:rPr>
          <w:rStyle w:val="CETCaptionCarattere"/>
        </w:rPr>
        <w:t>O</w:t>
      </w:r>
      <w:r w:rsidR="00E8404F" w:rsidRPr="00F457D3">
        <w:rPr>
          <w:rStyle w:val="CETCaptionCarattere"/>
          <w:vertAlign w:val="subscript"/>
        </w:rPr>
        <w:t>3</w:t>
      </w:r>
      <w:r w:rsidR="00E8404F" w:rsidRPr="00F457D3">
        <w:rPr>
          <w:rStyle w:val="CETCaptionCarattere"/>
        </w:rPr>
        <w:t xml:space="preserve"> modified with NH</w:t>
      </w:r>
      <w:r w:rsidR="00E8404F" w:rsidRPr="00F457D3">
        <w:rPr>
          <w:rStyle w:val="CETCaptionCarattere"/>
          <w:vertAlign w:val="subscript"/>
        </w:rPr>
        <w:t>4</w:t>
      </w:r>
      <w:r w:rsidR="00E8404F" w:rsidRPr="00F457D3">
        <w:rPr>
          <w:rStyle w:val="CETCaptionCarattere"/>
        </w:rPr>
        <w:t>BF</w:t>
      </w:r>
      <w:r w:rsidR="00E8404F" w:rsidRPr="00F457D3">
        <w:rPr>
          <w:rStyle w:val="CETCaptionCarattere"/>
          <w:vertAlign w:val="subscript"/>
        </w:rPr>
        <w:t>4</w:t>
      </w:r>
      <w:r w:rsidR="00E8404F" w:rsidRPr="00F457D3">
        <w:rPr>
          <w:rStyle w:val="CETCaptionCarattere"/>
        </w:rPr>
        <w:t xml:space="preserve"> in acid solution at 0.30 V (vs. SCE). Electrolyte: 0.5 M H</w:t>
      </w:r>
      <w:r w:rsidR="00E8404F" w:rsidRPr="00F457D3">
        <w:rPr>
          <w:rStyle w:val="CETCaptionCarattere"/>
          <w:vertAlign w:val="subscript"/>
        </w:rPr>
        <w:t>2</w:t>
      </w:r>
      <w:r w:rsidR="00E8404F" w:rsidRPr="00F457D3">
        <w:rPr>
          <w:rStyle w:val="CETCaptionCarattere"/>
        </w:rPr>
        <w:t>SO</w:t>
      </w:r>
      <w:r w:rsidR="00E8404F" w:rsidRPr="00F457D3">
        <w:rPr>
          <w:rStyle w:val="CETCaptionCarattere"/>
          <w:vertAlign w:val="subscript"/>
        </w:rPr>
        <w:t>4</w:t>
      </w:r>
      <w:r w:rsidR="00E8404F" w:rsidRPr="00F457D3">
        <w:rPr>
          <w:rStyle w:val="CETCaptionCarattere"/>
        </w:rPr>
        <w:t xml:space="preserve"> + 2M CH</w:t>
      </w:r>
      <w:r w:rsidR="00E8404F" w:rsidRPr="00F457D3">
        <w:rPr>
          <w:rStyle w:val="CETCaptionCarattere"/>
          <w:vertAlign w:val="subscript"/>
        </w:rPr>
        <w:t>3</w:t>
      </w:r>
      <w:r w:rsidR="00E8404F" w:rsidRPr="00F457D3">
        <w:rPr>
          <w:rStyle w:val="CETCaptionCarattere"/>
        </w:rPr>
        <w:t>OH (b).</w:t>
      </w:r>
    </w:p>
    <w:p w14:paraId="24131888" w14:textId="77777777" w:rsidR="00AF752E" w:rsidRPr="00F457D3" w:rsidRDefault="00AF752E" w:rsidP="003542DB">
      <w:pPr>
        <w:pStyle w:val="CETBodytext"/>
        <w:rPr>
          <w:rStyle w:val="CETCaptionCarattere"/>
        </w:rPr>
      </w:pPr>
    </w:p>
    <w:p w14:paraId="1F6F566A" w14:textId="257C1498" w:rsidR="00FA3F16" w:rsidRPr="00F457D3" w:rsidRDefault="00B231C1" w:rsidP="003542DB">
      <w:pPr>
        <w:pStyle w:val="CETBodytext"/>
        <w:rPr>
          <w:lang w:val="en-GB"/>
        </w:rPr>
      </w:pPr>
      <w:r w:rsidRPr="00F457D3">
        <w:rPr>
          <w:lang w:val="en-GB"/>
        </w:rPr>
        <w:t xml:space="preserve">At a voltage of 0.30 V (vs. SCE) chronoamperometry measurements were performed, as can be seen in Figure </w:t>
      </w:r>
      <w:r w:rsidR="00E8404F" w:rsidRPr="00F457D3">
        <w:rPr>
          <w:lang w:val="en-GB"/>
        </w:rPr>
        <w:t>7b</w:t>
      </w:r>
      <w:r w:rsidRPr="00F457D3">
        <w:rPr>
          <w:lang w:val="en-GB"/>
        </w:rPr>
        <w:t>. These measurements enabled evaluating the catalyst activity as time increased, showing that the current density decreases slightly and still remains at 476 mA/mg</w:t>
      </w:r>
      <w:r w:rsidRPr="00F457D3">
        <w:rPr>
          <w:vertAlign w:val="subscript"/>
          <w:lang w:val="en-GB"/>
        </w:rPr>
        <w:t>Pt</w:t>
      </w:r>
      <w:r w:rsidRPr="00F457D3">
        <w:rPr>
          <w:lang w:val="en-GB"/>
        </w:rPr>
        <w:t xml:space="preserve"> up to 6000 s.</w:t>
      </w:r>
    </w:p>
    <w:p w14:paraId="4B3B9799" w14:textId="2CE00445" w:rsidR="00F304A9" w:rsidRPr="00F457D3" w:rsidRDefault="00967640" w:rsidP="00F304A9">
      <w:pPr>
        <w:pStyle w:val="CETBodytext"/>
        <w:rPr>
          <w:lang w:val="en-GB"/>
        </w:rPr>
      </w:pPr>
      <w:r w:rsidRPr="00F457D3">
        <w:rPr>
          <w:lang w:val="en-GB"/>
        </w:rPr>
        <w:t xml:space="preserve">As far as the literature is concerned </w:t>
      </w:r>
      <w:r w:rsidR="00680833" w:rsidRPr="00F457D3">
        <w:rPr>
          <w:lang w:val="en-GB"/>
        </w:rPr>
        <w:t>(Sarno et al., 2019b)</w:t>
      </w:r>
      <w:r w:rsidRPr="00F457D3">
        <w:rPr>
          <w:lang w:val="en-GB"/>
        </w:rPr>
        <w:t>, little or no effort has been dedicated to the evaluation of the electrode stability in comparison with Pt/C based material. However, t</w:t>
      </w:r>
      <w:r w:rsidR="00F304A9" w:rsidRPr="00F457D3">
        <w:rPr>
          <w:lang w:val="en-GB"/>
        </w:rPr>
        <w:t xml:space="preserve">he results of this paper demonstrate the feasibility of </w:t>
      </w:r>
      <w:r w:rsidR="00853620" w:rsidRPr="00F457D3">
        <w:t>Pt/Al</w:t>
      </w:r>
      <w:r w:rsidR="00853620" w:rsidRPr="00F457D3">
        <w:rPr>
          <w:vertAlign w:val="subscript"/>
        </w:rPr>
        <w:t>2</w:t>
      </w:r>
      <w:r w:rsidR="00853620" w:rsidRPr="00F457D3">
        <w:t>O</w:t>
      </w:r>
      <w:r w:rsidR="00853620" w:rsidRPr="00F457D3">
        <w:rPr>
          <w:vertAlign w:val="subscript"/>
        </w:rPr>
        <w:t>3</w:t>
      </w:r>
      <w:r w:rsidR="00853620" w:rsidRPr="00F457D3">
        <w:t xml:space="preserve"> modified with NH</w:t>
      </w:r>
      <w:r w:rsidR="00853620" w:rsidRPr="00F457D3">
        <w:rPr>
          <w:vertAlign w:val="subscript"/>
        </w:rPr>
        <w:t>4</w:t>
      </w:r>
      <w:r w:rsidR="00853620" w:rsidRPr="00F457D3">
        <w:t>BF</w:t>
      </w:r>
      <w:r w:rsidR="00853620" w:rsidRPr="00F457D3">
        <w:rPr>
          <w:vertAlign w:val="subscript"/>
        </w:rPr>
        <w:t>4</w:t>
      </w:r>
      <w:r w:rsidR="00853620" w:rsidRPr="00F457D3">
        <w:t xml:space="preserve"> </w:t>
      </w:r>
      <w:r w:rsidR="00F304A9" w:rsidRPr="00F457D3">
        <w:rPr>
          <w:lang w:val="en-GB"/>
        </w:rPr>
        <w:t xml:space="preserve">as stable electrocatalyst, highlighting the role of </w:t>
      </w:r>
      <w:r w:rsidR="00853620" w:rsidRPr="00F457D3">
        <w:rPr>
          <w:lang w:val="en-GB"/>
        </w:rPr>
        <w:t>Pt single atom</w:t>
      </w:r>
      <w:r w:rsidR="008D7EE2" w:rsidRPr="00F457D3">
        <w:rPr>
          <w:lang w:val="en-GB"/>
        </w:rPr>
        <w:t xml:space="preserve">, for methanol electrochemical activation, </w:t>
      </w:r>
      <w:r w:rsidR="00D95C4D" w:rsidRPr="00F457D3">
        <w:rPr>
          <w:lang w:val="en-GB"/>
        </w:rPr>
        <w:t xml:space="preserve">supported on </w:t>
      </w:r>
      <w:r w:rsidR="00D95C4D" w:rsidRPr="00F457D3">
        <w:t>Al</w:t>
      </w:r>
      <w:r w:rsidR="00D95C4D" w:rsidRPr="00F457D3">
        <w:rPr>
          <w:vertAlign w:val="subscript"/>
        </w:rPr>
        <w:t>2</w:t>
      </w:r>
      <w:r w:rsidR="00D95C4D" w:rsidRPr="00F457D3">
        <w:t>O</w:t>
      </w:r>
      <w:r w:rsidR="00D95C4D" w:rsidRPr="00F457D3">
        <w:rPr>
          <w:vertAlign w:val="subscript"/>
        </w:rPr>
        <w:t>3</w:t>
      </w:r>
      <w:r w:rsidR="00D95C4D" w:rsidRPr="00F457D3">
        <w:t xml:space="preserve">, by the special surface properties, </w:t>
      </w:r>
      <w:r w:rsidR="00F304A9" w:rsidRPr="00F457D3">
        <w:rPr>
          <w:lang w:val="en-GB"/>
        </w:rPr>
        <w:t xml:space="preserve">in </w:t>
      </w:r>
      <w:r w:rsidRPr="00F457D3">
        <w:rPr>
          <w:lang w:val="en-GB"/>
        </w:rPr>
        <w:t>enhancing</w:t>
      </w:r>
      <w:r w:rsidR="00F304A9" w:rsidRPr="00F457D3">
        <w:rPr>
          <w:lang w:val="en-GB"/>
        </w:rPr>
        <w:t xml:space="preserve"> the electrode activity. </w:t>
      </w:r>
      <w:r w:rsidRPr="00F457D3">
        <w:rPr>
          <w:lang w:val="en-GB"/>
        </w:rPr>
        <w:t xml:space="preserve">On the other hand, the excellent performances expressed by the catalyst developed in this work can be ascribed </w:t>
      </w:r>
      <w:r w:rsidR="00D95C4D" w:rsidRPr="00F457D3">
        <w:rPr>
          <w:lang w:val="en-GB"/>
        </w:rPr>
        <w:t xml:space="preserve">also </w:t>
      </w:r>
      <w:r w:rsidRPr="00F457D3">
        <w:rPr>
          <w:lang w:val="en-GB"/>
        </w:rPr>
        <w:t xml:space="preserve">to the high chemical and morphological control of the catalyst obtained and the key role of </w:t>
      </w:r>
      <w:r w:rsidR="00D95C4D" w:rsidRPr="00F457D3">
        <w:t>NH</w:t>
      </w:r>
      <w:r w:rsidR="00D95C4D" w:rsidRPr="00F457D3">
        <w:rPr>
          <w:vertAlign w:val="subscript"/>
        </w:rPr>
        <w:t>4</w:t>
      </w:r>
      <w:r w:rsidR="00D95C4D" w:rsidRPr="00F457D3">
        <w:t>BF</w:t>
      </w:r>
      <w:r w:rsidR="00D95C4D" w:rsidRPr="00F457D3">
        <w:rPr>
          <w:vertAlign w:val="subscript"/>
        </w:rPr>
        <w:t>4</w:t>
      </w:r>
      <w:r w:rsidR="00D95C4D" w:rsidRPr="00F457D3">
        <w:t xml:space="preserve"> surface modification allowing to </w:t>
      </w:r>
      <w:r w:rsidR="00E95172" w:rsidRPr="00F457D3">
        <w:t>obtain</w:t>
      </w:r>
      <w:r w:rsidR="00D95C4D" w:rsidRPr="00F457D3">
        <w:t xml:space="preserve"> an improved amount of Brønsted acid sites on the catalyst framework, faciliting the flow of protons </w:t>
      </w:r>
      <w:r w:rsidR="00E8404F" w:rsidRPr="00F457D3">
        <w:rPr>
          <w:lang w:val="en-GB"/>
        </w:rPr>
        <w:t>(</w:t>
      </w:r>
      <w:r w:rsidR="00E8404F" w:rsidRPr="00F457D3">
        <w:t xml:space="preserve">Ueda et al., 2000) </w:t>
      </w:r>
      <w:r w:rsidR="00D95C4D" w:rsidRPr="00F457D3">
        <w:t>and the cleansing of the catalyst surface by minimizing the formation of intermediates as CO</w:t>
      </w:r>
      <w:r w:rsidR="00D95C4D" w:rsidRPr="00F457D3">
        <w:rPr>
          <w:vertAlign w:val="subscript"/>
        </w:rPr>
        <w:t>ads</w:t>
      </w:r>
      <w:r w:rsidRPr="00F457D3">
        <w:rPr>
          <w:lang w:val="en-GB"/>
        </w:rPr>
        <w:t>.</w:t>
      </w:r>
    </w:p>
    <w:p w14:paraId="7CEB208A" w14:textId="4E27B89F" w:rsidR="002256A2" w:rsidRPr="00F457D3" w:rsidRDefault="002256A2" w:rsidP="002256A2">
      <w:pPr>
        <w:pStyle w:val="CETHeading1"/>
      </w:pPr>
      <w:r w:rsidRPr="00F457D3">
        <w:t>Conclusions</w:t>
      </w:r>
    </w:p>
    <w:p w14:paraId="2AF13D83" w14:textId="28B0C258" w:rsidR="008D7EE2" w:rsidRPr="00F457D3" w:rsidRDefault="008D7EE2" w:rsidP="002256A2">
      <w:pPr>
        <w:pStyle w:val="CETBodytext"/>
        <w:rPr>
          <w:lang w:val="en-GB"/>
        </w:rPr>
      </w:pPr>
      <w:r w:rsidRPr="00F457D3">
        <w:rPr>
          <w:lang w:val="en-GB"/>
        </w:rPr>
        <w:t>An enhanced catalyst, for the efficient electrochemical oxidation of methanol based on Pt single atoms dispersed on Al</w:t>
      </w:r>
      <w:r w:rsidRPr="00F457D3">
        <w:rPr>
          <w:vertAlign w:val="subscript"/>
          <w:lang w:val="en-GB"/>
        </w:rPr>
        <w:t>2</w:t>
      </w:r>
      <w:r w:rsidRPr="00F457D3">
        <w:rPr>
          <w:lang w:val="en-GB"/>
        </w:rPr>
        <w:t>O</w:t>
      </w:r>
      <w:r w:rsidRPr="00F457D3">
        <w:rPr>
          <w:vertAlign w:val="subscript"/>
          <w:lang w:val="en-GB"/>
        </w:rPr>
        <w:t>3</w:t>
      </w:r>
      <w:r w:rsidRPr="00F457D3">
        <w:rPr>
          <w:lang w:val="en-GB"/>
        </w:rPr>
        <w:t xml:space="preserve">, </w:t>
      </w:r>
      <w:r w:rsidR="001F16D3" w:rsidRPr="00F457D3">
        <w:rPr>
          <w:lang w:val="en-GB"/>
        </w:rPr>
        <w:t>was</w:t>
      </w:r>
      <w:r w:rsidRPr="00F457D3">
        <w:rPr>
          <w:lang w:val="en-GB"/>
        </w:rPr>
        <w:t xml:space="preserve"> prepared. TEM analysis revealed the morphology of the nanomaterials, which are constituted of small nanoparticles of Al</w:t>
      </w:r>
      <w:r w:rsidRPr="00F457D3">
        <w:rPr>
          <w:vertAlign w:val="subscript"/>
          <w:lang w:val="en-GB"/>
        </w:rPr>
        <w:t>2</w:t>
      </w:r>
      <w:r w:rsidRPr="00F457D3">
        <w:rPr>
          <w:lang w:val="en-GB"/>
        </w:rPr>
        <w:t>O</w:t>
      </w:r>
      <w:r w:rsidRPr="00F457D3">
        <w:rPr>
          <w:vertAlign w:val="subscript"/>
          <w:lang w:val="en-GB"/>
        </w:rPr>
        <w:t>3</w:t>
      </w:r>
      <w:r w:rsidRPr="00F457D3">
        <w:rPr>
          <w:lang w:val="en-GB"/>
        </w:rPr>
        <w:t xml:space="preserve">. The synthesized nano-electrocatalyst was tested towards MOR, showing among the stronger poisoning resistance ever reported in literature. The excellent </w:t>
      </w:r>
      <w:r w:rsidR="00E95172" w:rsidRPr="00F457D3">
        <w:rPr>
          <w:lang w:val="en-GB"/>
        </w:rPr>
        <w:t>behaviour</w:t>
      </w:r>
      <w:r w:rsidRPr="00F457D3">
        <w:rPr>
          <w:lang w:val="en-GB"/>
        </w:rPr>
        <w:t xml:space="preserve"> of our nanocatalysts can be attributed to a combination of aspects. The small Al</w:t>
      </w:r>
      <w:r w:rsidRPr="00F457D3">
        <w:rPr>
          <w:vertAlign w:val="subscript"/>
          <w:lang w:val="en-GB"/>
        </w:rPr>
        <w:t>2</w:t>
      </w:r>
      <w:r w:rsidRPr="00F457D3">
        <w:rPr>
          <w:lang w:val="en-GB"/>
        </w:rPr>
        <w:t>O</w:t>
      </w:r>
      <w:r w:rsidRPr="00F457D3">
        <w:rPr>
          <w:vertAlign w:val="subscript"/>
          <w:lang w:val="en-GB"/>
        </w:rPr>
        <w:t>3</w:t>
      </w:r>
      <w:r w:rsidR="001F16D3" w:rsidRPr="00F457D3">
        <w:rPr>
          <w:lang w:val="en-GB"/>
        </w:rPr>
        <w:t xml:space="preserve"> nanoparticles</w:t>
      </w:r>
      <w:r w:rsidRPr="00F457D3">
        <w:rPr>
          <w:lang w:val="en-GB"/>
        </w:rPr>
        <w:t>,</w:t>
      </w:r>
      <w:r w:rsidR="001F16D3" w:rsidRPr="00F457D3">
        <w:rPr>
          <w:lang w:val="en-GB"/>
        </w:rPr>
        <w:t xml:space="preserve"> characterized</w:t>
      </w:r>
      <w:r w:rsidRPr="00F457D3">
        <w:t xml:space="preserve"> by special surface properties, </w:t>
      </w:r>
      <w:r w:rsidRPr="00F457D3">
        <w:rPr>
          <w:lang w:val="en-GB"/>
        </w:rPr>
        <w:t xml:space="preserve">allow for electrode wettability, Pt single atoms inclusions </w:t>
      </w:r>
      <w:r w:rsidR="001F16D3" w:rsidRPr="00F457D3">
        <w:rPr>
          <w:lang w:val="en-GB"/>
        </w:rPr>
        <w:t>permit</w:t>
      </w:r>
      <w:r w:rsidR="00761B53" w:rsidRPr="00F457D3">
        <w:rPr>
          <w:lang w:val="en-GB"/>
        </w:rPr>
        <w:t xml:space="preserve"> efficient </w:t>
      </w:r>
      <w:r w:rsidRPr="00F457D3">
        <w:rPr>
          <w:lang w:val="en-GB"/>
        </w:rPr>
        <w:t>methanol activation and oxidation, and the key role of the Brønsted acid sites for</w:t>
      </w:r>
      <w:r w:rsidR="00761B53" w:rsidRPr="00F457D3">
        <w:rPr>
          <w:lang w:val="en-GB"/>
        </w:rPr>
        <w:t xml:space="preserve"> avoid</w:t>
      </w:r>
      <w:r w:rsidR="001F16D3" w:rsidRPr="00F457D3">
        <w:rPr>
          <w:lang w:val="en-GB"/>
        </w:rPr>
        <w:t>ing</w:t>
      </w:r>
      <w:r w:rsidR="00761B53" w:rsidRPr="00F457D3">
        <w:rPr>
          <w:lang w:val="en-GB"/>
        </w:rPr>
        <w:t xml:space="preserve"> catalyst poisoning.</w:t>
      </w:r>
      <w:r w:rsidRPr="00F457D3">
        <w:rPr>
          <w:lang w:val="en-GB"/>
        </w:rPr>
        <w:t xml:space="preserve"> </w:t>
      </w:r>
    </w:p>
    <w:p w14:paraId="00BA3D4F" w14:textId="7607725A" w:rsidR="00C52C3C" w:rsidRPr="00F457D3" w:rsidRDefault="00600535" w:rsidP="00AF752E">
      <w:pPr>
        <w:pStyle w:val="CETReference"/>
      </w:pPr>
      <w:r w:rsidRPr="00F457D3">
        <w:t>References</w:t>
      </w:r>
    </w:p>
    <w:p w14:paraId="169414DF" w14:textId="77777777" w:rsidR="00147452" w:rsidRPr="00F457D3" w:rsidRDefault="00147452" w:rsidP="009A317C">
      <w:pPr>
        <w:pStyle w:val="CETReferencetext"/>
      </w:pPr>
      <w:r w:rsidRPr="00F457D3">
        <w:t>Burtin P., Brunelle J.P., Pijolat M., Soustelle M., 1987, Influence of surface area and additives on the thermal stability of transition alumina catalyst supports. I: Kinetic data, Applied Catalysis, 34, 225-238.</w:t>
      </w:r>
    </w:p>
    <w:p w14:paraId="49F17CB6" w14:textId="77777777" w:rsidR="00147452" w:rsidRPr="00F457D3" w:rsidRDefault="00147452" w:rsidP="00A41B62">
      <w:pPr>
        <w:pStyle w:val="CETReferencetext"/>
      </w:pPr>
      <w:r w:rsidRPr="00F457D3">
        <w:lastRenderedPageBreak/>
        <w:t>Carrette L., Friedrich K.A., Stimming U., 2001, Fuel Cells – Fundamentals and Applications, Fuel Cells, 1, 5–39.</w:t>
      </w:r>
    </w:p>
    <w:p w14:paraId="504A39D1" w14:textId="77777777" w:rsidR="00147452" w:rsidRPr="00F457D3" w:rsidRDefault="00147452" w:rsidP="00C97D11">
      <w:pPr>
        <w:pStyle w:val="CETReferencetext"/>
      </w:pPr>
      <w:r w:rsidRPr="00F457D3">
        <w:t>Cloutier C.R., Wilkinson D.P., 2010, Electrolytic production of hydrogen from aqueous acidic methanol solutions, International Journal of Hydrogen Energy, 35, 3967–3984.</w:t>
      </w:r>
    </w:p>
    <w:p w14:paraId="4A98EFC0" w14:textId="622F7E2D" w:rsidR="00147452" w:rsidRPr="00F457D3" w:rsidRDefault="00147452" w:rsidP="00C146D5">
      <w:pPr>
        <w:pStyle w:val="CETReferencetext"/>
      </w:pPr>
      <w:r w:rsidRPr="00F457D3">
        <w:t>Feng R., Bai P., Liu S., Zhang P., Liu X., Yan Z., Zhang Z., Gao X., 2014</w:t>
      </w:r>
      <w:r w:rsidR="00F843DB" w:rsidRPr="00F457D3">
        <w:t>b</w:t>
      </w:r>
      <w:r w:rsidRPr="00F457D3">
        <w:t>, The application of mesoporous alumina with rich Br</w:t>
      </w:r>
      <w:r w:rsidRPr="00F457D3">
        <w:rPr>
          <w:rFonts w:cs="Arial"/>
        </w:rPr>
        <w:t>ö</w:t>
      </w:r>
      <w:r w:rsidRPr="00F457D3">
        <w:t>nsted acidic sites in FCC catalysts, Applied Petrochemical Research, 4, 367–372.</w:t>
      </w:r>
    </w:p>
    <w:p w14:paraId="68327702" w14:textId="7BC0DF04" w:rsidR="00147452" w:rsidRPr="00F457D3" w:rsidRDefault="00147452" w:rsidP="00F15CB5">
      <w:pPr>
        <w:pStyle w:val="CETReferencetext"/>
      </w:pPr>
      <w:r w:rsidRPr="00F457D3">
        <w:t>Feng R., Liu S., Bai P., Qiao K., Wang Y., Al-Megren H.A., Rood M.J., Yan Z., 2014</w:t>
      </w:r>
      <w:r w:rsidR="00F843DB" w:rsidRPr="00F457D3">
        <w:t>a</w:t>
      </w:r>
      <w:r w:rsidRPr="00F457D3">
        <w:t>, Preparation and Characterization of γ-Al</w:t>
      </w:r>
      <w:r w:rsidRPr="00F457D3">
        <w:rPr>
          <w:vertAlign w:val="subscript"/>
        </w:rPr>
        <w:t>2</w:t>
      </w:r>
      <w:r w:rsidRPr="00F457D3">
        <w:t>O</w:t>
      </w:r>
      <w:r w:rsidRPr="00F457D3">
        <w:rPr>
          <w:vertAlign w:val="subscript"/>
        </w:rPr>
        <w:t>3</w:t>
      </w:r>
      <w:r w:rsidRPr="00F457D3">
        <w:t xml:space="preserve"> with Rich Brønsted Acid Sites and Its Application in the Fluid Catalytic Cracking Process, Journal of Physical Chemistry C, 118, 6226–6234.</w:t>
      </w:r>
    </w:p>
    <w:p w14:paraId="730C74E5" w14:textId="77777777" w:rsidR="00147452" w:rsidRPr="00F457D3" w:rsidRDefault="00147452" w:rsidP="00E8404F">
      <w:pPr>
        <w:pStyle w:val="CETReferencetext"/>
      </w:pPr>
      <w:r w:rsidRPr="00F457D3">
        <w:t>Gao Y., Wu X., Nord R., Härelind H., Weng D., 2018, Sulphation and ammonia regeneration of Pt/MnO</w:t>
      </w:r>
      <w:r w:rsidRPr="00F457D3">
        <w:rPr>
          <w:vertAlign w:val="subscript"/>
        </w:rPr>
        <w:t>x</w:t>
      </w:r>
      <w:r w:rsidRPr="00F457D3">
        <w:t>-CeO</w:t>
      </w:r>
      <w:r w:rsidRPr="00F457D3">
        <w:rPr>
          <w:vertAlign w:val="subscript"/>
        </w:rPr>
        <w:t>2</w:t>
      </w:r>
      <w:r w:rsidRPr="00F457D3">
        <w:t>/Al</w:t>
      </w:r>
      <w:r w:rsidRPr="00F457D3">
        <w:rPr>
          <w:vertAlign w:val="subscript"/>
        </w:rPr>
        <w:t>2</w:t>
      </w:r>
      <w:r w:rsidRPr="00F457D3">
        <w:t>O</w:t>
      </w:r>
      <w:r w:rsidRPr="00F457D3">
        <w:rPr>
          <w:vertAlign w:val="subscript"/>
        </w:rPr>
        <w:t>3</w:t>
      </w:r>
      <w:r w:rsidRPr="00F457D3">
        <w:t xml:space="preserve"> catalyst for NO</w:t>
      </w:r>
      <w:r w:rsidRPr="00F457D3">
        <w:rPr>
          <w:vertAlign w:val="subscript"/>
        </w:rPr>
        <w:t>x</w:t>
      </w:r>
      <w:r w:rsidRPr="00F457D3">
        <w:t>-assisted soot oxidation, Catalysis Science &amp; Technology, 8, 1621–1631.</w:t>
      </w:r>
    </w:p>
    <w:p w14:paraId="3FED67FB" w14:textId="77777777" w:rsidR="00147452" w:rsidRPr="00F457D3" w:rsidRDefault="00147452" w:rsidP="004A70F5">
      <w:pPr>
        <w:pStyle w:val="CETReferencetext"/>
      </w:pPr>
      <w:r w:rsidRPr="00F457D3">
        <w:t>Jeon M.K., McGinn P.J., 2010, Effect of Ti addition to Pt/C catalyst on methanol electro-oxidation and oxygen electro-reduction reactions, Journal of Power Sources, 195, 2664–2668.</w:t>
      </w:r>
    </w:p>
    <w:p w14:paraId="11BAEC84" w14:textId="77777777" w:rsidR="00147452" w:rsidRPr="00F457D3" w:rsidRDefault="00147452" w:rsidP="00C146D5">
      <w:pPr>
        <w:pStyle w:val="CETReferencetext"/>
      </w:pPr>
      <w:r w:rsidRPr="00F457D3">
        <w:t>Knözinger H., Ratnasamy P., 1978, Catalytic Aluminas: Surface Models and Characterization of Surface Sites, Catalysis Reviews, 17, 31−70.</w:t>
      </w:r>
    </w:p>
    <w:p w14:paraId="4B103FBF" w14:textId="77777777" w:rsidR="00147452" w:rsidRPr="00F457D3" w:rsidRDefault="00147452" w:rsidP="009A317C">
      <w:pPr>
        <w:pStyle w:val="CETReferencetext"/>
      </w:pPr>
      <w:r w:rsidRPr="00F457D3">
        <w:t>Li D.Y., Lin Y.S., Li Y.C., Shieh D.L., Lin J.L., 2008, Synthesis of mesoporous pseudoboehmite and alumina templated with 1-hexadecyl-2,3-dimethyl-imidazolium chloride, Microporous and Mesoporous Materials, 108, 276–282.</w:t>
      </w:r>
    </w:p>
    <w:p w14:paraId="496A5A47" w14:textId="77777777" w:rsidR="00147452" w:rsidRPr="00F457D3" w:rsidRDefault="00147452" w:rsidP="0095746F">
      <w:pPr>
        <w:pStyle w:val="CETReferencetext"/>
      </w:pPr>
      <w:r w:rsidRPr="00F457D3">
        <w:t>Liu D., Li L., You T., 2017, Superior catalytic performances of platinum nanoparticles loaded nitrogen-doped graphene toward methanol oxidation and hydrogen evolution reaction, Journal of Colloid and Interface Science, 487, 330–335.</w:t>
      </w:r>
    </w:p>
    <w:p w14:paraId="1016321C" w14:textId="77777777" w:rsidR="00147452" w:rsidRPr="00F457D3" w:rsidRDefault="00147452" w:rsidP="00C146D5">
      <w:pPr>
        <w:pStyle w:val="CETReferencetext"/>
      </w:pPr>
      <w:r w:rsidRPr="00F457D3">
        <w:t xml:space="preserve">Morterra C., Magnacca G., 1996, A case study: surface chemistry and surface structure of catalytic aluminas, as studied by vibrational spectroscopy of adsorbed species, Catalysis Today, 27, 497–532. </w:t>
      </w:r>
    </w:p>
    <w:p w14:paraId="3E8D0742" w14:textId="77777777" w:rsidR="00147452" w:rsidRPr="00F457D3" w:rsidRDefault="00147452" w:rsidP="00A41B62">
      <w:pPr>
        <w:pStyle w:val="CETReferencetext"/>
        <w:rPr>
          <w:lang w:val="en-US"/>
        </w:rPr>
      </w:pPr>
      <w:r w:rsidRPr="00F457D3">
        <w:rPr>
          <w:lang w:val="en-US"/>
        </w:rPr>
        <w:t>Passos R., Pulcinelli S.H., Briois V., Santilli C.V., 2016, High surface area hierarchical porous Al</w:t>
      </w:r>
      <w:r w:rsidRPr="00F457D3">
        <w:rPr>
          <w:vertAlign w:val="subscript"/>
          <w:lang w:val="en-US"/>
        </w:rPr>
        <w:t>2</w:t>
      </w:r>
      <w:r w:rsidRPr="00F457D3">
        <w:rPr>
          <w:lang w:val="en-US"/>
        </w:rPr>
        <w:t>O</w:t>
      </w:r>
      <w:r w:rsidRPr="00F457D3">
        <w:rPr>
          <w:vertAlign w:val="subscript"/>
          <w:lang w:val="en-US"/>
        </w:rPr>
        <w:t>3</w:t>
      </w:r>
      <w:r w:rsidRPr="00F457D3">
        <w:rPr>
          <w:lang w:val="en-US"/>
        </w:rPr>
        <w:t xml:space="preserve"> prepared by the integration of sol–gel transition and phase separation, RSC Advances, 6, 57217–57226.</w:t>
      </w:r>
    </w:p>
    <w:p w14:paraId="435C3376" w14:textId="77777777" w:rsidR="00147452" w:rsidRPr="00F457D3" w:rsidRDefault="00147452" w:rsidP="00736BF5">
      <w:pPr>
        <w:pStyle w:val="CETReferencetext"/>
        <w:rPr>
          <w:lang w:val="en-US"/>
        </w:rPr>
      </w:pPr>
      <w:r w:rsidRPr="00F457D3">
        <w:rPr>
          <w:lang w:val="en-US"/>
        </w:rPr>
        <w:t>Robatjazi H., Weinberg D., Swearer D.F., Jacobson C., Zhang M., Tian S., Zhou L., Nordlander P., Halas N.J., 2019, Metal-organic frameworks tailor the properties of aluminum nanocrystals, Science Advances, 5, eaav5340.</w:t>
      </w:r>
    </w:p>
    <w:p w14:paraId="432F1075" w14:textId="77777777" w:rsidR="00147452" w:rsidRPr="00F457D3" w:rsidRDefault="00147452" w:rsidP="00126B87">
      <w:pPr>
        <w:pStyle w:val="CETReferencetext"/>
      </w:pPr>
      <w:r w:rsidRPr="00F457D3">
        <w:t xml:space="preserve">Rowley-Neale </w:t>
      </w:r>
      <w:r w:rsidRPr="00F457D3">
        <w:tab/>
        <w:t>S.J., Brownson D.A.C., Smith G.C., Sawtell D.A., Kelly P.J., Banks C.E., 2015, 2D nanosheet molybdenum disulphide (MoS</w:t>
      </w:r>
      <w:r w:rsidRPr="00F457D3">
        <w:rPr>
          <w:vertAlign w:val="subscript"/>
        </w:rPr>
        <w:t>2</w:t>
      </w:r>
      <w:r w:rsidRPr="00F457D3">
        <w:t>) modified electrodes explored towards the hydrogen evolution reaction, Nanoscale, 7, 18152–18168.</w:t>
      </w:r>
    </w:p>
    <w:p w14:paraId="7F972321" w14:textId="77777777" w:rsidR="00147452" w:rsidRPr="00F457D3" w:rsidRDefault="00147452" w:rsidP="00736BF5">
      <w:pPr>
        <w:pStyle w:val="CETReferencetext"/>
        <w:rPr>
          <w:lang w:val="en-US"/>
        </w:rPr>
      </w:pPr>
      <w:r w:rsidRPr="00F457D3">
        <w:rPr>
          <w:lang w:val="en-US"/>
        </w:rPr>
        <w:t>Samain L., Jaworski A., Edén M., Ladd D.M., Seo D.K., Garcia-Garcia F.J., H</w:t>
      </w:r>
      <w:r w:rsidRPr="00F457D3">
        <w:rPr>
          <w:rFonts w:cs="Arial"/>
          <w:lang w:val="en-US"/>
        </w:rPr>
        <w:t>ä</w:t>
      </w:r>
      <w:r w:rsidRPr="00F457D3">
        <w:rPr>
          <w:lang w:val="en-US"/>
        </w:rPr>
        <w:t>ussermann U., 2014, Structural analysis of highly porous γ-Al</w:t>
      </w:r>
      <w:r w:rsidRPr="00F457D3">
        <w:rPr>
          <w:vertAlign w:val="subscript"/>
          <w:lang w:val="en-US"/>
        </w:rPr>
        <w:t>2</w:t>
      </w:r>
      <w:r w:rsidRPr="00F457D3">
        <w:rPr>
          <w:lang w:val="en-US"/>
        </w:rPr>
        <w:t>O</w:t>
      </w:r>
      <w:r w:rsidRPr="00F457D3">
        <w:rPr>
          <w:vertAlign w:val="subscript"/>
          <w:lang w:val="en-US"/>
        </w:rPr>
        <w:t>3</w:t>
      </w:r>
      <w:r w:rsidRPr="00F457D3">
        <w:rPr>
          <w:lang w:val="en-US"/>
        </w:rPr>
        <w:t>, Journal of Solid State Chemistry, 217, 1–8.</w:t>
      </w:r>
    </w:p>
    <w:p w14:paraId="642BA5E4" w14:textId="77777777" w:rsidR="00147452" w:rsidRPr="00F457D3" w:rsidRDefault="00147452" w:rsidP="00126B87">
      <w:pPr>
        <w:pStyle w:val="CETReferencetext"/>
      </w:pPr>
      <w:r w:rsidRPr="00F457D3">
        <w:t>Sarno M., Ponticorvo E., 2020a, Fe</w:t>
      </w:r>
      <w:r w:rsidRPr="00F457D3">
        <w:rPr>
          <w:vertAlign w:val="subscript"/>
        </w:rPr>
        <w:t>3</w:t>
      </w:r>
      <w:r w:rsidRPr="00F457D3">
        <w:t>O</w:t>
      </w:r>
      <w:r w:rsidRPr="00F457D3">
        <w:rPr>
          <w:vertAlign w:val="subscript"/>
        </w:rPr>
        <w:t>4</w:t>
      </w:r>
      <w:r w:rsidRPr="00F457D3">
        <w:t>/graphene electrode for the electrochemical detection of 4-ntrophenol, Chemical Engineering Transactions, 79, 427–432.</w:t>
      </w:r>
    </w:p>
    <w:p w14:paraId="7988143C" w14:textId="77777777" w:rsidR="00147452" w:rsidRPr="00F457D3" w:rsidRDefault="00147452" w:rsidP="00126B87">
      <w:pPr>
        <w:pStyle w:val="CETReferencetext"/>
      </w:pPr>
      <w:r w:rsidRPr="00F457D3">
        <w:t>Sarno M., Ponticorvo E., 2020b, A new nanohybrid for electrocatalytic biodiesel production from waste Amalfi coast lemon seed oil, Fuel, 267, 117178.</w:t>
      </w:r>
    </w:p>
    <w:p w14:paraId="747D3E06" w14:textId="77777777" w:rsidR="00147452" w:rsidRPr="00F457D3" w:rsidRDefault="00147452" w:rsidP="00E8404F">
      <w:pPr>
        <w:pStyle w:val="CETReferencetext"/>
      </w:pPr>
      <w:r w:rsidRPr="00F457D3">
        <w:t>Sarno M., Ponticorvo E., Funicello N., De Pasquale S., 2020, Methane electrochemical oxidation at low temperature on Rh single atom/NiO/V</w:t>
      </w:r>
      <w:r w:rsidRPr="00F457D3">
        <w:rPr>
          <w:vertAlign w:val="subscript"/>
        </w:rPr>
        <w:t>2</w:t>
      </w:r>
      <w:r w:rsidRPr="00F457D3">
        <w:t>O</w:t>
      </w:r>
      <w:r w:rsidRPr="00F457D3">
        <w:rPr>
          <w:vertAlign w:val="subscript"/>
        </w:rPr>
        <w:t>5</w:t>
      </w:r>
      <w:r w:rsidRPr="00F457D3">
        <w:t xml:space="preserve"> nanocomposite, Applied Catalysis A: General, 6035, 117746.</w:t>
      </w:r>
    </w:p>
    <w:p w14:paraId="03C172AE" w14:textId="77777777" w:rsidR="00147452" w:rsidRPr="00F457D3" w:rsidRDefault="00147452" w:rsidP="00126B87">
      <w:pPr>
        <w:pStyle w:val="CETReferencetext"/>
      </w:pPr>
      <w:r w:rsidRPr="00F457D3">
        <w:t>Sarno M., Ponticorvo E., Scarpa D., 2019a, Ru and Os based new electrode for electrochemical flow supercapacitors, Chemical Engineering Journal, 377, 120050.</w:t>
      </w:r>
    </w:p>
    <w:p w14:paraId="2F59327C" w14:textId="77777777" w:rsidR="00147452" w:rsidRPr="00F457D3" w:rsidRDefault="00147452" w:rsidP="0095746F">
      <w:pPr>
        <w:pStyle w:val="CETReferencetext"/>
      </w:pPr>
      <w:r w:rsidRPr="00F457D3">
        <w:t>Sarno M., Ponticorvo E., Scarpa D., 2019b, Controlled PtIr nanoalloy as an electro-oxidation platform for methanol reaction and ammonia detection, Nanotechnology, 30, 394004.</w:t>
      </w:r>
    </w:p>
    <w:p w14:paraId="0BF29E82" w14:textId="77777777" w:rsidR="00147452" w:rsidRPr="00F457D3" w:rsidRDefault="00147452" w:rsidP="00736BF5">
      <w:pPr>
        <w:pStyle w:val="CETReferencetext"/>
        <w:rPr>
          <w:lang w:val="en-US"/>
        </w:rPr>
      </w:pPr>
      <w:r w:rsidRPr="00F457D3">
        <w:rPr>
          <w:lang w:val="en-US"/>
        </w:rPr>
        <w:t xml:space="preserve">Segal F.M., Correa M.F., Bacani R., Castanheira B., Politi M.J., Brochsztain S., Triboni E.R., 2018, A novel synthesis route of mesoporous </w:t>
      </w:r>
      <w:r w:rsidRPr="00F457D3">
        <w:rPr>
          <w:lang w:val="it-IT"/>
        </w:rPr>
        <w:t>γ</w:t>
      </w:r>
      <w:r w:rsidRPr="00F457D3">
        <w:rPr>
          <w:lang w:val="en-US"/>
        </w:rPr>
        <w:t>-alumina from polyoxohydroxide aluminum, Materials Research, 21, e20170674.</w:t>
      </w:r>
    </w:p>
    <w:p w14:paraId="75B7A46F" w14:textId="77777777" w:rsidR="00147452" w:rsidRPr="00F457D3" w:rsidRDefault="00147452" w:rsidP="00736BF5">
      <w:pPr>
        <w:pStyle w:val="CETReferencetext"/>
        <w:rPr>
          <w:lang w:val="en-US"/>
        </w:rPr>
      </w:pPr>
      <w:r w:rsidRPr="00F457D3">
        <w:rPr>
          <w:lang w:val="en-US"/>
        </w:rPr>
        <w:t>Shan J., Li M., Allard L.F., Lee S., Flytzani-Stephanopoulos M., 2017, Mild oxidation of methane to methanol or acetic acid on supported isolated rhodium catalysts, Nature, 551, 605–608.</w:t>
      </w:r>
    </w:p>
    <w:p w14:paraId="212C33E8" w14:textId="77777777" w:rsidR="00147452" w:rsidRPr="00F457D3" w:rsidRDefault="00147452" w:rsidP="0095746F">
      <w:pPr>
        <w:pStyle w:val="CETReferencetext"/>
      </w:pPr>
      <w:r w:rsidRPr="00F457D3">
        <w:t>TIoroi T., Yasuda K., 2006, Platinum-Iridium Alloys as Oxygen Reduction Electrocatalysts for Polymer Electrolyte Fuel Cells, ECS Transactions, 1, 129–136.</w:t>
      </w:r>
    </w:p>
    <w:p w14:paraId="37D00F3E" w14:textId="77777777" w:rsidR="00147452" w:rsidRPr="00F457D3" w:rsidRDefault="00147452" w:rsidP="00736BF5">
      <w:pPr>
        <w:pStyle w:val="CETReferencetext"/>
        <w:rPr>
          <w:lang w:val="en-US"/>
        </w:rPr>
      </w:pPr>
      <w:r w:rsidRPr="00F457D3">
        <w:rPr>
          <w:lang w:val="en-US"/>
        </w:rPr>
        <w:t>Ueda R., Kusakari T., Tomishige K., Fujimoto K., 2000, Nature of Spilt-over Hydrogen on Acid Sites in Zeolites: Observation of the Behavior of Adsorbed Pyridine on Zeolite Catalysts by Means of FTIR, Journal of Catalysis, 194, 14–22.</w:t>
      </w:r>
    </w:p>
    <w:p w14:paraId="43E58DB2" w14:textId="77777777" w:rsidR="00147452" w:rsidRPr="00F457D3" w:rsidRDefault="00147452" w:rsidP="00444D05">
      <w:pPr>
        <w:pStyle w:val="CETReferencetext"/>
        <w:rPr>
          <w:lang w:val="en-US"/>
        </w:rPr>
      </w:pPr>
      <w:r w:rsidRPr="00F457D3">
        <w:rPr>
          <w:lang w:val="en-US"/>
        </w:rPr>
        <w:t>Wang F., Ma J., Xin S., Wang Q., Xu J., Zhang C., He H., Zeng X.C., 2020. Resolving the puzzle of single-atom silver dispersion on nanosized γ-Al</w:t>
      </w:r>
      <w:r w:rsidRPr="00F457D3">
        <w:rPr>
          <w:vertAlign w:val="subscript"/>
          <w:lang w:val="en-US"/>
        </w:rPr>
        <w:t>2</w:t>
      </w:r>
      <w:r w:rsidRPr="00F457D3">
        <w:rPr>
          <w:lang w:val="en-US"/>
        </w:rPr>
        <w:t>O</w:t>
      </w:r>
      <w:r w:rsidRPr="00F457D3">
        <w:rPr>
          <w:vertAlign w:val="subscript"/>
          <w:lang w:val="en-US"/>
        </w:rPr>
        <w:t>3</w:t>
      </w:r>
      <w:r w:rsidRPr="00F457D3">
        <w:rPr>
          <w:lang w:val="en-US"/>
        </w:rPr>
        <w:t xml:space="preserve"> surface for high catalytic performance, Nature Communications, 11, 529.</w:t>
      </w:r>
    </w:p>
    <w:p w14:paraId="5879CD24" w14:textId="77777777" w:rsidR="00147452" w:rsidRDefault="00147452" w:rsidP="00126B87">
      <w:pPr>
        <w:pStyle w:val="CETReferencetext"/>
      </w:pPr>
      <w:r w:rsidRPr="00F457D3">
        <w:t>Wang Z., Wu W., Bian X., Wu Y., 2016, Synthesis and characterization of amorphous Al</w:t>
      </w:r>
      <w:r w:rsidRPr="00F457D3">
        <w:rPr>
          <w:vertAlign w:val="subscript"/>
        </w:rPr>
        <w:t>2</w:t>
      </w:r>
      <w:r w:rsidRPr="00F457D3">
        <w:t>O</w:t>
      </w:r>
      <w:r w:rsidRPr="00F457D3">
        <w:rPr>
          <w:vertAlign w:val="subscript"/>
        </w:rPr>
        <w:t>3</w:t>
      </w:r>
      <w:r w:rsidRPr="00F457D3">
        <w:t xml:space="preserve"> and γ-Al</w:t>
      </w:r>
      <w:r w:rsidRPr="00F457D3">
        <w:rPr>
          <w:vertAlign w:val="subscript"/>
        </w:rPr>
        <w:t>2</w:t>
      </w:r>
      <w:r w:rsidRPr="00F457D3">
        <w:t>O</w:t>
      </w:r>
      <w:r w:rsidRPr="00F457D3">
        <w:rPr>
          <w:vertAlign w:val="subscript"/>
        </w:rPr>
        <w:t>3</w:t>
      </w:r>
      <w:r w:rsidRPr="00F457D3">
        <w:t xml:space="preserve"> by spray pyrolysis, Green Processing and Synthesis, 5, 305–310.</w:t>
      </w:r>
    </w:p>
    <w:sectPr w:rsidR="0014745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42492" w14:textId="77777777" w:rsidR="00807697" w:rsidRDefault="00807697" w:rsidP="004F5E36">
      <w:r>
        <w:separator/>
      </w:r>
    </w:p>
  </w:endnote>
  <w:endnote w:type="continuationSeparator" w:id="0">
    <w:p w14:paraId="12F9E0F7" w14:textId="77777777" w:rsidR="00807697" w:rsidRDefault="0080769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81D9E" w14:textId="77777777" w:rsidR="00807697" w:rsidRDefault="00807697" w:rsidP="004F5E36">
      <w:r>
        <w:separator/>
      </w:r>
    </w:p>
  </w:footnote>
  <w:footnote w:type="continuationSeparator" w:id="0">
    <w:p w14:paraId="66E6D02D" w14:textId="77777777" w:rsidR="00807697" w:rsidRDefault="00807697"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6871143"/>
    <w:multiLevelType w:val="hybridMultilevel"/>
    <w:tmpl w:val="EBC6CB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91629C6"/>
    <w:multiLevelType w:val="multilevel"/>
    <w:tmpl w:val="8724155C"/>
    <w:lvl w:ilvl="0">
      <w:start w:val="1"/>
      <w:numFmt w:val="decimal"/>
      <w:lvlText w:val="[%1]."/>
      <w:lvlJc w:val="center"/>
      <w:pPr>
        <w:ind w:left="1533" w:hanging="360"/>
      </w:pPr>
    </w:lvl>
    <w:lvl w:ilvl="1">
      <w:start w:val="1"/>
      <w:numFmt w:val="lowerLetter"/>
      <w:lvlText w:val="%2."/>
      <w:lvlJc w:val="left"/>
      <w:pPr>
        <w:ind w:left="2253" w:hanging="360"/>
      </w:pPr>
    </w:lvl>
    <w:lvl w:ilvl="2">
      <w:start w:val="1"/>
      <w:numFmt w:val="lowerRoman"/>
      <w:lvlText w:val="%3."/>
      <w:lvlJc w:val="right"/>
      <w:pPr>
        <w:ind w:left="2973" w:hanging="180"/>
      </w:pPr>
    </w:lvl>
    <w:lvl w:ilvl="3">
      <w:start w:val="1"/>
      <w:numFmt w:val="decimal"/>
      <w:lvlText w:val="%4."/>
      <w:lvlJc w:val="left"/>
      <w:pPr>
        <w:ind w:left="3693" w:hanging="360"/>
      </w:pPr>
    </w:lvl>
    <w:lvl w:ilvl="4">
      <w:start w:val="1"/>
      <w:numFmt w:val="lowerLetter"/>
      <w:lvlText w:val="%5."/>
      <w:lvlJc w:val="left"/>
      <w:pPr>
        <w:ind w:left="4413" w:hanging="360"/>
      </w:pPr>
    </w:lvl>
    <w:lvl w:ilvl="5">
      <w:start w:val="1"/>
      <w:numFmt w:val="lowerRoman"/>
      <w:lvlText w:val="%6."/>
      <w:lvlJc w:val="right"/>
      <w:pPr>
        <w:ind w:left="5133" w:hanging="180"/>
      </w:pPr>
    </w:lvl>
    <w:lvl w:ilvl="6">
      <w:start w:val="1"/>
      <w:numFmt w:val="decimal"/>
      <w:lvlText w:val="%7."/>
      <w:lvlJc w:val="left"/>
      <w:pPr>
        <w:ind w:left="5853" w:hanging="360"/>
      </w:pPr>
    </w:lvl>
    <w:lvl w:ilvl="7">
      <w:start w:val="1"/>
      <w:numFmt w:val="lowerLetter"/>
      <w:lvlText w:val="%8."/>
      <w:lvlJc w:val="left"/>
      <w:pPr>
        <w:ind w:left="6573" w:hanging="360"/>
      </w:pPr>
    </w:lvl>
    <w:lvl w:ilvl="8">
      <w:start w:val="1"/>
      <w:numFmt w:val="lowerRoman"/>
      <w:lvlText w:val="%9."/>
      <w:lvlJc w:val="right"/>
      <w:pPr>
        <w:ind w:left="7293" w:hanging="180"/>
      </w:p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4"/>
  </w:num>
  <w:num w:numId="14">
    <w:abstractNumId w:val="20"/>
  </w:num>
  <w:num w:numId="15">
    <w:abstractNumId w:val="22"/>
  </w:num>
  <w:num w:numId="16">
    <w:abstractNumId w:val="21"/>
  </w:num>
  <w:num w:numId="17">
    <w:abstractNumId w:val="13"/>
  </w:num>
  <w:num w:numId="18">
    <w:abstractNumId w:val="14"/>
    <w:lvlOverride w:ilvl="0">
      <w:startOverride w:val="1"/>
    </w:lvlOverride>
  </w:num>
  <w:num w:numId="19">
    <w:abstractNumId w:val="18"/>
  </w:num>
  <w:num w:numId="20">
    <w:abstractNumId w:val="17"/>
  </w:num>
  <w:num w:numId="21">
    <w:abstractNumId w:val="16"/>
  </w:num>
  <w:num w:numId="22">
    <w:abstractNumId w:val="15"/>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kwNK8FAK35pNMtAAAA"/>
  </w:docVars>
  <w:rsids>
    <w:rsidRoot w:val="000E414A"/>
    <w:rsid w:val="000027C0"/>
    <w:rsid w:val="000052FB"/>
    <w:rsid w:val="000117CB"/>
    <w:rsid w:val="00013FAB"/>
    <w:rsid w:val="0003148D"/>
    <w:rsid w:val="00031EEC"/>
    <w:rsid w:val="00051566"/>
    <w:rsid w:val="000562A9"/>
    <w:rsid w:val="00062A9A"/>
    <w:rsid w:val="00065058"/>
    <w:rsid w:val="00086C39"/>
    <w:rsid w:val="00090709"/>
    <w:rsid w:val="000A03B2"/>
    <w:rsid w:val="000C2A48"/>
    <w:rsid w:val="000D01DB"/>
    <w:rsid w:val="000D0268"/>
    <w:rsid w:val="000D34BE"/>
    <w:rsid w:val="000E0792"/>
    <w:rsid w:val="000E102F"/>
    <w:rsid w:val="000E36F1"/>
    <w:rsid w:val="000E3A73"/>
    <w:rsid w:val="000E414A"/>
    <w:rsid w:val="000F093C"/>
    <w:rsid w:val="000F787B"/>
    <w:rsid w:val="0012091F"/>
    <w:rsid w:val="00126B87"/>
    <w:rsid w:val="00126BC2"/>
    <w:rsid w:val="001308B6"/>
    <w:rsid w:val="0013121F"/>
    <w:rsid w:val="00131E9E"/>
    <w:rsid w:val="00131FE6"/>
    <w:rsid w:val="0013263F"/>
    <w:rsid w:val="001331DF"/>
    <w:rsid w:val="00134DE4"/>
    <w:rsid w:val="0014034D"/>
    <w:rsid w:val="00144D16"/>
    <w:rsid w:val="00147452"/>
    <w:rsid w:val="00150E59"/>
    <w:rsid w:val="00152DE3"/>
    <w:rsid w:val="00164CF9"/>
    <w:rsid w:val="001667A6"/>
    <w:rsid w:val="00173642"/>
    <w:rsid w:val="00184AD6"/>
    <w:rsid w:val="001A4617"/>
    <w:rsid w:val="001A4AF7"/>
    <w:rsid w:val="001B0349"/>
    <w:rsid w:val="001B1E93"/>
    <w:rsid w:val="001B65C1"/>
    <w:rsid w:val="001C1477"/>
    <w:rsid w:val="001C684B"/>
    <w:rsid w:val="001D0CFB"/>
    <w:rsid w:val="001D21AF"/>
    <w:rsid w:val="001D5081"/>
    <w:rsid w:val="001D53FC"/>
    <w:rsid w:val="001E7FAC"/>
    <w:rsid w:val="001F16D3"/>
    <w:rsid w:val="001F382D"/>
    <w:rsid w:val="001F42A5"/>
    <w:rsid w:val="001F7B9D"/>
    <w:rsid w:val="00201C93"/>
    <w:rsid w:val="002224B4"/>
    <w:rsid w:val="002256A2"/>
    <w:rsid w:val="002447EF"/>
    <w:rsid w:val="00251550"/>
    <w:rsid w:val="00263B05"/>
    <w:rsid w:val="0027221A"/>
    <w:rsid w:val="002725CB"/>
    <w:rsid w:val="00275B61"/>
    <w:rsid w:val="00280FAF"/>
    <w:rsid w:val="00282656"/>
    <w:rsid w:val="002827F8"/>
    <w:rsid w:val="0028312A"/>
    <w:rsid w:val="00296B83"/>
    <w:rsid w:val="002B4015"/>
    <w:rsid w:val="002B78CE"/>
    <w:rsid w:val="002C2FB6"/>
    <w:rsid w:val="002D045A"/>
    <w:rsid w:val="002E47E0"/>
    <w:rsid w:val="002E5349"/>
    <w:rsid w:val="002E5FA7"/>
    <w:rsid w:val="002F2BF0"/>
    <w:rsid w:val="002F3309"/>
    <w:rsid w:val="003008CE"/>
    <w:rsid w:val="003009B7"/>
    <w:rsid w:val="00300E56"/>
    <w:rsid w:val="0030152C"/>
    <w:rsid w:val="0030469C"/>
    <w:rsid w:val="00321CA6"/>
    <w:rsid w:val="00323763"/>
    <w:rsid w:val="00323C5F"/>
    <w:rsid w:val="00327B10"/>
    <w:rsid w:val="00334C09"/>
    <w:rsid w:val="003542DB"/>
    <w:rsid w:val="003723D4"/>
    <w:rsid w:val="00381905"/>
    <w:rsid w:val="00384CC8"/>
    <w:rsid w:val="003871FD"/>
    <w:rsid w:val="003934FF"/>
    <w:rsid w:val="003A1E30"/>
    <w:rsid w:val="003A2829"/>
    <w:rsid w:val="003A417E"/>
    <w:rsid w:val="003A7D1C"/>
    <w:rsid w:val="003B0C39"/>
    <w:rsid w:val="003B304B"/>
    <w:rsid w:val="003B3146"/>
    <w:rsid w:val="003C28E1"/>
    <w:rsid w:val="003E0227"/>
    <w:rsid w:val="003F015E"/>
    <w:rsid w:val="003F76B4"/>
    <w:rsid w:val="00400414"/>
    <w:rsid w:val="00404196"/>
    <w:rsid w:val="0041446B"/>
    <w:rsid w:val="00436D8D"/>
    <w:rsid w:val="0044071E"/>
    <w:rsid w:val="0044329C"/>
    <w:rsid w:val="00444D05"/>
    <w:rsid w:val="00450018"/>
    <w:rsid w:val="00453E24"/>
    <w:rsid w:val="00455B37"/>
    <w:rsid w:val="00457456"/>
    <w:rsid w:val="004577FE"/>
    <w:rsid w:val="00457B9C"/>
    <w:rsid w:val="0046164A"/>
    <w:rsid w:val="004628D2"/>
    <w:rsid w:val="00462DCD"/>
    <w:rsid w:val="004648AD"/>
    <w:rsid w:val="004703A9"/>
    <w:rsid w:val="004760DE"/>
    <w:rsid w:val="004763D7"/>
    <w:rsid w:val="004A004E"/>
    <w:rsid w:val="004A1B4F"/>
    <w:rsid w:val="004A24CF"/>
    <w:rsid w:val="004A70F5"/>
    <w:rsid w:val="004C3D1D"/>
    <w:rsid w:val="004C3D84"/>
    <w:rsid w:val="004C3D99"/>
    <w:rsid w:val="004C7913"/>
    <w:rsid w:val="004D3D28"/>
    <w:rsid w:val="004E4DD6"/>
    <w:rsid w:val="004F2D1E"/>
    <w:rsid w:val="004F5E36"/>
    <w:rsid w:val="00507B47"/>
    <w:rsid w:val="00507BEF"/>
    <w:rsid w:val="00507CC9"/>
    <w:rsid w:val="005119A5"/>
    <w:rsid w:val="00517AAE"/>
    <w:rsid w:val="005278B7"/>
    <w:rsid w:val="00532016"/>
    <w:rsid w:val="005346C8"/>
    <w:rsid w:val="00543E7D"/>
    <w:rsid w:val="00547A68"/>
    <w:rsid w:val="005531C9"/>
    <w:rsid w:val="0056556E"/>
    <w:rsid w:val="00570C43"/>
    <w:rsid w:val="00580338"/>
    <w:rsid w:val="00584E49"/>
    <w:rsid w:val="00595B9E"/>
    <w:rsid w:val="005B17A3"/>
    <w:rsid w:val="005B2110"/>
    <w:rsid w:val="005B61E6"/>
    <w:rsid w:val="005C77E1"/>
    <w:rsid w:val="005D668A"/>
    <w:rsid w:val="005D6A2F"/>
    <w:rsid w:val="005E1A82"/>
    <w:rsid w:val="005E794C"/>
    <w:rsid w:val="005F0A28"/>
    <w:rsid w:val="005F0E5E"/>
    <w:rsid w:val="00600535"/>
    <w:rsid w:val="00610CD6"/>
    <w:rsid w:val="00620DEE"/>
    <w:rsid w:val="00621F92"/>
    <w:rsid w:val="0062280A"/>
    <w:rsid w:val="00625639"/>
    <w:rsid w:val="00631B33"/>
    <w:rsid w:val="0064184D"/>
    <w:rsid w:val="006422CC"/>
    <w:rsid w:val="006475D2"/>
    <w:rsid w:val="00650BB4"/>
    <w:rsid w:val="00650C87"/>
    <w:rsid w:val="006604B1"/>
    <w:rsid w:val="00660E3E"/>
    <w:rsid w:val="00662E74"/>
    <w:rsid w:val="00680833"/>
    <w:rsid w:val="00680C23"/>
    <w:rsid w:val="00693766"/>
    <w:rsid w:val="006A3281"/>
    <w:rsid w:val="006A3A17"/>
    <w:rsid w:val="006B173E"/>
    <w:rsid w:val="006B21EB"/>
    <w:rsid w:val="006B4888"/>
    <w:rsid w:val="006B7025"/>
    <w:rsid w:val="006C2E45"/>
    <w:rsid w:val="006C359C"/>
    <w:rsid w:val="006C5579"/>
    <w:rsid w:val="006D3F56"/>
    <w:rsid w:val="006D6E8B"/>
    <w:rsid w:val="006E737D"/>
    <w:rsid w:val="006F3698"/>
    <w:rsid w:val="00713973"/>
    <w:rsid w:val="00720A24"/>
    <w:rsid w:val="00731892"/>
    <w:rsid w:val="00732386"/>
    <w:rsid w:val="0073514D"/>
    <w:rsid w:val="00736BF5"/>
    <w:rsid w:val="007447F3"/>
    <w:rsid w:val="00752490"/>
    <w:rsid w:val="0075499F"/>
    <w:rsid w:val="0076075A"/>
    <w:rsid w:val="00761B53"/>
    <w:rsid w:val="007661C8"/>
    <w:rsid w:val="0077098D"/>
    <w:rsid w:val="0077613B"/>
    <w:rsid w:val="007931FA"/>
    <w:rsid w:val="0079570F"/>
    <w:rsid w:val="007A4861"/>
    <w:rsid w:val="007A7BBA"/>
    <w:rsid w:val="007B0C50"/>
    <w:rsid w:val="007B48F9"/>
    <w:rsid w:val="007C1A43"/>
    <w:rsid w:val="007D0951"/>
    <w:rsid w:val="007E33BE"/>
    <w:rsid w:val="007F2B12"/>
    <w:rsid w:val="0080013E"/>
    <w:rsid w:val="008064F3"/>
    <w:rsid w:val="00807697"/>
    <w:rsid w:val="00813288"/>
    <w:rsid w:val="00815750"/>
    <w:rsid w:val="008168FC"/>
    <w:rsid w:val="00820A70"/>
    <w:rsid w:val="00830996"/>
    <w:rsid w:val="00830BDA"/>
    <w:rsid w:val="008345F1"/>
    <w:rsid w:val="00836F0E"/>
    <w:rsid w:val="00853620"/>
    <w:rsid w:val="00865B07"/>
    <w:rsid w:val="008667EA"/>
    <w:rsid w:val="00871E14"/>
    <w:rsid w:val="00875B6A"/>
    <w:rsid w:val="0087637F"/>
    <w:rsid w:val="00892AD5"/>
    <w:rsid w:val="0089335C"/>
    <w:rsid w:val="008A1512"/>
    <w:rsid w:val="008A3277"/>
    <w:rsid w:val="008D32B9"/>
    <w:rsid w:val="008D433B"/>
    <w:rsid w:val="008D4A16"/>
    <w:rsid w:val="008D7EE2"/>
    <w:rsid w:val="008E3774"/>
    <w:rsid w:val="008E566E"/>
    <w:rsid w:val="008F460E"/>
    <w:rsid w:val="0090161A"/>
    <w:rsid w:val="00901EB6"/>
    <w:rsid w:val="00902459"/>
    <w:rsid w:val="00904C62"/>
    <w:rsid w:val="0090671B"/>
    <w:rsid w:val="00921375"/>
    <w:rsid w:val="00922BA8"/>
    <w:rsid w:val="00924DAC"/>
    <w:rsid w:val="00927058"/>
    <w:rsid w:val="00927FD4"/>
    <w:rsid w:val="00930F64"/>
    <w:rsid w:val="00931555"/>
    <w:rsid w:val="00941046"/>
    <w:rsid w:val="009411FB"/>
    <w:rsid w:val="00942750"/>
    <w:rsid w:val="009450CE"/>
    <w:rsid w:val="009459BB"/>
    <w:rsid w:val="00947179"/>
    <w:rsid w:val="0095164B"/>
    <w:rsid w:val="00954090"/>
    <w:rsid w:val="009573E7"/>
    <w:rsid w:val="0095746F"/>
    <w:rsid w:val="00963A9C"/>
    <w:rsid w:val="00963E05"/>
    <w:rsid w:val="00964A45"/>
    <w:rsid w:val="00967640"/>
    <w:rsid w:val="00967843"/>
    <w:rsid w:val="00967D54"/>
    <w:rsid w:val="00971028"/>
    <w:rsid w:val="00980CDD"/>
    <w:rsid w:val="009877C4"/>
    <w:rsid w:val="00993B84"/>
    <w:rsid w:val="00996483"/>
    <w:rsid w:val="00996F5A"/>
    <w:rsid w:val="009A317C"/>
    <w:rsid w:val="009B041A"/>
    <w:rsid w:val="009C37C3"/>
    <w:rsid w:val="009C7C86"/>
    <w:rsid w:val="009D08EC"/>
    <w:rsid w:val="009D0EBF"/>
    <w:rsid w:val="009D2FF7"/>
    <w:rsid w:val="009E7884"/>
    <w:rsid w:val="009E788A"/>
    <w:rsid w:val="009F0E08"/>
    <w:rsid w:val="009F6195"/>
    <w:rsid w:val="00A01CD0"/>
    <w:rsid w:val="00A1763D"/>
    <w:rsid w:val="00A17CEC"/>
    <w:rsid w:val="00A27EF0"/>
    <w:rsid w:val="00A41B62"/>
    <w:rsid w:val="00A41BCD"/>
    <w:rsid w:val="00A42361"/>
    <w:rsid w:val="00A50B20"/>
    <w:rsid w:val="00A51390"/>
    <w:rsid w:val="00A60D13"/>
    <w:rsid w:val="00A63BA1"/>
    <w:rsid w:val="00A7223D"/>
    <w:rsid w:val="00A72745"/>
    <w:rsid w:val="00A76EFC"/>
    <w:rsid w:val="00A87D50"/>
    <w:rsid w:val="00A91010"/>
    <w:rsid w:val="00A96591"/>
    <w:rsid w:val="00A97F29"/>
    <w:rsid w:val="00AA702E"/>
    <w:rsid w:val="00AA7D26"/>
    <w:rsid w:val="00AB0964"/>
    <w:rsid w:val="00AB5011"/>
    <w:rsid w:val="00AC2377"/>
    <w:rsid w:val="00AC5608"/>
    <w:rsid w:val="00AC6562"/>
    <w:rsid w:val="00AC7368"/>
    <w:rsid w:val="00AD16B9"/>
    <w:rsid w:val="00AE377D"/>
    <w:rsid w:val="00AF0EBA"/>
    <w:rsid w:val="00AF752E"/>
    <w:rsid w:val="00B019F4"/>
    <w:rsid w:val="00B02C8A"/>
    <w:rsid w:val="00B05100"/>
    <w:rsid w:val="00B17FBD"/>
    <w:rsid w:val="00B231C1"/>
    <w:rsid w:val="00B315A6"/>
    <w:rsid w:val="00B31813"/>
    <w:rsid w:val="00B33365"/>
    <w:rsid w:val="00B34993"/>
    <w:rsid w:val="00B37DD7"/>
    <w:rsid w:val="00B57B36"/>
    <w:rsid w:val="00B57E6F"/>
    <w:rsid w:val="00B8686D"/>
    <w:rsid w:val="00B93F69"/>
    <w:rsid w:val="00BA0CA1"/>
    <w:rsid w:val="00BB1DDC"/>
    <w:rsid w:val="00BC30C9"/>
    <w:rsid w:val="00BD077D"/>
    <w:rsid w:val="00BE3E58"/>
    <w:rsid w:val="00BE7240"/>
    <w:rsid w:val="00C01616"/>
    <w:rsid w:val="00C0162B"/>
    <w:rsid w:val="00C03082"/>
    <w:rsid w:val="00C068ED"/>
    <w:rsid w:val="00C146D5"/>
    <w:rsid w:val="00C22E0C"/>
    <w:rsid w:val="00C345B1"/>
    <w:rsid w:val="00C40142"/>
    <w:rsid w:val="00C44BB6"/>
    <w:rsid w:val="00C52C3C"/>
    <w:rsid w:val="00C57182"/>
    <w:rsid w:val="00C57863"/>
    <w:rsid w:val="00C612AD"/>
    <w:rsid w:val="00C640AF"/>
    <w:rsid w:val="00C655FD"/>
    <w:rsid w:val="00C659E0"/>
    <w:rsid w:val="00C75407"/>
    <w:rsid w:val="00C870A8"/>
    <w:rsid w:val="00C94434"/>
    <w:rsid w:val="00C97D11"/>
    <w:rsid w:val="00CA0D75"/>
    <w:rsid w:val="00CA1C95"/>
    <w:rsid w:val="00CA5068"/>
    <w:rsid w:val="00CA5A9C"/>
    <w:rsid w:val="00CC4C20"/>
    <w:rsid w:val="00CD3517"/>
    <w:rsid w:val="00CD5FE2"/>
    <w:rsid w:val="00CE137B"/>
    <w:rsid w:val="00CE7C68"/>
    <w:rsid w:val="00D02B4C"/>
    <w:rsid w:val="00D040C4"/>
    <w:rsid w:val="00D11815"/>
    <w:rsid w:val="00D20AD1"/>
    <w:rsid w:val="00D46B7E"/>
    <w:rsid w:val="00D57C84"/>
    <w:rsid w:val="00D6057D"/>
    <w:rsid w:val="00D648EC"/>
    <w:rsid w:val="00D70592"/>
    <w:rsid w:val="00D71640"/>
    <w:rsid w:val="00D76C20"/>
    <w:rsid w:val="00D836C5"/>
    <w:rsid w:val="00D84576"/>
    <w:rsid w:val="00D95C4D"/>
    <w:rsid w:val="00DA1399"/>
    <w:rsid w:val="00DA24C6"/>
    <w:rsid w:val="00DA4D7B"/>
    <w:rsid w:val="00DB1F09"/>
    <w:rsid w:val="00DC2830"/>
    <w:rsid w:val="00DD0786"/>
    <w:rsid w:val="00DD271C"/>
    <w:rsid w:val="00DE264A"/>
    <w:rsid w:val="00DE5C35"/>
    <w:rsid w:val="00DF38A5"/>
    <w:rsid w:val="00DF5072"/>
    <w:rsid w:val="00E0028E"/>
    <w:rsid w:val="00E02D18"/>
    <w:rsid w:val="00E041E7"/>
    <w:rsid w:val="00E23CA1"/>
    <w:rsid w:val="00E33DD7"/>
    <w:rsid w:val="00E409A8"/>
    <w:rsid w:val="00E50C12"/>
    <w:rsid w:val="00E65B91"/>
    <w:rsid w:val="00E7209D"/>
    <w:rsid w:val="00E72EAD"/>
    <w:rsid w:val="00E77223"/>
    <w:rsid w:val="00E8404F"/>
    <w:rsid w:val="00E8528B"/>
    <w:rsid w:val="00E85B94"/>
    <w:rsid w:val="00E91CEF"/>
    <w:rsid w:val="00E95172"/>
    <w:rsid w:val="00E978D0"/>
    <w:rsid w:val="00EA4613"/>
    <w:rsid w:val="00EA7F91"/>
    <w:rsid w:val="00EB1523"/>
    <w:rsid w:val="00EB52C3"/>
    <w:rsid w:val="00EC0E49"/>
    <w:rsid w:val="00EC101F"/>
    <w:rsid w:val="00EC1D9F"/>
    <w:rsid w:val="00ED2B21"/>
    <w:rsid w:val="00EE0131"/>
    <w:rsid w:val="00EE17B0"/>
    <w:rsid w:val="00EF06D9"/>
    <w:rsid w:val="00EF7985"/>
    <w:rsid w:val="00F12942"/>
    <w:rsid w:val="00F15CB5"/>
    <w:rsid w:val="00F3049E"/>
    <w:rsid w:val="00F304A9"/>
    <w:rsid w:val="00F30C64"/>
    <w:rsid w:val="00F32BA2"/>
    <w:rsid w:val="00F32CDB"/>
    <w:rsid w:val="00F37422"/>
    <w:rsid w:val="00F44F59"/>
    <w:rsid w:val="00F457D3"/>
    <w:rsid w:val="00F47A35"/>
    <w:rsid w:val="00F5389F"/>
    <w:rsid w:val="00F565FE"/>
    <w:rsid w:val="00F63A70"/>
    <w:rsid w:val="00F63D8C"/>
    <w:rsid w:val="00F7534E"/>
    <w:rsid w:val="00F832AE"/>
    <w:rsid w:val="00F843DB"/>
    <w:rsid w:val="00F93EDF"/>
    <w:rsid w:val="00F95496"/>
    <w:rsid w:val="00FA1802"/>
    <w:rsid w:val="00FA21D0"/>
    <w:rsid w:val="00FA3F16"/>
    <w:rsid w:val="00FA5F5F"/>
    <w:rsid w:val="00FA693A"/>
    <w:rsid w:val="00FB70D0"/>
    <w:rsid w:val="00FB730C"/>
    <w:rsid w:val="00FC2695"/>
    <w:rsid w:val="00FC3E03"/>
    <w:rsid w:val="00FC3FC1"/>
    <w:rsid w:val="00FE27C3"/>
    <w:rsid w:val="00FE6C1C"/>
    <w:rsid w:val="00FF2B0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8067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hyperlink" Target="mailto:eponticorvo@unisa.it" TargetMode="Externa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AEE68-933C-41DA-8FDB-091994AE1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6</Pages>
  <Words>2939</Words>
  <Characters>16756</Characters>
  <Application>Microsoft Office Word</Application>
  <DocSecurity>0</DocSecurity>
  <Lines>139</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HOME</cp:lastModifiedBy>
  <cp:revision>83</cp:revision>
  <cp:lastPrinted>2015-05-12T18:31:00Z</cp:lastPrinted>
  <dcterms:created xsi:type="dcterms:W3CDTF">2023-01-04T13:53:00Z</dcterms:created>
  <dcterms:modified xsi:type="dcterms:W3CDTF">2023-03-15T11:21:00Z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