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974167" w:rsidRPr="00B57B36" w14:paraId="40C42266" w14:textId="77777777" w:rsidTr="00974167">
        <w:trPr>
          <w:trHeight w:val="852"/>
          <w:jc w:val="center"/>
        </w:trPr>
        <w:tc>
          <w:tcPr>
            <w:tcW w:w="6940" w:type="dxa"/>
            <w:vMerge w:val="restart"/>
            <w:tcBorders>
              <w:right w:val="single" w:sz="4" w:space="0" w:color="auto"/>
            </w:tcBorders>
          </w:tcPr>
          <w:p w14:paraId="11DC3FC6" w14:textId="77777777" w:rsidR="00974167" w:rsidRPr="00B57B36" w:rsidRDefault="00974167" w:rsidP="003E5985">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cs-CZ" w:eastAsia="cs-CZ"/>
              </w:rPr>
              <w:drawing>
                <wp:inline distT="0" distB="0" distL="0" distR="0" wp14:anchorId="04C0EA96" wp14:editId="77F43296">
                  <wp:extent cx="640080" cy="373380"/>
                  <wp:effectExtent l="0" t="0" r="7620" b="762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9874C4C" w14:textId="77777777" w:rsidR="00974167" w:rsidRPr="00B57B36" w:rsidRDefault="00974167" w:rsidP="003E5985">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 xml:space="preserve">   , 2023</w:t>
            </w:r>
          </w:p>
        </w:tc>
        <w:tc>
          <w:tcPr>
            <w:tcW w:w="1842" w:type="dxa"/>
            <w:tcBorders>
              <w:left w:val="single" w:sz="4" w:space="0" w:color="auto"/>
              <w:bottom w:val="nil"/>
              <w:right w:val="single" w:sz="4" w:space="0" w:color="auto"/>
            </w:tcBorders>
          </w:tcPr>
          <w:p w14:paraId="6686D061" w14:textId="77777777" w:rsidR="00974167" w:rsidRPr="00B57B36" w:rsidRDefault="00974167" w:rsidP="003E5985">
            <w:pPr>
              <w:spacing w:line="140" w:lineRule="atLeast"/>
              <w:jc w:val="right"/>
              <w:rPr>
                <w:rFonts w:cs="Arial"/>
                <w:sz w:val="14"/>
                <w:szCs w:val="14"/>
              </w:rPr>
            </w:pPr>
            <w:r w:rsidRPr="00B57B36">
              <w:rPr>
                <w:rFonts w:cs="Arial"/>
                <w:sz w:val="14"/>
                <w:szCs w:val="14"/>
              </w:rPr>
              <w:t>A publication of</w:t>
            </w:r>
          </w:p>
          <w:p w14:paraId="5CF51219" w14:textId="77777777" w:rsidR="00974167" w:rsidRPr="00B57B36" w:rsidRDefault="00974167" w:rsidP="003E5985">
            <w:pPr>
              <w:jc w:val="right"/>
            </w:pPr>
            <w:r w:rsidRPr="00B57B36">
              <w:rPr>
                <w:noProof/>
                <w:lang w:val="cs-CZ" w:eastAsia="cs-CZ"/>
              </w:rPr>
              <w:drawing>
                <wp:inline distT="0" distB="0" distL="0" distR="0" wp14:anchorId="6E45AA3D" wp14:editId="01A0C8D8">
                  <wp:extent cx="670560" cy="358140"/>
                  <wp:effectExtent l="0" t="0" r="0" b="3810"/>
                  <wp:docPr id="4"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974167" w:rsidRPr="00B57B36" w14:paraId="0A31C526" w14:textId="77777777" w:rsidTr="00974167">
        <w:trPr>
          <w:trHeight w:val="567"/>
          <w:jc w:val="center"/>
        </w:trPr>
        <w:tc>
          <w:tcPr>
            <w:tcW w:w="6940" w:type="dxa"/>
            <w:vMerge/>
            <w:tcBorders>
              <w:right w:val="single" w:sz="4" w:space="0" w:color="auto"/>
            </w:tcBorders>
          </w:tcPr>
          <w:p w14:paraId="3F686A50" w14:textId="77777777" w:rsidR="00974167" w:rsidRPr="00B57B36" w:rsidRDefault="00974167" w:rsidP="003E5985">
            <w:pPr>
              <w:tabs>
                <w:tab w:val="left" w:pos="-108"/>
              </w:tabs>
            </w:pPr>
          </w:p>
        </w:tc>
        <w:tc>
          <w:tcPr>
            <w:tcW w:w="1842" w:type="dxa"/>
            <w:tcBorders>
              <w:left w:val="single" w:sz="4" w:space="0" w:color="auto"/>
              <w:bottom w:val="nil"/>
              <w:right w:val="single" w:sz="4" w:space="0" w:color="auto"/>
            </w:tcBorders>
          </w:tcPr>
          <w:p w14:paraId="23C34EF0" w14:textId="77777777" w:rsidR="00974167" w:rsidRPr="00B57B36" w:rsidRDefault="00974167" w:rsidP="003E5985">
            <w:pPr>
              <w:spacing w:line="140" w:lineRule="atLeast"/>
              <w:jc w:val="right"/>
              <w:rPr>
                <w:rFonts w:cs="Arial"/>
                <w:sz w:val="14"/>
                <w:szCs w:val="14"/>
              </w:rPr>
            </w:pPr>
            <w:r w:rsidRPr="00B57B36">
              <w:rPr>
                <w:rFonts w:cs="Arial"/>
                <w:sz w:val="14"/>
                <w:szCs w:val="14"/>
              </w:rPr>
              <w:t>The Italian Association</w:t>
            </w:r>
          </w:p>
          <w:p w14:paraId="16B818CB" w14:textId="77777777" w:rsidR="00974167" w:rsidRPr="00B57B36" w:rsidRDefault="00974167" w:rsidP="003E5985">
            <w:pPr>
              <w:spacing w:line="140" w:lineRule="atLeast"/>
              <w:jc w:val="right"/>
              <w:rPr>
                <w:rFonts w:cs="Arial"/>
                <w:sz w:val="14"/>
                <w:szCs w:val="14"/>
              </w:rPr>
            </w:pPr>
            <w:r w:rsidRPr="00B57B36">
              <w:rPr>
                <w:rFonts w:cs="Arial"/>
                <w:sz w:val="14"/>
                <w:szCs w:val="14"/>
              </w:rPr>
              <w:t>of Chemical Engineering</w:t>
            </w:r>
          </w:p>
          <w:p w14:paraId="2F9BE1CA" w14:textId="77777777" w:rsidR="00974167" w:rsidRPr="000D0268" w:rsidRDefault="00974167" w:rsidP="003E5985">
            <w:pPr>
              <w:spacing w:line="140" w:lineRule="atLeast"/>
              <w:jc w:val="right"/>
              <w:rPr>
                <w:rFonts w:cs="Arial"/>
                <w:sz w:val="13"/>
                <w:szCs w:val="13"/>
              </w:rPr>
            </w:pPr>
            <w:r w:rsidRPr="000D0268">
              <w:rPr>
                <w:rFonts w:cs="Arial"/>
                <w:sz w:val="13"/>
                <w:szCs w:val="13"/>
              </w:rPr>
              <w:t>Online at www.cetjournal.it</w:t>
            </w:r>
          </w:p>
        </w:tc>
      </w:tr>
      <w:tr w:rsidR="00974167" w:rsidRPr="00B57B36" w14:paraId="345D9243" w14:textId="77777777" w:rsidTr="00974167">
        <w:trPr>
          <w:trHeight w:val="68"/>
          <w:jc w:val="center"/>
        </w:trPr>
        <w:tc>
          <w:tcPr>
            <w:tcW w:w="8782" w:type="dxa"/>
            <w:gridSpan w:val="2"/>
          </w:tcPr>
          <w:p w14:paraId="3264F036" w14:textId="77777777" w:rsidR="00974167" w:rsidRPr="002B3FFF" w:rsidRDefault="00974167" w:rsidP="003E5985">
            <w:pPr>
              <w:ind w:left="-107"/>
              <w:outlineLvl w:val="2"/>
              <w:rPr>
                <w:rFonts w:ascii="Tahoma" w:hAnsi="Tahoma" w:cs="Tahoma"/>
                <w:bCs/>
                <w:color w:val="000000"/>
                <w:sz w:val="14"/>
                <w:szCs w:val="14"/>
                <w:lang w:val="it-IT" w:eastAsia="it-IT"/>
              </w:rPr>
            </w:pPr>
            <w:r w:rsidRPr="002B3FFF">
              <w:rPr>
                <w:rFonts w:ascii="Tahoma" w:hAnsi="Tahoma" w:cs="Tahoma"/>
                <w:iCs/>
                <w:color w:val="333333"/>
                <w:sz w:val="14"/>
                <w:szCs w:val="14"/>
                <w:lang w:val="it-IT" w:eastAsia="it-IT"/>
              </w:rPr>
              <w:t>Guest Editors:</w:t>
            </w:r>
            <w:r w:rsidRPr="002B3FFF">
              <w:rPr>
                <w:rFonts w:ascii="Tahoma" w:hAnsi="Tahoma" w:cs="Tahoma"/>
                <w:color w:val="000000"/>
                <w:sz w:val="14"/>
                <w:szCs w:val="14"/>
                <w:shd w:val="clear" w:color="auto" w:fill="FFFFFF"/>
                <w:lang w:val="it-IT"/>
              </w:rPr>
              <w:t xml:space="preserve"> Paolo Ciambelli, L</w:t>
            </w:r>
            <w:r>
              <w:rPr>
                <w:rFonts w:ascii="Tahoma" w:hAnsi="Tahoma" w:cs="Tahoma"/>
                <w:color w:val="000000"/>
                <w:sz w:val="14"/>
                <w:szCs w:val="14"/>
                <w:shd w:val="clear" w:color="auto" w:fill="FFFFFF"/>
                <w:lang w:val="it-IT"/>
              </w:rPr>
              <w:t>uca Di Palma</w:t>
            </w:r>
          </w:p>
          <w:p w14:paraId="6560244D" w14:textId="77777777" w:rsidR="00974167" w:rsidRPr="00B57B36" w:rsidRDefault="00974167" w:rsidP="003E5985">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81206-00-7</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C26532C" w:rsidR="00E978D0" w:rsidRPr="00B57B36" w:rsidRDefault="005A2BD7" w:rsidP="00E978D0">
      <w:pPr>
        <w:pStyle w:val="CETTitle"/>
      </w:pPr>
      <w:r>
        <w:t xml:space="preserve">Toxicity of </w:t>
      </w:r>
      <w:r w:rsidR="007C25B5">
        <w:t>N</w:t>
      </w:r>
      <w:r>
        <w:t xml:space="preserve">anotextiles as </w:t>
      </w:r>
      <w:r w:rsidR="007C25B5">
        <w:t>R</w:t>
      </w:r>
      <w:r>
        <w:t xml:space="preserve">espirators </w:t>
      </w:r>
      <w:r w:rsidR="007C25B5">
        <w:t>W</w:t>
      </w:r>
      <w:r>
        <w:t xml:space="preserve">aste </w:t>
      </w:r>
      <w:r w:rsidR="00A76169">
        <w:t>t</w:t>
      </w:r>
      <w:r>
        <w:t xml:space="preserve">o Daphnia </w:t>
      </w:r>
      <w:r w:rsidR="007C25B5">
        <w:t>M</w:t>
      </w:r>
      <w:r>
        <w:t>agna</w:t>
      </w:r>
    </w:p>
    <w:p w14:paraId="38D29194" w14:textId="34D8B09C" w:rsidR="00E978D0" w:rsidRDefault="005A2BD7" w:rsidP="00C52C3C">
      <w:pPr>
        <w:pStyle w:val="CETAuthors"/>
        <w:rPr>
          <w:vertAlign w:val="superscript"/>
        </w:rPr>
      </w:pPr>
      <w:r>
        <w:t>Jan Slany</w:t>
      </w:r>
      <w:r>
        <w:rPr>
          <w:vertAlign w:val="superscript"/>
        </w:rPr>
        <w:t>a</w:t>
      </w:r>
      <w:r w:rsidR="0057158F">
        <w:rPr>
          <w:vertAlign w:val="superscript"/>
        </w:rPr>
        <w:t>*</w:t>
      </w:r>
      <w:r w:rsidR="00600535" w:rsidRPr="00B57B36">
        <w:t xml:space="preserve">, </w:t>
      </w:r>
      <w:r>
        <w:t>Petra Roup</w:t>
      </w:r>
      <w:r w:rsidR="009E1F22">
        <w:t>c</w:t>
      </w:r>
      <w:r>
        <w:t>ova</w:t>
      </w:r>
      <w:r>
        <w:rPr>
          <w:vertAlign w:val="superscript"/>
        </w:rPr>
        <w:t>a</w:t>
      </w:r>
      <w:r>
        <w:t xml:space="preserve">, Jiri </w:t>
      </w:r>
      <w:r w:rsidR="003007D6">
        <w:t>Pavlovsky</w:t>
      </w:r>
      <w:r w:rsidR="003007D6">
        <w:rPr>
          <w:vertAlign w:val="superscript"/>
        </w:rPr>
        <w:t>b</w:t>
      </w:r>
      <w:r w:rsidR="00FE12DA">
        <w:t>, Karel Klouda</w:t>
      </w:r>
      <w:r w:rsidR="00FE12DA">
        <w:rPr>
          <w:vertAlign w:val="superscript"/>
        </w:rPr>
        <w:t>a</w:t>
      </w:r>
    </w:p>
    <w:p w14:paraId="641FBB1E" w14:textId="0D9068CC" w:rsidR="00164362" w:rsidRPr="00B57B36" w:rsidRDefault="00164362" w:rsidP="00AC46AC">
      <w:pPr>
        <w:pStyle w:val="CETAddress"/>
        <w:jc w:val="both"/>
      </w:pPr>
      <w:r w:rsidRPr="00B57B36">
        <w:rPr>
          <w:vertAlign w:val="superscript"/>
        </w:rPr>
        <w:t>a</w:t>
      </w:r>
      <w:r>
        <w:t xml:space="preserve">Department of Occupational </w:t>
      </w:r>
      <w:r w:rsidR="004042D0">
        <w:t xml:space="preserve">and Process </w:t>
      </w:r>
      <w:r>
        <w:t xml:space="preserve">Safety, Faculty of Safety Engineering, </w:t>
      </w:r>
      <w:r w:rsidRPr="00E557F4">
        <w:t>V</w:t>
      </w:r>
      <w:r w:rsidR="002D2E43">
        <w:t>S</w:t>
      </w:r>
      <w:r w:rsidRPr="00E557F4">
        <w:t>B-Technical University o</w:t>
      </w:r>
      <w:r>
        <w:t>f Ostrava, Lum</w:t>
      </w:r>
      <w:r w:rsidR="002D2E43">
        <w:t>i</w:t>
      </w:r>
      <w:r>
        <w:t>rova 13, 700 30 Ostrava-V</w:t>
      </w:r>
      <w:r w:rsidR="002D2E43">
        <w:t>ys</w:t>
      </w:r>
      <w:r>
        <w:t>kovice</w:t>
      </w:r>
      <w:r w:rsidRPr="00E557F4">
        <w:t>, Czech Republic</w:t>
      </w:r>
    </w:p>
    <w:p w14:paraId="7BF69E7D" w14:textId="44A71E1C" w:rsidR="00164362" w:rsidRDefault="00164362" w:rsidP="00AC46AC">
      <w:pPr>
        <w:pStyle w:val="CETAddress"/>
        <w:jc w:val="both"/>
      </w:pPr>
      <w:r w:rsidRPr="00B57B36">
        <w:rPr>
          <w:vertAlign w:val="superscript"/>
        </w:rPr>
        <w:t>b</w:t>
      </w:r>
      <w:r w:rsidRPr="00E557F4">
        <w:t>Department of Chemistry and Physico-Chemical Processes, Faculty of Materials Science and Technology, V</w:t>
      </w:r>
      <w:r w:rsidR="002D2E43">
        <w:t>S</w:t>
      </w:r>
      <w:r w:rsidRPr="00E557F4">
        <w:t>B-Technical</w:t>
      </w:r>
      <w:r w:rsidR="00AC46AC">
        <w:t xml:space="preserve"> </w:t>
      </w:r>
      <w:r w:rsidRPr="00E557F4">
        <w:t>University of Ostrava, 17. listopadu 2172/15, 708 00 Ostrava-Poruba, Czech Republic</w:t>
      </w:r>
    </w:p>
    <w:p w14:paraId="3797D39E" w14:textId="77777777" w:rsidR="00D5784F" w:rsidRDefault="00D5784F" w:rsidP="00164362">
      <w:pPr>
        <w:pStyle w:val="CETAddress"/>
      </w:pPr>
    </w:p>
    <w:p w14:paraId="2CFBDA24" w14:textId="0068D85D" w:rsidR="00164362" w:rsidRDefault="00164362" w:rsidP="00164362">
      <w:pPr>
        <w:pStyle w:val="CETAddress"/>
      </w:pPr>
      <w:r>
        <w:t>jan.slany@vsb.cz</w:t>
      </w:r>
    </w:p>
    <w:p w14:paraId="0B5ED3F2" w14:textId="77777777" w:rsidR="00164362" w:rsidRDefault="00164362" w:rsidP="00164362">
      <w:pPr>
        <w:pStyle w:val="CETAddress"/>
      </w:pPr>
    </w:p>
    <w:p w14:paraId="7E7EE1A7" w14:textId="37254513" w:rsidR="00FE12DA" w:rsidRDefault="00404076" w:rsidP="00600535">
      <w:pPr>
        <w:pStyle w:val="CETBodytext"/>
        <w:rPr>
          <w:lang w:val="en-GB"/>
        </w:rPr>
      </w:pPr>
      <w:r w:rsidRPr="00404076">
        <w:rPr>
          <w:lang w:val="en-GB"/>
        </w:rPr>
        <w:t xml:space="preserve">In recent years, the </w:t>
      </w:r>
      <w:r w:rsidR="006A0F48" w:rsidRPr="00404076">
        <w:rPr>
          <w:lang w:val="en-GB"/>
        </w:rPr>
        <w:t>occurrence</w:t>
      </w:r>
      <w:r w:rsidRPr="00404076">
        <w:rPr>
          <w:lang w:val="en-GB"/>
        </w:rPr>
        <w:t xml:space="preserve"> of nanotextiles has increased due to the Covid-19 situation all around the world. Nanotextiles are being used in form of face masks and respirators, which are the source of environmental pollution with nanoparticles. The goal of this contribution is to perform ecotoxicological tests according to European standards and Czech legislation. Firstly, nonwovens are briefly described, and a small planktonic crustacean (</w:t>
      </w:r>
      <w:r w:rsidRPr="00E557F4">
        <w:rPr>
          <w:i/>
          <w:lang w:val="en-GB"/>
        </w:rPr>
        <w:t>Daphnia magna</w:t>
      </w:r>
      <w:r w:rsidR="00977E63">
        <w:rPr>
          <w:lang w:val="en-GB"/>
        </w:rPr>
        <w:t xml:space="preserve"> S.</w:t>
      </w:r>
      <w:r w:rsidRPr="00404076">
        <w:rPr>
          <w:lang w:val="en-GB"/>
        </w:rPr>
        <w:t>) is introduced. The second part is focused on the experiments themselves and their results. In all cases, the tested nanotextiles had a non-toxic effect on the organisms, but a reaction could be seen. Further tests will be performed to explain and specify the effects.</w:t>
      </w:r>
    </w:p>
    <w:p w14:paraId="40EAB6CB" w14:textId="6CF2679D" w:rsidR="00935D5E" w:rsidRPr="00E557F4" w:rsidRDefault="00600535" w:rsidP="00E557F4">
      <w:pPr>
        <w:pStyle w:val="CETHeading1"/>
      </w:pPr>
      <w:r w:rsidRPr="00E557F4">
        <w:t>Introduction</w:t>
      </w:r>
    </w:p>
    <w:p w14:paraId="6AEEE930" w14:textId="3A5F22B3" w:rsidR="001935BB" w:rsidRDefault="007748D1" w:rsidP="001935BB">
      <w:pPr>
        <w:pStyle w:val="CETBodytext"/>
        <w:rPr>
          <w:lang w:val="en-GB"/>
        </w:rPr>
      </w:pPr>
      <w:r w:rsidRPr="007748D1">
        <w:rPr>
          <w:lang w:val="en-GB"/>
        </w:rPr>
        <w:t>The presence of nanoparticles and microparticles in waters across the world is an indisputable fact that has recently been increasingly demonstrated through various research and studies</w:t>
      </w:r>
      <w:r w:rsidR="001B35A2">
        <w:rPr>
          <w:lang w:val="en-GB"/>
        </w:rPr>
        <w:t xml:space="preserve"> </w:t>
      </w:r>
      <w:r w:rsidR="001B35A2" w:rsidRPr="0057158F">
        <w:rPr>
          <w:lang w:val="en-GB"/>
        </w:rPr>
        <w:t>(</w:t>
      </w:r>
      <w:r w:rsidR="001568E4" w:rsidRPr="00896955">
        <w:t>Klaine</w:t>
      </w:r>
      <w:r w:rsidR="001568E4" w:rsidRPr="003253FB">
        <w:t xml:space="preserve"> </w:t>
      </w:r>
      <w:r w:rsidR="001568E4">
        <w:t xml:space="preserve">et al., 2008; </w:t>
      </w:r>
      <w:r w:rsidR="001568E4" w:rsidRPr="00896955">
        <w:t>Farr</w:t>
      </w:r>
      <w:r w:rsidR="002F7496">
        <w:t>e</w:t>
      </w:r>
      <w:r w:rsidR="001568E4" w:rsidRPr="003253FB">
        <w:t xml:space="preserve"> </w:t>
      </w:r>
      <w:r w:rsidR="001568E4">
        <w:t xml:space="preserve">et al., 2009; </w:t>
      </w:r>
      <w:r w:rsidR="007354F9" w:rsidRPr="000A16E7">
        <w:t>Bhatt</w:t>
      </w:r>
      <w:r w:rsidR="007354F9">
        <w:t xml:space="preserve"> and </w:t>
      </w:r>
      <w:r w:rsidR="007354F9" w:rsidRPr="000A16E7">
        <w:t>Tripathi</w:t>
      </w:r>
      <w:r w:rsidR="007354F9">
        <w:t>, 2011;</w:t>
      </w:r>
      <w:r w:rsidR="007354F9" w:rsidRPr="003253FB">
        <w:t xml:space="preserve"> </w:t>
      </w:r>
      <w:r w:rsidR="004050F6" w:rsidRPr="003724C2">
        <w:t>Sovov</w:t>
      </w:r>
      <w:r w:rsidR="002F7496">
        <w:t>a</w:t>
      </w:r>
      <w:r w:rsidR="004050F6" w:rsidRPr="003253FB">
        <w:t xml:space="preserve"> </w:t>
      </w:r>
      <w:r w:rsidR="004050F6">
        <w:t>and Ko</w:t>
      </w:r>
      <w:r w:rsidR="002F7496">
        <w:t>ci</w:t>
      </w:r>
      <w:r w:rsidR="004050F6">
        <w:t xml:space="preserve">, 2012; </w:t>
      </w:r>
      <w:r w:rsidR="001568E4" w:rsidRPr="003253FB">
        <w:t>Novotna</w:t>
      </w:r>
      <w:r w:rsidR="001568E4" w:rsidRPr="0057158F">
        <w:rPr>
          <w:lang w:val="en-GB"/>
        </w:rPr>
        <w:t xml:space="preserve"> </w:t>
      </w:r>
      <w:r w:rsidR="001568E4">
        <w:rPr>
          <w:lang w:val="en-GB"/>
        </w:rPr>
        <w:t xml:space="preserve">et al., 2019; </w:t>
      </w:r>
      <w:r w:rsidR="001B35A2" w:rsidRPr="0057158F">
        <w:rPr>
          <w:lang w:val="en-GB"/>
        </w:rPr>
        <w:t>Gerritse et al., 2020</w:t>
      </w:r>
      <w:r w:rsidR="001B35A2">
        <w:rPr>
          <w:lang w:val="en-GB"/>
        </w:rPr>
        <w:t>;</w:t>
      </w:r>
      <w:r w:rsidR="00E15BD5">
        <w:rPr>
          <w:lang w:val="en-GB"/>
        </w:rPr>
        <w:t xml:space="preserve"> </w:t>
      </w:r>
      <w:r w:rsidR="00E15BD5" w:rsidRPr="003724C2">
        <w:t>Kögel</w:t>
      </w:r>
      <w:r w:rsidR="00E15BD5">
        <w:t xml:space="preserve"> et al., 2020; </w:t>
      </w:r>
      <w:r w:rsidR="001B35A2" w:rsidRPr="0057158F">
        <w:rPr>
          <w:lang w:val="en-GB"/>
        </w:rPr>
        <w:t>Pirsahe</w:t>
      </w:r>
      <w:r w:rsidR="001568E4">
        <w:rPr>
          <w:lang w:val="en-GB"/>
        </w:rPr>
        <w:t>r</w:t>
      </w:r>
      <w:r w:rsidR="001B35A2" w:rsidRPr="0057158F">
        <w:rPr>
          <w:lang w:val="en-GB"/>
        </w:rPr>
        <w:t xml:space="preserve"> et al., 2020</w:t>
      </w:r>
      <w:r w:rsidR="001B35A2">
        <w:rPr>
          <w:lang w:val="en-GB"/>
        </w:rPr>
        <w:t xml:space="preserve">; </w:t>
      </w:r>
      <w:r w:rsidR="001568E4" w:rsidRPr="003253FB">
        <w:t>Pivokonsk</w:t>
      </w:r>
      <w:r w:rsidR="002F7496">
        <w:t>y</w:t>
      </w:r>
      <w:r w:rsidR="001568E4" w:rsidRPr="005F5524">
        <w:t xml:space="preserve"> </w:t>
      </w:r>
      <w:r w:rsidR="001568E4">
        <w:t xml:space="preserve">et al., 2020; </w:t>
      </w:r>
      <w:r w:rsidR="001568E4" w:rsidRPr="005F5524">
        <w:t>Brewer</w:t>
      </w:r>
      <w:r w:rsidR="001568E4" w:rsidRPr="0057158F">
        <w:rPr>
          <w:lang w:val="en-GB"/>
        </w:rPr>
        <w:t xml:space="preserve"> </w:t>
      </w:r>
      <w:r w:rsidR="001568E4">
        <w:rPr>
          <w:lang w:val="en-GB"/>
        </w:rPr>
        <w:t xml:space="preserve">et al, 2021; </w:t>
      </w:r>
      <w:r w:rsidR="00E15BD5" w:rsidRPr="003724C2">
        <w:t>Martínez</w:t>
      </w:r>
      <w:r w:rsidR="00E15BD5" w:rsidRPr="0057158F">
        <w:rPr>
          <w:lang w:val="en-GB"/>
        </w:rPr>
        <w:t xml:space="preserve"> </w:t>
      </w:r>
      <w:r w:rsidR="00E15BD5">
        <w:rPr>
          <w:lang w:val="en-GB"/>
        </w:rPr>
        <w:t xml:space="preserve">et al., 2021; </w:t>
      </w:r>
      <w:r w:rsidR="008B4819" w:rsidRPr="0057158F">
        <w:rPr>
          <w:lang w:val="en-GB"/>
        </w:rPr>
        <w:t>Waymana and Niemann, 2021).</w:t>
      </w:r>
      <w:r w:rsidR="007B0399">
        <w:rPr>
          <w:lang w:val="en-GB"/>
        </w:rPr>
        <w:t xml:space="preserve"> </w:t>
      </w:r>
      <w:r w:rsidR="001935BB" w:rsidRPr="001935BB">
        <w:rPr>
          <w:lang w:val="en-GB"/>
        </w:rPr>
        <w:t xml:space="preserve">The transfer of these particles to aquatic environments is usually caused by pollution from various plastic wastes. One example is the release of nanoparticles and microparticles from face masks or respirators, the use of which has increased exponentially in the last two years. These respiratory protective devices consist of non-woven fabrics made up of </w:t>
      </w:r>
      <w:r w:rsidR="005D5B5A" w:rsidRPr="001935BB">
        <w:rPr>
          <w:lang w:val="en-GB"/>
        </w:rPr>
        <w:t>f</w:t>
      </w:r>
      <w:r w:rsidR="005D5B5A">
        <w:rPr>
          <w:lang w:val="en-GB"/>
        </w:rPr>
        <w:t>ibres, which</w:t>
      </w:r>
      <w:r w:rsidR="00F33B85">
        <w:rPr>
          <w:lang w:val="en-GB"/>
        </w:rPr>
        <w:t xml:space="preserve"> are </w:t>
      </w:r>
      <w:r w:rsidR="00E33F28">
        <w:rPr>
          <w:lang w:val="en-GB"/>
        </w:rPr>
        <w:t>nanometre</w:t>
      </w:r>
      <w:r w:rsidR="00F33B85">
        <w:rPr>
          <w:lang w:val="en-GB"/>
        </w:rPr>
        <w:t>-sized</w:t>
      </w:r>
      <w:r w:rsidR="001935BB" w:rsidRPr="001935BB">
        <w:rPr>
          <w:lang w:val="en-GB"/>
        </w:rPr>
        <w:t xml:space="preserve">. Of course, water pollution also affects the organisms that live in the environment. Studies have so far focused mainly on carrying out ecotoxicity tests that are proven and internationally recognised, but at the same time the emphasis is on simple and inexpensive implementation. These types of ecotoxicity tests include mainly international standards and legislatively recognised tests in individual countries. For the purpose of this study, the crustacean </w:t>
      </w:r>
      <w:r w:rsidR="001935BB" w:rsidRPr="00F5162E">
        <w:rPr>
          <w:i/>
          <w:lang w:val="en-GB"/>
        </w:rPr>
        <w:t>Daphnia magna</w:t>
      </w:r>
      <w:r w:rsidR="001935BB" w:rsidRPr="001935BB">
        <w:rPr>
          <w:lang w:val="en-GB"/>
        </w:rPr>
        <w:t xml:space="preserve"> </w:t>
      </w:r>
      <w:r w:rsidR="00F77830">
        <w:rPr>
          <w:lang w:val="en-GB"/>
        </w:rPr>
        <w:t xml:space="preserve">S. </w:t>
      </w:r>
      <w:r w:rsidR="001935BB" w:rsidRPr="001935BB">
        <w:rPr>
          <w:lang w:val="en-GB"/>
        </w:rPr>
        <w:t>was selected.</w:t>
      </w:r>
    </w:p>
    <w:p w14:paraId="6EC30943" w14:textId="60543E83" w:rsidR="00A45A65" w:rsidRPr="000D43FF" w:rsidRDefault="00A45A65" w:rsidP="001935BB">
      <w:pPr>
        <w:pStyle w:val="CETBodytext"/>
      </w:pPr>
      <w:r>
        <w:t>The use of d</w:t>
      </w:r>
      <w:r w:rsidRPr="00677B48">
        <w:t>aphnia</w:t>
      </w:r>
      <w:r>
        <w:t>’s</w:t>
      </w:r>
      <w:r w:rsidRPr="00677B48">
        <w:t xml:space="preserve"> in ecotoxicity tests is mainly based on the fact that they are very sensitive to environmental influences and at the same time relatively easy to breed. </w:t>
      </w:r>
      <w:r w:rsidR="000D43FF" w:rsidRPr="009C1E1B">
        <w:t>During breeding, it is necessary to monitor</w:t>
      </w:r>
      <w:r w:rsidR="000D43FF">
        <w:t xml:space="preserve"> the daphnia’s</w:t>
      </w:r>
      <w:r w:rsidR="000D43FF" w:rsidRPr="009C1E1B">
        <w:t xml:space="preserve"> by monitoring the total number of individuals, their age, the composition of the population (here the focus is on the number of new births), the activity of the colony (whether the individual</w:t>
      </w:r>
      <w:r w:rsidR="000D43FF">
        <w:t>s show mobility and in what way</w:t>
      </w:r>
      <w:r w:rsidR="000D43FF" w:rsidRPr="009C1E1B">
        <w:t>) and its appearance (the more transpa</w:t>
      </w:r>
      <w:r w:rsidR="000D43FF">
        <w:t>rent the body of the daphnia’s</w:t>
      </w:r>
      <w:r w:rsidR="000D43FF" w:rsidRPr="009C1E1B">
        <w:t>, the worse condition it is in</w:t>
      </w:r>
      <w:r w:rsidR="000D43FF">
        <w:t xml:space="preserve"> (CSN EN ISO 6341, 1997; OECD 202, 2004). </w:t>
      </w:r>
      <w:r>
        <w:t>The advantages</w:t>
      </w:r>
      <w:r w:rsidRPr="00677B48">
        <w:t xml:space="preserve"> are certainly the ease of handlin</w:t>
      </w:r>
      <w:r>
        <w:t>g, there are a large number of d</w:t>
      </w:r>
      <w:r w:rsidRPr="00677B48">
        <w:t>aphnia</w:t>
      </w:r>
      <w:r>
        <w:t>’s</w:t>
      </w:r>
      <w:r w:rsidRPr="00677B48">
        <w:t xml:space="preserve"> in a colony, so it is not a problem to select suitable individuals for testing in large numbers, and at the same time it is easy to tell from the colouration </w:t>
      </w:r>
      <w:r>
        <w:t>and transparency of the d</w:t>
      </w:r>
      <w:r w:rsidRPr="00677B48">
        <w:t>aphnia</w:t>
      </w:r>
      <w:r>
        <w:t>’s</w:t>
      </w:r>
      <w:r w:rsidRPr="00677B48">
        <w:t xml:space="preserve"> what condition they are in. Another indisputable advantage is that this organism is capable of very rapid reproduction</w:t>
      </w:r>
      <w:r>
        <w:t xml:space="preserve"> (CSN EN ISO 6341, 1997; OECD 202, 2004).</w:t>
      </w:r>
    </w:p>
    <w:p w14:paraId="6A74C39B" w14:textId="77777777" w:rsidR="001935BB" w:rsidRPr="001935BB" w:rsidRDefault="001935BB" w:rsidP="001935BB">
      <w:pPr>
        <w:pStyle w:val="CETBodytext"/>
        <w:rPr>
          <w:lang w:val="en-GB"/>
        </w:rPr>
      </w:pPr>
    </w:p>
    <w:p w14:paraId="61A9B77A" w14:textId="2794C5EF" w:rsidR="00600535" w:rsidRPr="0057158F" w:rsidRDefault="002F7A2D" w:rsidP="00B2717D">
      <w:pPr>
        <w:pStyle w:val="CETheadingx"/>
      </w:pPr>
      <w:r>
        <w:lastRenderedPageBreak/>
        <w:t>Nonwovens</w:t>
      </w:r>
    </w:p>
    <w:p w14:paraId="17DD671D" w14:textId="24A7E683" w:rsidR="003C6674" w:rsidRPr="00355741" w:rsidRDefault="00B84CD1" w:rsidP="00A169C5">
      <w:pPr>
        <w:pStyle w:val="CETBodytext"/>
        <w:rPr>
          <w:lang w:val="en-GB"/>
        </w:rPr>
      </w:pPr>
      <w:r w:rsidRPr="00B84CD1">
        <w:rPr>
          <w:lang w:val="en-GB"/>
        </w:rPr>
        <w:t>Nonwovens are still among the materials whose properties have not been thoroughly investigated. Although there is no denying that efforts are being made to prevent the release of micro</w:t>
      </w:r>
      <w:r w:rsidR="00A032A1">
        <w:rPr>
          <w:lang w:val="en-GB"/>
        </w:rPr>
        <w:t>particles</w:t>
      </w:r>
      <w:r w:rsidRPr="00B84CD1">
        <w:rPr>
          <w:lang w:val="en-GB"/>
        </w:rPr>
        <w:t xml:space="preserve"> and nanoparticles into the environment, release does occur and at four stages of preparation</w:t>
      </w:r>
      <w:r w:rsidR="00A032A1">
        <w:rPr>
          <w:lang w:val="en-GB"/>
        </w:rPr>
        <w:t>,</w:t>
      </w:r>
      <w:r w:rsidRPr="00B84CD1">
        <w:rPr>
          <w:lang w:val="en-GB"/>
        </w:rPr>
        <w:t xml:space="preserve"> </w:t>
      </w:r>
      <w:r w:rsidR="00A032A1">
        <w:rPr>
          <w:lang w:val="en-GB"/>
        </w:rPr>
        <w:t xml:space="preserve">i) </w:t>
      </w:r>
      <w:r w:rsidRPr="00B84CD1">
        <w:rPr>
          <w:lang w:val="en-GB"/>
        </w:rPr>
        <w:t xml:space="preserve">during the production of the materials, </w:t>
      </w:r>
      <w:r w:rsidR="00A032A1">
        <w:rPr>
          <w:lang w:val="en-GB"/>
        </w:rPr>
        <w:t xml:space="preserve">ii) </w:t>
      </w:r>
      <w:r w:rsidRPr="00B84CD1">
        <w:rPr>
          <w:lang w:val="en-GB"/>
        </w:rPr>
        <w:t xml:space="preserve">during their processing, </w:t>
      </w:r>
      <w:r w:rsidR="00A032A1">
        <w:rPr>
          <w:lang w:val="en-GB"/>
        </w:rPr>
        <w:t xml:space="preserve">iii) </w:t>
      </w:r>
      <w:r w:rsidRPr="00B84CD1">
        <w:rPr>
          <w:lang w:val="en-GB"/>
        </w:rPr>
        <w:t xml:space="preserve">during use or </w:t>
      </w:r>
      <w:r w:rsidR="00A032A1">
        <w:rPr>
          <w:lang w:val="en-GB"/>
        </w:rPr>
        <w:t xml:space="preserve">iiii) </w:t>
      </w:r>
      <w:r w:rsidRPr="00B84CD1">
        <w:rPr>
          <w:lang w:val="en-GB"/>
        </w:rPr>
        <w:t>during the disposal of</w:t>
      </w:r>
      <w:r>
        <w:rPr>
          <w:lang w:val="en-GB"/>
        </w:rPr>
        <w:t xml:space="preserve"> used textiles. The</w:t>
      </w:r>
      <w:r w:rsidRPr="00B84CD1">
        <w:rPr>
          <w:lang w:val="en-GB"/>
        </w:rPr>
        <w:t xml:space="preserve"> release </w:t>
      </w:r>
      <w:r>
        <w:rPr>
          <w:lang w:val="en-GB"/>
        </w:rPr>
        <w:t xml:space="preserve">technically </w:t>
      </w:r>
      <w:r w:rsidRPr="00B84CD1">
        <w:rPr>
          <w:lang w:val="en-GB"/>
        </w:rPr>
        <w:t>occurs throug</w:t>
      </w:r>
      <w:r>
        <w:rPr>
          <w:lang w:val="en-GB"/>
        </w:rPr>
        <w:t>hout the life cycle of the face mask</w:t>
      </w:r>
      <w:r w:rsidRPr="00B84CD1">
        <w:rPr>
          <w:lang w:val="en-GB"/>
        </w:rPr>
        <w:t>/respirator (Roupcov</w:t>
      </w:r>
      <w:r w:rsidR="007F24F8">
        <w:rPr>
          <w:lang w:val="en-GB"/>
        </w:rPr>
        <w:t>a</w:t>
      </w:r>
      <w:r w:rsidRPr="00B84CD1">
        <w:rPr>
          <w:lang w:val="en-GB"/>
        </w:rPr>
        <w:t xml:space="preserve"> et al., 2021). The toxicity of such released particles has already been addressed in several studies, whereby the toxic effect of polystyrene and polyethylene has been tested, using invertebrates, specifically bivalves and crustaceans, as test organisms.</w:t>
      </w:r>
      <w:r>
        <w:rPr>
          <w:lang w:val="en-GB"/>
        </w:rPr>
        <w:t xml:space="preserve"> </w:t>
      </w:r>
      <w:r w:rsidRPr="00B2717D">
        <w:rPr>
          <w:lang w:val="en-GB"/>
        </w:rPr>
        <w:t xml:space="preserve">Exposure of the nematode </w:t>
      </w:r>
      <w:r w:rsidRPr="00F5162E">
        <w:rPr>
          <w:i/>
          <w:lang w:val="en-GB"/>
        </w:rPr>
        <w:t>Caenorhabditis elegans</w:t>
      </w:r>
      <w:r w:rsidRPr="00B2717D">
        <w:rPr>
          <w:lang w:val="en-GB"/>
        </w:rPr>
        <w:t xml:space="preserve"> to five different sizes of spherical polystyrene (PS) microplastics, (0.1 to 5 μm) with a concentration in the medium (1 mg/L) resulted in </w:t>
      </w:r>
      <w:r w:rsidR="006C2D66">
        <w:rPr>
          <w:lang w:val="en-GB"/>
        </w:rPr>
        <w:t>e</w:t>
      </w:r>
      <w:r w:rsidR="006C2D66" w:rsidRPr="00B2717D">
        <w:rPr>
          <w:lang w:val="en-GB"/>
        </w:rPr>
        <w:t>c</w:t>
      </w:r>
      <w:r w:rsidR="006C2D66">
        <w:rPr>
          <w:lang w:val="en-GB"/>
        </w:rPr>
        <w:t>o</w:t>
      </w:r>
      <w:r w:rsidR="006C2D66" w:rsidRPr="00B2717D">
        <w:rPr>
          <w:lang w:val="en-GB"/>
        </w:rPr>
        <w:t>toxicity</w:t>
      </w:r>
      <w:r w:rsidRPr="00B2717D">
        <w:rPr>
          <w:lang w:val="en-GB"/>
        </w:rPr>
        <w:t xml:space="preserve"> on locomotion/motor behaviour, reduced survival rates and decreased life expectancy, particularly after exposure to 1.0 μm polystyrene particles. Furthermore, the expression of various neuronal genes was affected, which coincided with impaired cholinergic and GABAerg</w:t>
      </w:r>
      <w:r>
        <w:rPr>
          <w:lang w:val="en-GB"/>
        </w:rPr>
        <w:t xml:space="preserve">ic neurons and oxidative stress </w:t>
      </w:r>
      <w:r w:rsidRPr="00B455FB">
        <w:rPr>
          <w:color w:val="000000" w:themeColor="text1"/>
          <w:lang w:val="en-GB"/>
        </w:rPr>
        <w:t>(</w:t>
      </w:r>
      <w:r>
        <w:rPr>
          <w:color w:val="000000" w:themeColor="text1"/>
          <w:lang w:val="en-GB"/>
        </w:rPr>
        <w:t>Lei</w:t>
      </w:r>
      <w:r w:rsidRPr="00B455FB">
        <w:rPr>
          <w:color w:val="000000" w:themeColor="text1"/>
          <w:lang w:val="en-GB"/>
        </w:rPr>
        <w:t xml:space="preserve"> et al., 20</w:t>
      </w:r>
      <w:r>
        <w:rPr>
          <w:color w:val="000000" w:themeColor="text1"/>
          <w:lang w:val="en-GB"/>
        </w:rPr>
        <w:t>18</w:t>
      </w:r>
      <w:r w:rsidR="00BD4ED2">
        <w:rPr>
          <w:color w:val="000000" w:themeColor="text1"/>
          <w:lang w:val="en-GB"/>
        </w:rPr>
        <w:t xml:space="preserve">; </w:t>
      </w:r>
      <w:r w:rsidR="00BD4ED2" w:rsidRPr="003724C2">
        <w:t>Sullivan</w:t>
      </w:r>
      <w:r w:rsidR="00BD4ED2">
        <w:t xml:space="preserve"> et al., 2021</w:t>
      </w:r>
      <w:r>
        <w:rPr>
          <w:color w:val="000000" w:themeColor="text1"/>
          <w:lang w:val="en-GB"/>
        </w:rPr>
        <w:t xml:space="preserve">). </w:t>
      </w:r>
      <w:r w:rsidR="005D5B5A" w:rsidRPr="005D5B5A">
        <w:rPr>
          <w:lang w:val="en-GB"/>
        </w:rPr>
        <w:t>Three specific types of materials have been selected for use in the tests, all of which are personal protective equipment that was widely used during the Covid-19 pandemic.</w:t>
      </w:r>
    </w:p>
    <w:p w14:paraId="5741900F" w14:textId="586D66E0" w:rsidR="00453E24" w:rsidRDefault="00447E9A" w:rsidP="00453E24">
      <w:pPr>
        <w:pStyle w:val="CETHeading1"/>
      </w:pPr>
      <w:r>
        <w:t>Experimental part</w:t>
      </w:r>
    </w:p>
    <w:p w14:paraId="485284F9" w14:textId="59C07F5D" w:rsidR="00FB6F27" w:rsidRPr="00EC056C" w:rsidRDefault="005D5B5A" w:rsidP="00EC056C">
      <w:pPr>
        <w:pStyle w:val="CETBodytext"/>
        <w:rPr>
          <w:lang w:val="en-GB"/>
        </w:rPr>
      </w:pPr>
      <w:r w:rsidRPr="005D5B5A">
        <w:rPr>
          <w:lang w:val="en-GB"/>
        </w:rPr>
        <w:t xml:space="preserve">The experimental part first deals with a detailed description of the tested materials and their specifications. The last and most extensive section focuses on a detailed description of the </w:t>
      </w:r>
      <w:r w:rsidRPr="00F5162E">
        <w:rPr>
          <w:i/>
          <w:lang w:val="en-GB"/>
        </w:rPr>
        <w:t>Daphnia magna</w:t>
      </w:r>
      <w:r w:rsidRPr="005D5B5A">
        <w:rPr>
          <w:lang w:val="en-GB"/>
        </w:rPr>
        <w:t xml:space="preserve"> test organisms, a description of the experiments performed, their results and subsequent discussion.</w:t>
      </w:r>
    </w:p>
    <w:p w14:paraId="677EBFF0" w14:textId="408540A8" w:rsidR="00600535" w:rsidRPr="00B57B36" w:rsidRDefault="00220037" w:rsidP="00220037">
      <w:pPr>
        <w:pStyle w:val="CETheadingx"/>
      </w:pPr>
      <w:r>
        <w:t>Specification of non-woven textiles</w:t>
      </w:r>
    </w:p>
    <w:p w14:paraId="7B2CA322" w14:textId="02A03F6C" w:rsidR="00600535" w:rsidRDefault="00C9225B" w:rsidP="00896A2E">
      <w:pPr>
        <w:pStyle w:val="CETBodytext"/>
        <w:rPr>
          <w:lang w:val="en-GB"/>
        </w:rPr>
      </w:pPr>
      <w:r w:rsidRPr="00C9225B">
        <w:rPr>
          <w:lang w:val="en-GB"/>
        </w:rPr>
        <w:t xml:space="preserve">As mentioned above, only personal </w:t>
      </w:r>
      <w:r w:rsidR="00AD438D">
        <w:rPr>
          <w:lang w:val="en-GB"/>
        </w:rPr>
        <w:t>protective equipment used</w:t>
      </w:r>
      <w:r w:rsidRPr="00C9225B">
        <w:rPr>
          <w:lang w:val="en-GB"/>
        </w:rPr>
        <w:t xml:space="preserve"> to protect the respiratory tract</w:t>
      </w:r>
      <w:r w:rsidR="00AD438D">
        <w:rPr>
          <w:lang w:val="en-GB"/>
        </w:rPr>
        <w:t xml:space="preserve"> was tested, namely</w:t>
      </w:r>
      <w:r w:rsidRPr="00C9225B">
        <w:rPr>
          <w:lang w:val="en-GB"/>
        </w:rPr>
        <w:t xml:space="preserve"> unlaminated PP-PVDF (polyvinyldenfluoride laminated on one side with polypropylene), PP-PVDF-PP (it is a similar material to the first mentioned, only with the difference that this time it is laminated on both sides). Both materials are used for the production of respirators. The last material tested is Nanovia, which was commonly used during the Covid-19 pandemic.</w:t>
      </w:r>
    </w:p>
    <w:p w14:paraId="36F121D6" w14:textId="6165BE86" w:rsidR="001267FF" w:rsidRDefault="00EE539F" w:rsidP="003A1D39">
      <w:pPr>
        <w:pStyle w:val="CETheadingx"/>
      </w:pPr>
      <w:r>
        <w:t>Sele</w:t>
      </w:r>
      <w:bookmarkStart w:id="0" w:name="_GoBack"/>
      <w:bookmarkEnd w:id="0"/>
      <w:r>
        <w:t>cted ecotoxicological method</w:t>
      </w:r>
      <w:r w:rsidR="00C741F9">
        <w:t xml:space="preserve"> – </w:t>
      </w:r>
      <w:r w:rsidR="00C741F9" w:rsidRPr="00C741F9">
        <w:t>Acute immobilisation test for Daphnia magna</w:t>
      </w:r>
      <w:r w:rsidR="00203F3B">
        <w:t xml:space="preserve"> </w:t>
      </w:r>
      <w:r w:rsidR="00203F3B">
        <w:rPr>
          <w:b w:val="0"/>
          <w:i w:val="0"/>
        </w:rPr>
        <w:t>S.</w:t>
      </w:r>
    </w:p>
    <w:p w14:paraId="2DBF5789" w14:textId="45B69E9E" w:rsidR="00676F42" w:rsidRDefault="001A1DE0" w:rsidP="0000121B">
      <w:pPr>
        <w:pStyle w:val="CETBodytext"/>
      </w:pPr>
      <w:r>
        <w:t xml:space="preserve">When keeping </w:t>
      </w:r>
      <w:r w:rsidR="00E7712D">
        <w:t>d</w:t>
      </w:r>
      <w:r w:rsidR="00E7712D" w:rsidRPr="00150130">
        <w:t>aphnia</w:t>
      </w:r>
      <w:r w:rsidR="00E7712D">
        <w:t>’s</w:t>
      </w:r>
      <w:r w:rsidR="00150130" w:rsidRPr="00150130">
        <w:t xml:space="preserve"> for laboratory testing, it is necessary to observe precisely defined conditions, i.e. the temperature should not exceed 26 °C and ideally, they should be kept in cooler rooms. A</w:t>
      </w:r>
      <w:r>
        <w:t xml:space="preserve"> further condition is that the </w:t>
      </w:r>
      <w:r w:rsidR="00E7712D">
        <w:t>d</w:t>
      </w:r>
      <w:r w:rsidR="00E7712D" w:rsidRPr="00150130">
        <w:t>aphnia</w:t>
      </w:r>
      <w:r w:rsidR="00E7712D">
        <w:t>’s</w:t>
      </w:r>
      <w:r w:rsidR="00150130" w:rsidRPr="00150130">
        <w:t xml:space="preserve"> are reared in the medium of choice, which can be either natural, in which case it would be wate</w:t>
      </w:r>
      <w:r w:rsidR="0068388B">
        <w:t xml:space="preserve">r from the tank from which the </w:t>
      </w:r>
      <w:r w:rsidR="00E7712D">
        <w:t>d</w:t>
      </w:r>
      <w:r w:rsidR="00E7712D" w:rsidRPr="00150130">
        <w:t>aphnia</w:t>
      </w:r>
      <w:r w:rsidR="00E7712D">
        <w:t>’s</w:t>
      </w:r>
      <w:r w:rsidR="00150130" w:rsidRPr="00150130">
        <w:t xml:space="preserve"> were fished, or laboratory prepared. In both cases, they must be treated with slight differences in order to ensure their maximum chance of survival. If natural media containing green algae is used, it is only necessary to filter the water and then remove a portion several times a week and add new media. When using laboratory prepared media, it is very important to pr</w:t>
      </w:r>
      <w:r>
        <w:t xml:space="preserve">ovide food for the </w:t>
      </w:r>
      <w:r w:rsidR="00D83CFF">
        <w:t>daphnia’s</w:t>
      </w:r>
      <w:r w:rsidR="00150130" w:rsidRPr="00150130">
        <w:t xml:space="preserve"> or they will die. Green algae can be used as a suitable food and can be culti</w:t>
      </w:r>
      <w:r>
        <w:t xml:space="preserve">vated in parallel with the </w:t>
      </w:r>
      <w:r w:rsidR="00D83CFF">
        <w:t>daphnia’s</w:t>
      </w:r>
      <w:r w:rsidR="00150130" w:rsidRPr="00150130">
        <w:t xml:space="preserve">. At the same time, it is advisable to set the </w:t>
      </w:r>
      <w:r w:rsidR="00135DC6">
        <w:t xml:space="preserve">light regime for the </w:t>
      </w:r>
      <w:r w:rsidR="00D83CFF">
        <w:t>daphnia’s</w:t>
      </w:r>
      <w:r w:rsidR="00150130" w:rsidRPr="00150130">
        <w:t xml:space="preserve"> to a conventional day regime so that they have 16 hours of light and 8 hours of darkness. They can be kept in any type of glass container (Figure 1), but the size of the container should be appropriate to the number of individuals it contains</w:t>
      </w:r>
      <w:r w:rsidR="00094D79">
        <w:t xml:space="preserve"> (</w:t>
      </w:r>
      <w:r w:rsidR="002D2E43">
        <w:t>C</w:t>
      </w:r>
      <w:r w:rsidR="006B4B62">
        <w:t>SN EN ISO 6341, 1997; OECD 202, 2004</w:t>
      </w:r>
      <w:r w:rsidR="00094D79">
        <w:t>)</w:t>
      </w:r>
      <w:r w:rsidR="00D83CFF">
        <w:t>.</w:t>
      </w:r>
    </w:p>
    <w:p w14:paraId="410B9726" w14:textId="77777777" w:rsidR="007F6DB3" w:rsidRDefault="007F6DB3" w:rsidP="008E0571">
      <w:pPr>
        <w:contextualSpacing/>
      </w:pPr>
    </w:p>
    <w:p w14:paraId="54B981E9" w14:textId="77777777" w:rsidR="006A195C" w:rsidRDefault="00A76169" w:rsidP="006A195C">
      <w:pPr>
        <w:contextualSpacing/>
        <w:jc w:val="center"/>
        <w:rPr>
          <w:noProof/>
          <w:lang w:val="cs-CZ" w:eastAsia="cs-CZ"/>
        </w:rPr>
      </w:pPr>
      <w:r>
        <w:rPr>
          <w:noProof/>
          <w:lang w:val="cs-CZ" w:eastAsia="cs-CZ"/>
        </w:rPr>
        <w:drawing>
          <wp:inline distT="0" distB="0" distL="0" distR="0" wp14:anchorId="4A67083E" wp14:editId="7A448FEF">
            <wp:extent cx="1422400" cy="1896533"/>
            <wp:effectExtent l="0" t="0" r="6350" b="8890"/>
            <wp:docPr id="2" name="Obrázek 2" descr="Obsah obrázku hrníček, nápoj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hrníček, nápoje&#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574" cy="1932765"/>
                    </a:xfrm>
                    <a:prstGeom prst="rect">
                      <a:avLst/>
                    </a:prstGeom>
                    <a:noFill/>
                    <a:ln>
                      <a:noFill/>
                    </a:ln>
                  </pic:spPr>
                </pic:pic>
              </a:graphicData>
            </a:graphic>
          </wp:inline>
        </w:drawing>
      </w:r>
      <w:r w:rsidR="009A6587">
        <w:rPr>
          <w:noProof/>
          <w:lang w:val="cs-CZ" w:eastAsia="cs-CZ"/>
        </w:rPr>
        <w:t xml:space="preserve"> </w:t>
      </w:r>
      <w:r w:rsidR="009A6587">
        <w:rPr>
          <w:noProof/>
          <w:lang w:val="cs-CZ" w:eastAsia="cs-CZ"/>
        </w:rPr>
        <w:drawing>
          <wp:inline distT="0" distB="0" distL="0" distR="0" wp14:anchorId="55995731" wp14:editId="54BBB81D">
            <wp:extent cx="2508250" cy="1871829"/>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3113" cy="1882921"/>
                    </a:xfrm>
                    <a:prstGeom prst="rect">
                      <a:avLst/>
                    </a:prstGeom>
                    <a:noFill/>
                    <a:ln>
                      <a:noFill/>
                    </a:ln>
                  </pic:spPr>
                </pic:pic>
              </a:graphicData>
            </a:graphic>
          </wp:inline>
        </w:drawing>
      </w:r>
    </w:p>
    <w:p w14:paraId="0C69452D" w14:textId="66187E7D" w:rsidR="004F2FBB" w:rsidRPr="006A195C" w:rsidRDefault="00A76169" w:rsidP="006A195C">
      <w:pPr>
        <w:contextualSpacing/>
        <w:jc w:val="left"/>
        <w:rPr>
          <w:i/>
          <w:iCs/>
        </w:rPr>
      </w:pPr>
      <w:r w:rsidRPr="006A195C">
        <w:rPr>
          <w:i/>
          <w:iCs/>
        </w:rPr>
        <w:t xml:space="preserve">Figure </w:t>
      </w:r>
      <w:r w:rsidRPr="006A195C">
        <w:rPr>
          <w:i/>
          <w:iCs/>
        </w:rPr>
        <w:fldChar w:fldCharType="begin"/>
      </w:r>
      <w:r w:rsidRPr="006A195C">
        <w:rPr>
          <w:i/>
          <w:iCs/>
        </w:rPr>
        <w:instrText xml:space="preserve"> SEQ Figure \* ARABIC </w:instrText>
      </w:r>
      <w:r w:rsidRPr="006A195C">
        <w:rPr>
          <w:i/>
          <w:iCs/>
        </w:rPr>
        <w:fldChar w:fldCharType="separate"/>
      </w:r>
      <w:r w:rsidRPr="006A195C">
        <w:rPr>
          <w:i/>
          <w:iCs/>
          <w:noProof/>
        </w:rPr>
        <w:t>1</w:t>
      </w:r>
      <w:r w:rsidRPr="006A195C">
        <w:rPr>
          <w:i/>
          <w:iCs/>
        </w:rPr>
        <w:fldChar w:fldCharType="end"/>
      </w:r>
      <w:r w:rsidRPr="006A195C">
        <w:rPr>
          <w:i/>
          <w:iCs/>
        </w:rPr>
        <w:t xml:space="preserve">: </w:t>
      </w:r>
      <w:r w:rsidR="00020C2E" w:rsidRPr="006A195C">
        <w:rPr>
          <w:i/>
          <w:iCs/>
          <w:lang w:bidi="en-US"/>
        </w:rPr>
        <w:t>T</w:t>
      </w:r>
      <w:r w:rsidR="001A1DE0" w:rsidRPr="006A195C">
        <w:rPr>
          <w:i/>
          <w:iCs/>
          <w:lang w:bidi="en-US"/>
        </w:rPr>
        <w:t>he picture on the left</w:t>
      </w:r>
      <w:r w:rsidR="00020C2E" w:rsidRPr="006A195C">
        <w:rPr>
          <w:i/>
          <w:iCs/>
          <w:lang w:bidi="en-US"/>
        </w:rPr>
        <w:t xml:space="preserve"> shows</w:t>
      </w:r>
      <w:r w:rsidR="001A1DE0" w:rsidRPr="006A195C">
        <w:rPr>
          <w:i/>
          <w:iCs/>
          <w:lang w:bidi="en-US"/>
        </w:rPr>
        <w:t xml:space="preserve"> a container holding </w:t>
      </w:r>
      <w:r w:rsidR="00D83CFF" w:rsidRPr="006A195C">
        <w:rPr>
          <w:i/>
          <w:iCs/>
          <w:lang w:bidi="en-US"/>
        </w:rPr>
        <w:t>daphnia’s</w:t>
      </w:r>
      <w:r w:rsidR="001A1DE0" w:rsidRPr="006A195C">
        <w:rPr>
          <w:i/>
          <w:iCs/>
          <w:lang w:bidi="en-US"/>
        </w:rPr>
        <w:t xml:space="preserve"> colonies, </w:t>
      </w:r>
      <w:r w:rsidR="00020C2E" w:rsidRPr="006A195C">
        <w:rPr>
          <w:i/>
          <w:iCs/>
          <w:lang w:bidi="en-US"/>
        </w:rPr>
        <w:t xml:space="preserve">the picture </w:t>
      </w:r>
      <w:r w:rsidR="001A1DE0" w:rsidRPr="006A195C">
        <w:rPr>
          <w:i/>
          <w:iCs/>
          <w:lang w:bidi="en-US"/>
        </w:rPr>
        <w:t xml:space="preserve">on the right </w:t>
      </w:r>
      <w:r w:rsidR="00020C2E" w:rsidRPr="006A195C">
        <w:rPr>
          <w:i/>
          <w:iCs/>
          <w:lang w:bidi="en-US"/>
        </w:rPr>
        <w:t xml:space="preserve">shows </w:t>
      </w:r>
      <w:r w:rsidR="001A1DE0" w:rsidRPr="006A195C">
        <w:rPr>
          <w:i/>
          <w:iCs/>
          <w:lang w:bidi="en-US"/>
        </w:rPr>
        <w:t xml:space="preserve">laboratory beakers with </w:t>
      </w:r>
      <w:r w:rsidR="00D83CFF" w:rsidRPr="006A195C">
        <w:rPr>
          <w:i/>
          <w:iCs/>
          <w:lang w:bidi="en-US"/>
        </w:rPr>
        <w:t>daphnia’s</w:t>
      </w:r>
      <w:r w:rsidR="001A1DE0" w:rsidRPr="006A195C">
        <w:rPr>
          <w:i/>
          <w:iCs/>
          <w:lang w:bidi="en-US"/>
        </w:rPr>
        <w:t xml:space="preserve"> before the start of testing.</w:t>
      </w:r>
    </w:p>
    <w:p w14:paraId="1715CA1C" w14:textId="234E5156" w:rsidR="004F2FBB" w:rsidRDefault="00CF05C0" w:rsidP="0000121B">
      <w:pPr>
        <w:pStyle w:val="CETBodytext"/>
      </w:pPr>
      <w:r w:rsidRPr="00CF05C0">
        <w:lastRenderedPageBreak/>
        <w:t xml:space="preserve">The chosen test is the acute immobilization test, the principle of which is to trace the immobilization of the tested </w:t>
      </w:r>
      <w:r w:rsidR="001C041B" w:rsidRPr="00CF05C0">
        <w:t>daphnia</w:t>
      </w:r>
      <w:r w:rsidR="001C041B">
        <w:t>’s</w:t>
      </w:r>
      <w:r w:rsidRPr="00CF05C0">
        <w:t xml:space="preserve"> in different concentrations of aqueous leachates</w:t>
      </w:r>
      <w:r w:rsidR="00203F3B">
        <w:t xml:space="preserve"> prepared according to </w:t>
      </w:r>
      <w:r w:rsidR="00D11464">
        <w:rPr>
          <w:bCs/>
        </w:rPr>
        <w:t>C</w:t>
      </w:r>
      <w:r w:rsidR="00203F3B" w:rsidRPr="006C2D66">
        <w:rPr>
          <w:bCs/>
        </w:rPr>
        <w:t>SN EN 12457-4 (838005), 2003</w:t>
      </w:r>
      <w:r w:rsidR="00203F3B">
        <w:t>,</w:t>
      </w:r>
      <w:r w:rsidRPr="00CF05C0">
        <w:t xml:space="preserve"> of the test substance for 24 and 48 hours. However, in addition to</w:t>
      </w:r>
      <w:r>
        <w:t xml:space="preserve"> the aqueous leachates tested, </w:t>
      </w:r>
      <w:r w:rsidR="001C041B">
        <w:t>d</w:t>
      </w:r>
      <w:r w:rsidR="001C041B" w:rsidRPr="00CF05C0">
        <w:t>aphnia</w:t>
      </w:r>
      <w:r w:rsidR="001C041B">
        <w:t>’s</w:t>
      </w:r>
      <w:r w:rsidRPr="00CF05C0">
        <w:t xml:space="preserve"> are also stocked into a dilution solution prepar</w:t>
      </w:r>
      <w:r>
        <w:t>ed from the chemicals in Table 1</w:t>
      </w:r>
      <w:r w:rsidRPr="00CF05C0">
        <w:t>. These control (or blank) samples subsequently serve as controls and are subject to special and stricter rules for the number of inhibited individuals allowed. For the test itself, it is necessary to select individuals that are less than 24 hours old, sinc</w:t>
      </w:r>
      <w:r w:rsidR="00D806AA">
        <w:t xml:space="preserve">e these young individuals </w:t>
      </w:r>
      <w:r w:rsidRPr="00CF05C0">
        <w:t xml:space="preserve">are most sensitive to the effects of the toxic substances in the effluents. The organisms must not be fed during the test, and it is for this reason that the maximum time interval for the duration of the test is 48 hours; longer testing would not give such accurate results, as the </w:t>
      </w:r>
      <w:r w:rsidR="00910889" w:rsidRPr="00CF05C0">
        <w:t>daphnia</w:t>
      </w:r>
      <w:r w:rsidR="00910889">
        <w:t>’s</w:t>
      </w:r>
      <w:r w:rsidRPr="00CF05C0">
        <w:t xml:space="preserve"> would not have enough of the necessary food. After 24 and then 48</w:t>
      </w:r>
      <w:r w:rsidR="00910889">
        <w:t> </w:t>
      </w:r>
      <w:r w:rsidRPr="00CF05C0">
        <w:t>hours, the rate of immobilisation or death of daphnia in both control and test samples is recorded. The values obtained are</w:t>
      </w:r>
      <w:r>
        <w:t xml:space="preserve"> then used to calculate the EC</w:t>
      </w:r>
      <w:r>
        <w:rPr>
          <w:vertAlign w:val="subscript"/>
        </w:rPr>
        <w:t>50</w:t>
      </w:r>
      <w:r w:rsidR="007D61B7">
        <w:t xml:space="preserve"> (</w:t>
      </w:r>
      <w:r w:rsidR="00D11464">
        <w:t>C</w:t>
      </w:r>
      <w:r w:rsidR="006B4B62">
        <w:t>SN EN ISO 6341, 1997; OECD 202, 2004</w:t>
      </w:r>
      <w:r w:rsidR="007D61B7">
        <w:t>)</w:t>
      </w:r>
      <w:r w:rsidR="00910889">
        <w:t>.</w:t>
      </w:r>
    </w:p>
    <w:p w14:paraId="37634442" w14:textId="763E70EA" w:rsidR="00135D43" w:rsidRDefault="00135D43" w:rsidP="008E0571">
      <w:pPr>
        <w:contextualSpacing/>
      </w:pPr>
    </w:p>
    <w:p w14:paraId="547EB226" w14:textId="566B63DD" w:rsidR="00135D43" w:rsidRDefault="00135D43" w:rsidP="008E0571">
      <w:pPr>
        <w:pStyle w:val="CETheadingx"/>
      </w:pPr>
      <w:r>
        <w:t>Preparation of the test</w:t>
      </w:r>
    </w:p>
    <w:p w14:paraId="0B6A4076" w14:textId="0E2DAC30" w:rsidR="000A3A39" w:rsidRDefault="002F4AA2" w:rsidP="0000121B">
      <w:pPr>
        <w:pStyle w:val="CETBodytext"/>
      </w:pPr>
      <w:r>
        <w:t>This acute immobilization test describes the standard</w:t>
      </w:r>
      <w:r w:rsidR="004A6285">
        <w:t xml:space="preserve"> </w:t>
      </w:r>
      <w:r w:rsidR="00D11464">
        <w:t>C</w:t>
      </w:r>
      <w:r w:rsidR="004A6285">
        <w:t xml:space="preserve">SN EN ISO 6341 – </w:t>
      </w:r>
      <w:r w:rsidR="008C48EE">
        <w:t>Water quality – Determination of the inhibition of the mobility</w:t>
      </w:r>
      <w:r w:rsidR="004A6285">
        <w:t xml:space="preserve"> </w:t>
      </w:r>
      <w:r w:rsidR="004A6285">
        <w:rPr>
          <w:i/>
          <w:iCs/>
        </w:rPr>
        <w:t xml:space="preserve">Daphnia magna </w:t>
      </w:r>
      <w:r w:rsidR="008C48EE">
        <w:t>Straus – Acute toxicity test</w:t>
      </w:r>
      <w:r w:rsidR="00E43C05">
        <w:t xml:space="preserve"> (</w:t>
      </w:r>
      <w:r w:rsidR="00D11464">
        <w:t>C</w:t>
      </w:r>
      <w:r w:rsidR="00E43C05">
        <w:t>SN EN ISO 6341, 1997) and OECD 202 (OECD 202, 2004)</w:t>
      </w:r>
      <w:r w:rsidR="004A6285">
        <w:t xml:space="preserve">. </w:t>
      </w:r>
      <w:r w:rsidRPr="002F4AA2">
        <w:t>First, a dilution solution must be prepared, consisting of demineralised water and four chemical solutions of precisely defined concentrations, see Table 1.</w:t>
      </w:r>
    </w:p>
    <w:p w14:paraId="7CB577D3" w14:textId="14D18EE5" w:rsidR="002E7F35" w:rsidRPr="006B4B62" w:rsidRDefault="00A3011B" w:rsidP="006C2D66">
      <w:pPr>
        <w:pStyle w:val="CETTabletitle"/>
        <w:jc w:val="both"/>
        <w:rPr>
          <w:b/>
          <w:bCs/>
          <w:sz w:val="24"/>
          <w:szCs w:val="24"/>
        </w:rPr>
      </w:pPr>
      <w:r w:rsidRPr="00910889">
        <w:t xml:space="preserve">Table 1: </w:t>
      </w:r>
      <w:r w:rsidR="002F4AA2" w:rsidRPr="00910889">
        <w:t>Dilution solutions of salts for the acute immobilisation test on Daphnia magna S</w:t>
      </w:r>
      <w:r w:rsidR="00910889" w:rsidRPr="00D507D8">
        <w:t>.</w:t>
      </w:r>
      <w:r w:rsidR="00C776CE" w:rsidRPr="006B4B62">
        <w:rPr>
          <w:bCs/>
        </w:rPr>
        <w:t xml:space="preserve"> </w:t>
      </w:r>
      <w:r w:rsidR="00E03E41" w:rsidRPr="006B4B62">
        <w:t>(</w:t>
      </w:r>
      <w:r w:rsidR="00D11464">
        <w:t>C</w:t>
      </w:r>
      <w:r w:rsidR="006B4B62">
        <w:t>SN EN ISO 6341, 1997; OECD 202, 2004</w:t>
      </w:r>
      <w:r w:rsidR="00C776CE" w:rsidRPr="006B4B62">
        <w:t>)</w:t>
      </w:r>
    </w:p>
    <w:tbl>
      <w:tblPr>
        <w:tblW w:w="877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26"/>
        <w:gridCol w:w="2926"/>
        <w:gridCol w:w="2926"/>
      </w:tblGrid>
      <w:tr w:rsidR="00AC46AC" w:rsidRPr="00B57B36" w14:paraId="67FE68F1" w14:textId="77777777" w:rsidTr="001A22BC">
        <w:trPr>
          <w:trHeight w:val="471"/>
        </w:trPr>
        <w:tc>
          <w:tcPr>
            <w:tcW w:w="2926" w:type="dxa"/>
            <w:tcBorders>
              <w:top w:val="single" w:sz="12" w:space="0" w:color="008000"/>
              <w:bottom w:val="single" w:sz="6" w:space="0" w:color="008000"/>
            </w:tcBorders>
            <w:shd w:val="clear" w:color="auto" w:fill="FFFFFF"/>
          </w:tcPr>
          <w:p w14:paraId="1442DD39" w14:textId="01CAA0A5" w:rsidR="00AC46AC" w:rsidRPr="00B57B36" w:rsidRDefault="00AC46AC" w:rsidP="00FB626D">
            <w:pPr>
              <w:pStyle w:val="CETBodytext"/>
              <w:rPr>
                <w:lang w:val="en-GB"/>
              </w:rPr>
            </w:pPr>
            <w:r>
              <w:rPr>
                <w:lang w:val="en-GB"/>
              </w:rPr>
              <w:t>Dilution solution</w:t>
            </w:r>
          </w:p>
        </w:tc>
        <w:tc>
          <w:tcPr>
            <w:tcW w:w="2926" w:type="dxa"/>
            <w:tcBorders>
              <w:top w:val="single" w:sz="12" w:space="0" w:color="008000"/>
              <w:bottom w:val="single" w:sz="6" w:space="0" w:color="008000"/>
            </w:tcBorders>
            <w:shd w:val="clear" w:color="auto" w:fill="FFFFFF"/>
          </w:tcPr>
          <w:p w14:paraId="642D921F" w14:textId="694AB77C" w:rsidR="00AC46AC" w:rsidRPr="00B57B36" w:rsidRDefault="00AC46AC" w:rsidP="00AC46AC">
            <w:pPr>
              <w:pStyle w:val="CETBodytext"/>
              <w:rPr>
                <w:lang w:val="en-GB"/>
              </w:rPr>
            </w:pPr>
            <w:r>
              <w:rPr>
                <w:lang w:val="en-GB"/>
              </w:rPr>
              <w:t>Chemical</w:t>
            </w:r>
          </w:p>
        </w:tc>
        <w:tc>
          <w:tcPr>
            <w:tcW w:w="2926" w:type="dxa"/>
            <w:tcBorders>
              <w:top w:val="single" w:sz="12" w:space="0" w:color="008000"/>
              <w:bottom w:val="single" w:sz="6" w:space="0" w:color="008000"/>
            </w:tcBorders>
            <w:shd w:val="clear" w:color="auto" w:fill="FFFFFF"/>
          </w:tcPr>
          <w:p w14:paraId="09516786" w14:textId="77777777" w:rsidR="00AC46AC" w:rsidRDefault="00AC46AC" w:rsidP="00FB626D">
            <w:pPr>
              <w:pStyle w:val="CETBodytext"/>
              <w:rPr>
                <w:lang w:val="en-GB"/>
              </w:rPr>
            </w:pPr>
            <w:r>
              <w:rPr>
                <w:lang w:val="en-GB"/>
              </w:rPr>
              <w:t>Concentration</w:t>
            </w:r>
          </w:p>
          <w:p w14:paraId="434B94DD" w14:textId="41D3A6B5" w:rsidR="001A22BC" w:rsidRPr="00B57B36" w:rsidRDefault="001A22BC" w:rsidP="00FB626D">
            <w:pPr>
              <w:pStyle w:val="CETBodytext"/>
              <w:rPr>
                <w:lang w:val="en-GB"/>
              </w:rPr>
            </w:pPr>
            <w:r>
              <w:rPr>
                <w:lang w:val="en-GB"/>
              </w:rPr>
              <w:t>[g/100 mL]</w:t>
            </w:r>
          </w:p>
        </w:tc>
      </w:tr>
      <w:tr w:rsidR="00AC46AC" w:rsidRPr="00B57B36" w14:paraId="62D21D02" w14:textId="77777777" w:rsidTr="001A22BC">
        <w:trPr>
          <w:trHeight w:val="227"/>
        </w:trPr>
        <w:tc>
          <w:tcPr>
            <w:tcW w:w="2926" w:type="dxa"/>
            <w:shd w:val="clear" w:color="auto" w:fill="FFFFFF"/>
          </w:tcPr>
          <w:p w14:paraId="260CC7DC" w14:textId="267D4A5F" w:rsidR="00AC46AC" w:rsidRPr="00B57B36" w:rsidRDefault="00AC46AC" w:rsidP="00CE6088">
            <w:pPr>
              <w:pStyle w:val="CETBodytext"/>
              <w:rPr>
                <w:lang w:val="en-GB"/>
              </w:rPr>
            </w:pPr>
            <w:r>
              <w:rPr>
                <w:bCs/>
                <w:color w:val="000000" w:themeColor="text1"/>
                <w:szCs w:val="24"/>
              </w:rPr>
              <w:t>DS1</w:t>
            </w:r>
          </w:p>
        </w:tc>
        <w:tc>
          <w:tcPr>
            <w:tcW w:w="2926" w:type="dxa"/>
            <w:shd w:val="clear" w:color="auto" w:fill="FFFFFF"/>
          </w:tcPr>
          <w:p w14:paraId="535C0263" w14:textId="328503CF" w:rsidR="00AC46AC" w:rsidRPr="00B57B36" w:rsidRDefault="00AC46AC" w:rsidP="00CE6088">
            <w:pPr>
              <w:pStyle w:val="CETBodytext"/>
              <w:rPr>
                <w:lang w:val="en-GB"/>
              </w:rPr>
            </w:pPr>
            <w:r>
              <w:rPr>
                <w:bCs/>
                <w:color w:val="000000" w:themeColor="text1"/>
                <w:szCs w:val="24"/>
              </w:rPr>
              <w:t>CaCl</w:t>
            </w:r>
            <w:r>
              <w:rPr>
                <w:bCs/>
                <w:color w:val="000000" w:themeColor="text1"/>
                <w:szCs w:val="24"/>
                <w:vertAlign w:val="subscript"/>
              </w:rPr>
              <w:t>2</w:t>
            </w:r>
            <w:r>
              <w:rPr>
                <w:bCs/>
                <w:color w:val="000000" w:themeColor="text1"/>
                <w:szCs w:val="24"/>
              </w:rPr>
              <w:t>ꞏ2H</w:t>
            </w:r>
            <w:r>
              <w:rPr>
                <w:bCs/>
                <w:color w:val="000000" w:themeColor="text1"/>
                <w:szCs w:val="24"/>
                <w:vertAlign w:val="subscript"/>
              </w:rPr>
              <w:t>2</w:t>
            </w:r>
            <w:r>
              <w:rPr>
                <w:bCs/>
                <w:color w:val="000000" w:themeColor="text1"/>
                <w:szCs w:val="24"/>
              </w:rPr>
              <w:t>O</w:t>
            </w:r>
          </w:p>
        </w:tc>
        <w:tc>
          <w:tcPr>
            <w:tcW w:w="2926" w:type="dxa"/>
            <w:shd w:val="clear" w:color="auto" w:fill="FFFFFF"/>
          </w:tcPr>
          <w:p w14:paraId="0BD4640A" w14:textId="2919E490" w:rsidR="00AC46AC" w:rsidRPr="00B57B36" w:rsidRDefault="00AC46AC" w:rsidP="001A22BC">
            <w:pPr>
              <w:pStyle w:val="CETBodytext"/>
              <w:rPr>
                <w:lang w:val="en-GB"/>
              </w:rPr>
            </w:pPr>
            <w:r>
              <w:rPr>
                <w:bCs/>
                <w:color w:val="000000" w:themeColor="text1"/>
                <w:szCs w:val="24"/>
              </w:rPr>
              <w:t>11,76</w:t>
            </w:r>
          </w:p>
        </w:tc>
      </w:tr>
      <w:tr w:rsidR="00AC46AC" w:rsidRPr="00B57B36" w14:paraId="0EE5CDA9" w14:textId="77777777" w:rsidTr="001A22BC">
        <w:trPr>
          <w:trHeight w:val="240"/>
        </w:trPr>
        <w:tc>
          <w:tcPr>
            <w:tcW w:w="2926" w:type="dxa"/>
            <w:shd w:val="clear" w:color="auto" w:fill="FFFFFF"/>
          </w:tcPr>
          <w:p w14:paraId="31AFCA77" w14:textId="4019B6DB" w:rsidR="00AC46AC" w:rsidRPr="00B57B36" w:rsidRDefault="00AC46AC" w:rsidP="00CE6088">
            <w:pPr>
              <w:pStyle w:val="CETBodytext"/>
              <w:ind w:right="-1"/>
              <w:rPr>
                <w:rFonts w:cs="Arial"/>
                <w:szCs w:val="18"/>
                <w:lang w:val="en-GB"/>
              </w:rPr>
            </w:pPr>
            <w:r>
              <w:rPr>
                <w:bCs/>
                <w:color w:val="000000" w:themeColor="text1"/>
                <w:szCs w:val="24"/>
              </w:rPr>
              <w:t>DS2</w:t>
            </w:r>
          </w:p>
        </w:tc>
        <w:tc>
          <w:tcPr>
            <w:tcW w:w="2926" w:type="dxa"/>
            <w:shd w:val="clear" w:color="auto" w:fill="FFFFFF"/>
          </w:tcPr>
          <w:p w14:paraId="3FF710EC" w14:textId="30D74B49" w:rsidR="00AC46AC" w:rsidRPr="00B57B36" w:rsidRDefault="00AC46AC" w:rsidP="00CE6088">
            <w:pPr>
              <w:pStyle w:val="CETBodytext"/>
              <w:ind w:right="-1"/>
              <w:rPr>
                <w:rFonts w:cs="Arial"/>
                <w:szCs w:val="18"/>
                <w:lang w:val="en-GB"/>
              </w:rPr>
            </w:pPr>
            <w:r>
              <w:rPr>
                <w:bCs/>
                <w:color w:val="000000" w:themeColor="text1"/>
                <w:szCs w:val="24"/>
              </w:rPr>
              <w:t>MgSO</w:t>
            </w:r>
            <w:r>
              <w:rPr>
                <w:bCs/>
                <w:color w:val="000000" w:themeColor="text1"/>
                <w:szCs w:val="24"/>
                <w:vertAlign w:val="subscript"/>
              </w:rPr>
              <w:t>4</w:t>
            </w:r>
            <w:r>
              <w:rPr>
                <w:bCs/>
                <w:color w:val="000000" w:themeColor="text1"/>
                <w:szCs w:val="24"/>
              </w:rPr>
              <w:t>ꞏ7H</w:t>
            </w:r>
            <w:r>
              <w:rPr>
                <w:bCs/>
                <w:color w:val="000000" w:themeColor="text1"/>
                <w:szCs w:val="24"/>
                <w:vertAlign w:val="subscript"/>
              </w:rPr>
              <w:t>2</w:t>
            </w:r>
            <w:r>
              <w:rPr>
                <w:bCs/>
                <w:color w:val="000000" w:themeColor="text1"/>
                <w:szCs w:val="24"/>
              </w:rPr>
              <w:t>O</w:t>
            </w:r>
          </w:p>
        </w:tc>
        <w:tc>
          <w:tcPr>
            <w:tcW w:w="2926" w:type="dxa"/>
            <w:shd w:val="clear" w:color="auto" w:fill="FFFFFF"/>
          </w:tcPr>
          <w:p w14:paraId="0450F179" w14:textId="34FD9404" w:rsidR="00AC46AC" w:rsidRPr="00B57B36" w:rsidRDefault="00AC46AC" w:rsidP="001A22BC">
            <w:pPr>
              <w:pStyle w:val="CETBodytext"/>
              <w:ind w:right="-1"/>
              <w:rPr>
                <w:rFonts w:cs="Arial"/>
                <w:szCs w:val="18"/>
                <w:lang w:val="en-GB"/>
              </w:rPr>
            </w:pPr>
            <w:r>
              <w:rPr>
                <w:bCs/>
                <w:color w:val="000000" w:themeColor="text1"/>
                <w:szCs w:val="24"/>
              </w:rPr>
              <w:t>4,93</w:t>
            </w:r>
          </w:p>
        </w:tc>
      </w:tr>
      <w:tr w:rsidR="00AC46AC" w:rsidRPr="00B57B36" w14:paraId="366BB38C" w14:textId="77777777" w:rsidTr="001A22BC">
        <w:trPr>
          <w:trHeight w:val="240"/>
        </w:trPr>
        <w:tc>
          <w:tcPr>
            <w:tcW w:w="2926" w:type="dxa"/>
            <w:shd w:val="clear" w:color="auto" w:fill="FFFFFF"/>
          </w:tcPr>
          <w:p w14:paraId="5F0FE4EC" w14:textId="31356382" w:rsidR="00AC46AC" w:rsidRDefault="00AC46AC" w:rsidP="00CE6088">
            <w:pPr>
              <w:pStyle w:val="CETBodytext"/>
              <w:ind w:right="-1"/>
              <w:rPr>
                <w:bCs/>
                <w:color w:val="000000" w:themeColor="text1"/>
                <w:szCs w:val="24"/>
              </w:rPr>
            </w:pPr>
            <w:r>
              <w:rPr>
                <w:bCs/>
                <w:color w:val="000000" w:themeColor="text1"/>
                <w:szCs w:val="24"/>
              </w:rPr>
              <w:t>DS3</w:t>
            </w:r>
          </w:p>
        </w:tc>
        <w:tc>
          <w:tcPr>
            <w:tcW w:w="2926" w:type="dxa"/>
            <w:shd w:val="clear" w:color="auto" w:fill="FFFFFF"/>
          </w:tcPr>
          <w:p w14:paraId="7FCE26C5" w14:textId="44C5E90A" w:rsidR="00AC46AC" w:rsidRDefault="00AC46AC" w:rsidP="00CE6088">
            <w:pPr>
              <w:pStyle w:val="CETBodytext"/>
              <w:ind w:right="-1"/>
              <w:rPr>
                <w:bCs/>
                <w:color w:val="000000" w:themeColor="text1"/>
                <w:szCs w:val="24"/>
              </w:rPr>
            </w:pPr>
            <w:r>
              <w:rPr>
                <w:bCs/>
                <w:color w:val="000000" w:themeColor="text1"/>
                <w:szCs w:val="24"/>
              </w:rPr>
              <w:t>NaHCO</w:t>
            </w:r>
            <w:r>
              <w:rPr>
                <w:bCs/>
                <w:color w:val="000000" w:themeColor="text1"/>
                <w:szCs w:val="24"/>
                <w:vertAlign w:val="subscript"/>
              </w:rPr>
              <w:t>3</w:t>
            </w:r>
          </w:p>
        </w:tc>
        <w:tc>
          <w:tcPr>
            <w:tcW w:w="2926" w:type="dxa"/>
            <w:shd w:val="clear" w:color="auto" w:fill="FFFFFF"/>
          </w:tcPr>
          <w:p w14:paraId="22B24922" w14:textId="26CC6176" w:rsidR="00AC46AC" w:rsidRDefault="00AC46AC" w:rsidP="001A22BC">
            <w:pPr>
              <w:pStyle w:val="CETBodytext"/>
              <w:ind w:right="-1"/>
              <w:rPr>
                <w:bCs/>
                <w:color w:val="000000" w:themeColor="text1"/>
                <w:szCs w:val="24"/>
              </w:rPr>
            </w:pPr>
            <w:r>
              <w:rPr>
                <w:bCs/>
                <w:color w:val="000000" w:themeColor="text1"/>
                <w:szCs w:val="24"/>
              </w:rPr>
              <w:t>2,59</w:t>
            </w:r>
          </w:p>
        </w:tc>
      </w:tr>
      <w:tr w:rsidR="00AC46AC" w:rsidRPr="00B57B36" w14:paraId="07E6C54A" w14:textId="77777777" w:rsidTr="001A22BC">
        <w:trPr>
          <w:trHeight w:val="240"/>
        </w:trPr>
        <w:tc>
          <w:tcPr>
            <w:tcW w:w="2926" w:type="dxa"/>
            <w:shd w:val="clear" w:color="auto" w:fill="FFFFFF"/>
          </w:tcPr>
          <w:p w14:paraId="1E5CF8EC" w14:textId="0D40369D" w:rsidR="00AC46AC" w:rsidRDefault="00AC46AC" w:rsidP="00CE6088">
            <w:pPr>
              <w:pStyle w:val="CETBodytext"/>
              <w:ind w:right="-1"/>
              <w:rPr>
                <w:bCs/>
                <w:color w:val="000000" w:themeColor="text1"/>
                <w:szCs w:val="24"/>
              </w:rPr>
            </w:pPr>
            <w:r>
              <w:rPr>
                <w:bCs/>
                <w:color w:val="000000" w:themeColor="text1"/>
                <w:szCs w:val="24"/>
              </w:rPr>
              <w:t>DS4</w:t>
            </w:r>
          </w:p>
        </w:tc>
        <w:tc>
          <w:tcPr>
            <w:tcW w:w="2926" w:type="dxa"/>
            <w:shd w:val="clear" w:color="auto" w:fill="FFFFFF"/>
          </w:tcPr>
          <w:p w14:paraId="6FC643E2" w14:textId="0AD53928" w:rsidR="00AC46AC" w:rsidRDefault="00AC46AC" w:rsidP="00CE6088">
            <w:pPr>
              <w:pStyle w:val="CETBodytext"/>
              <w:ind w:right="-1"/>
              <w:rPr>
                <w:bCs/>
                <w:color w:val="000000" w:themeColor="text1"/>
                <w:szCs w:val="24"/>
              </w:rPr>
            </w:pPr>
            <w:r>
              <w:rPr>
                <w:bCs/>
                <w:color w:val="000000" w:themeColor="text1"/>
                <w:szCs w:val="24"/>
              </w:rPr>
              <w:t>KCl</w:t>
            </w:r>
          </w:p>
        </w:tc>
        <w:tc>
          <w:tcPr>
            <w:tcW w:w="2926" w:type="dxa"/>
            <w:shd w:val="clear" w:color="auto" w:fill="FFFFFF"/>
          </w:tcPr>
          <w:p w14:paraId="24273741" w14:textId="2559B537" w:rsidR="00AC46AC" w:rsidRDefault="00AC46AC" w:rsidP="001A22BC">
            <w:pPr>
              <w:pStyle w:val="CETBodytext"/>
              <w:ind w:right="-1"/>
              <w:rPr>
                <w:bCs/>
                <w:color w:val="000000" w:themeColor="text1"/>
                <w:szCs w:val="24"/>
              </w:rPr>
            </w:pPr>
            <w:r>
              <w:rPr>
                <w:bCs/>
                <w:color w:val="000000" w:themeColor="text1"/>
                <w:szCs w:val="24"/>
              </w:rPr>
              <w:t>0,23</w:t>
            </w:r>
          </w:p>
        </w:tc>
      </w:tr>
    </w:tbl>
    <w:p w14:paraId="14D2EBC4" w14:textId="77777777" w:rsidR="002E7F35" w:rsidRDefault="002E7F35" w:rsidP="002E7F35"/>
    <w:p w14:paraId="7AAB8289" w14:textId="795EDF31" w:rsidR="002E7F35" w:rsidRDefault="001A0D29" w:rsidP="0000121B">
      <w:pPr>
        <w:pStyle w:val="CETBodytext"/>
      </w:pPr>
      <w:r>
        <w:t>The dilution solution is prepared by placing approximately one litre of demineralised water into a two litre volumetric flask, which is then made up with 10 m</w:t>
      </w:r>
      <w:r w:rsidR="00F3303A">
        <w:t>L</w:t>
      </w:r>
      <w:r>
        <w:t xml:space="preserve"> of each of the four stock solutions and the volumetric flask is filled to the mark. This prepared solution must be thoroughly mixed and then aerated continuously for 18</w:t>
      </w:r>
      <w:r w:rsidR="00F3303A">
        <w:t> </w:t>
      </w:r>
      <w:r>
        <w:t>hours. After ae</w:t>
      </w:r>
      <w:r w:rsidR="0053384C">
        <w:t xml:space="preserve">ration, the solution is kept </w:t>
      </w:r>
      <w:r>
        <w:t>48 hours to adjust and stabilise the pH to 7</w:t>
      </w:r>
      <w:r w:rsidR="00192AD2">
        <w:t>.</w:t>
      </w:r>
      <w:r>
        <w:t>8±0</w:t>
      </w:r>
      <w:r w:rsidR="00192AD2">
        <w:t>.</w:t>
      </w:r>
      <w:r>
        <w:t>2. This value is verified using a pH meter. The solution thus prepared is used to obtain the necessary leachate concentrations for the tests</w:t>
      </w:r>
      <w:r w:rsidR="00F77830">
        <w:t xml:space="preserve"> </w:t>
      </w:r>
      <w:r w:rsidR="00E03E41">
        <w:t>(</w:t>
      </w:r>
      <w:r w:rsidR="00D11464">
        <w:t>C</w:t>
      </w:r>
      <w:r w:rsidR="00F77830">
        <w:t>SN EN ISO 6341, 1997; OECD 202, 2004</w:t>
      </w:r>
      <w:r w:rsidR="00E03E41">
        <w:t>)</w:t>
      </w:r>
      <w:r w:rsidR="00F77830">
        <w:t>.</w:t>
      </w:r>
    </w:p>
    <w:p w14:paraId="251805B7" w14:textId="416DAFD6" w:rsidR="004A6285" w:rsidRDefault="00615404" w:rsidP="0000121B">
      <w:pPr>
        <w:pStyle w:val="CETBodytext"/>
      </w:pPr>
      <w:r w:rsidRPr="00615404">
        <w:t>After preparing the dilution solution according to the standard, attention is focused on the aqueous leachates. These were prepared by mixing 100 g of materials with one litre of distilled water and then shaken on a shaker for 24 hours</w:t>
      </w:r>
      <w:r w:rsidR="00F3303A">
        <w:t xml:space="preserve"> (</w:t>
      </w:r>
      <w:r w:rsidR="00D11464">
        <w:rPr>
          <w:bCs/>
        </w:rPr>
        <w:t>C</w:t>
      </w:r>
      <w:r w:rsidR="00203F3B" w:rsidRPr="006C2D66">
        <w:rPr>
          <w:bCs/>
        </w:rPr>
        <w:t>SN EN 12457-4 (838005), 2003</w:t>
      </w:r>
      <w:r w:rsidR="00F3303A">
        <w:t>)</w:t>
      </w:r>
      <w:r w:rsidRPr="00615404">
        <w:t>. Subsequently, the leachates were filtered and their pH was adjusted to give a final value between pH 7.3 and 8.1. After the pH adjustment of the leachates, other values are measured using a special electrode - c</w:t>
      </w:r>
      <w:r w:rsidR="007E62E0">
        <w:t>onductivity, electric resistivity</w:t>
      </w:r>
      <w:r w:rsidRPr="00615404">
        <w:t>, TDS, solution temperature and salinity. Salinity is an essential variable in determining the amount of dissolved oxygen using the oximeter and the Oxi electrode because it affects the amount of dissolved oxygen and this amount must not fall below 2 mg/</w:t>
      </w:r>
      <w:r w:rsidR="00F3303A">
        <w:t>L</w:t>
      </w:r>
      <w:r w:rsidRPr="00615404">
        <w:t xml:space="preserve"> at any stage of the test. Measurements were carried out at temperatures ranging from 21</w:t>
      </w:r>
      <w:r w:rsidR="00F3303A">
        <w:t>-</w:t>
      </w:r>
      <w:r w:rsidRPr="00615404">
        <w:t>24 °C</w:t>
      </w:r>
      <w:r w:rsidR="004A6285">
        <w:t xml:space="preserve"> </w:t>
      </w:r>
      <w:r w:rsidR="00E03E41">
        <w:t>(</w:t>
      </w:r>
      <w:r w:rsidR="00D11464">
        <w:t>C</w:t>
      </w:r>
      <w:r w:rsidR="00F77830">
        <w:t>SN EN ISO 6341, 1997; OECD 202, 2004</w:t>
      </w:r>
      <w:r w:rsidR="00E03E41">
        <w:t>)</w:t>
      </w:r>
      <w:r w:rsidR="00F77830">
        <w:t>.</w:t>
      </w:r>
    </w:p>
    <w:p w14:paraId="20164C66" w14:textId="37A4A3FF" w:rsidR="000A3A39" w:rsidRDefault="00967FF4" w:rsidP="0000121B">
      <w:pPr>
        <w:pStyle w:val="CETBodytext"/>
      </w:pPr>
      <w:r w:rsidRPr="00967FF4">
        <w:t xml:space="preserve">The measured variables are given in the </w:t>
      </w:r>
      <w:r w:rsidR="00F3303A">
        <w:t>T</w:t>
      </w:r>
      <w:r w:rsidRPr="00967FF4">
        <w:t>able</w:t>
      </w:r>
      <w:r w:rsidR="00F3303A">
        <w:t> 2</w:t>
      </w:r>
      <w:r w:rsidRPr="00967FF4">
        <w:t xml:space="preserve"> below.</w:t>
      </w:r>
    </w:p>
    <w:p w14:paraId="1E9F2DE3" w14:textId="437144B2" w:rsidR="007B1D7E" w:rsidRDefault="000A3A39" w:rsidP="00FA7E07">
      <w:pPr>
        <w:pStyle w:val="CETTabletitle"/>
      </w:pPr>
      <w:r w:rsidRPr="00B57B36">
        <w:t xml:space="preserve">Table </w:t>
      </w:r>
      <w:r>
        <w:t>2</w:t>
      </w:r>
      <w:r w:rsidRPr="00B57B36">
        <w:t xml:space="preserve">: </w:t>
      </w:r>
      <w:r w:rsidR="007E62E0" w:rsidRPr="007E62E0">
        <w:rPr>
          <w:lang w:val="cs-CZ"/>
        </w:rPr>
        <w:t xml:space="preserve">Values measured before the inhibition test </w:t>
      </w:r>
    </w:p>
    <w:tbl>
      <w:tblPr>
        <w:tblW w:w="881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63"/>
        <w:gridCol w:w="1763"/>
        <w:gridCol w:w="1763"/>
        <w:gridCol w:w="1763"/>
        <w:gridCol w:w="1763"/>
      </w:tblGrid>
      <w:tr w:rsidR="00192AD2" w:rsidRPr="00B57B36" w14:paraId="5B05C01B" w14:textId="464AE6F6" w:rsidTr="00BC009D">
        <w:trPr>
          <w:trHeight w:val="356"/>
        </w:trPr>
        <w:tc>
          <w:tcPr>
            <w:tcW w:w="1763" w:type="dxa"/>
            <w:tcBorders>
              <w:top w:val="single" w:sz="12" w:space="0" w:color="008000"/>
              <w:bottom w:val="single" w:sz="6" w:space="0" w:color="008000"/>
            </w:tcBorders>
            <w:shd w:val="clear" w:color="auto" w:fill="FFFFFF"/>
          </w:tcPr>
          <w:p w14:paraId="04DCF27D" w14:textId="7AC49025" w:rsidR="00192AD2" w:rsidRPr="000A3A39" w:rsidRDefault="00192AD2" w:rsidP="00446164">
            <w:pPr>
              <w:pStyle w:val="CETBodytext"/>
              <w:rPr>
                <w:bCs/>
                <w:lang w:val="en-GB"/>
              </w:rPr>
            </w:pPr>
            <w:r>
              <w:rPr>
                <w:bCs/>
                <w:color w:val="000000" w:themeColor="text1"/>
                <w:szCs w:val="24"/>
              </w:rPr>
              <w:t>Materia</w:t>
            </w:r>
            <w:r w:rsidRPr="000A3A39">
              <w:rPr>
                <w:bCs/>
                <w:color w:val="000000" w:themeColor="text1"/>
                <w:szCs w:val="24"/>
              </w:rPr>
              <w:t>l</w:t>
            </w:r>
          </w:p>
        </w:tc>
        <w:tc>
          <w:tcPr>
            <w:tcW w:w="1763" w:type="dxa"/>
            <w:tcBorders>
              <w:top w:val="single" w:sz="12" w:space="0" w:color="008000"/>
              <w:bottom w:val="single" w:sz="6" w:space="0" w:color="008000"/>
            </w:tcBorders>
            <w:shd w:val="clear" w:color="auto" w:fill="FFFFFF"/>
          </w:tcPr>
          <w:p w14:paraId="779506CA" w14:textId="47285DAA" w:rsidR="00192AD2" w:rsidRPr="000A3A39" w:rsidRDefault="00192AD2" w:rsidP="00446164">
            <w:pPr>
              <w:pStyle w:val="CETBodytext"/>
              <w:rPr>
                <w:bCs/>
                <w:color w:val="000000" w:themeColor="text1"/>
                <w:szCs w:val="24"/>
              </w:rPr>
            </w:pPr>
            <w:r>
              <w:rPr>
                <w:bCs/>
                <w:color w:val="000000" w:themeColor="text1"/>
                <w:szCs w:val="24"/>
              </w:rPr>
              <w:t>Conductivity</w:t>
            </w:r>
          </w:p>
          <w:p w14:paraId="2B4F6A92" w14:textId="038A9C26" w:rsidR="00192AD2" w:rsidRPr="000A3A39" w:rsidRDefault="00192AD2" w:rsidP="00446164">
            <w:pPr>
              <w:pStyle w:val="CETBodytext"/>
              <w:rPr>
                <w:bCs/>
                <w:lang w:val="en-GB"/>
              </w:rPr>
            </w:pPr>
            <w:r w:rsidRPr="000A3A39">
              <w:rPr>
                <w:bCs/>
                <w:color w:val="000000" w:themeColor="text1"/>
                <w:szCs w:val="24"/>
              </w:rPr>
              <w:t>[µS/cm]</w:t>
            </w:r>
          </w:p>
        </w:tc>
        <w:tc>
          <w:tcPr>
            <w:tcW w:w="1763" w:type="dxa"/>
            <w:tcBorders>
              <w:top w:val="single" w:sz="12" w:space="0" w:color="008000"/>
              <w:bottom w:val="single" w:sz="6" w:space="0" w:color="008000"/>
            </w:tcBorders>
            <w:shd w:val="clear" w:color="auto" w:fill="FFFFFF"/>
          </w:tcPr>
          <w:p w14:paraId="17B367A4" w14:textId="689F706E" w:rsidR="00192AD2" w:rsidRPr="000A3A39" w:rsidRDefault="00192AD2" w:rsidP="00446164">
            <w:pPr>
              <w:rPr>
                <w:bCs/>
                <w:color w:val="000000" w:themeColor="text1"/>
                <w:szCs w:val="24"/>
              </w:rPr>
            </w:pPr>
            <w:r>
              <w:rPr>
                <w:bCs/>
                <w:color w:val="000000" w:themeColor="text1"/>
                <w:szCs w:val="24"/>
              </w:rPr>
              <w:t>Electric resistivity</w:t>
            </w:r>
          </w:p>
          <w:p w14:paraId="20B82F9E" w14:textId="00A9DE3E" w:rsidR="00192AD2" w:rsidRPr="000A3A39" w:rsidRDefault="00192AD2" w:rsidP="00446164">
            <w:pPr>
              <w:pStyle w:val="CETBodytext"/>
              <w:rPr>
                <w:bCs/>
                <w:lang w:val="en-GB"/>
              </w:rPr>
            </w:pPr>
            <w:r w:rsidRPr="000A3A39">
              <w:rPr>
                <w:bCs/>
                <w:color w:val="000000" w:themeColor="text1"/>
                <w:szCs w:val="24"/>
              </w:rPr>
              <w:t>[kΩꞏcm]</w:t>
            </w:r>
          </w:p>
        </w:tc>
        <w:tc>
          <w:tcPr>
            <w:tcW w:w="1763" w:type="dxa"/>
            <w:tcBorders>
              <w:top w:val="single" w:sz="12" w:space="0" w:color="008000"/>
              <w:bottom w:val="single" w:sz="6" w:space="0" w:color="008000"/>
            </w:tcBorders>
            <w:shd w:val="clear" w:color="auto" w:fill="FFFFFF"/>
          </w:tcPr>
          <w:p w14:paraId="6B2F708B" w14:textId="77777777" w:rsidR="00192AD2" w:rsidRPr="000A3A39" w:rsidRDefault="00192AD2" w:rsidP="00446164">
            <w:pPr>
              <w:rPr>
                <w:bCs/>
                <w:color w:val="000000" w:themeColor="text1"/>
                <w:szCs w:val="24"/>
              </w:rPr>
            </w:pPr>
            <w:r w:rsidRPr="000A3A39">
              <w:rPr>
                <w:bCs/>
                <w:color w:val="000000" w:themeColor="text1"/>
                <w:szCs w:val="24"/>
              </w:rPr>
              <w:t xml:space="preserve">TDS </w:t>
            </w:r>
          </w:p>
          <w:p w14:paraId="55078C4D" w14:textId="796112AA" w:rsidR="00192AD2" w:rsidRPr="000A3A39" w:rsidRDefault="00192AD2" w:rsidP="00F27254">
            <w:pPr>
              <w:pStyle w:val="CETBodytext"/>
              <w:ind w:right="-1"/>
              <w:rPr>
                <w:rFonts w:cs="Arial"/>
                <w:bCs/>
                <w:szCs w:val="18"/>
                <w:lang w:val="en-GB"/>
              </w:rPr>
            </w:pPr>
            <w:r w:rsidRPr="000A3A39">
              <w:rPr>
                <w:bCs/>
                <w:color w:val="000000" w:themeColor="text1"/>
                <w:szCs w:val="24"/>
              </w:rPr>
              <w:t>[mg/</w:t>
            </w:r>
            <w:r>
              <w:rPr>
                <w:bCs/>
                <w:color w:val="000000" w:themeColor="text1"/>
                <w:szCs w:val="24"/>
              </w:rPr>
              <w:t>L</w:t>
            </w:r>
            <w:r w:rsidRPr="000A3A39">
              <w:rPr>
                <w:rFonts w:ascii="Cambria Math" w:hAnsi="Cambria Math" w:cs="Cambria Math"/>
                <w:bCs/>
                <w:color w:val="202122"/>
                <w:szCs w:val="24"/>
                <w:shd w:val="clear" w:color="auto" w:fill="FFFFFF"/>
              </w:rPr>
              <w:t>]</w:t>
            </w:r>
          </w:p>
        </w:tc>
        <w:tc>
          <w:tcPr>
            <w:tcW w:w="1763" w:type="dxa"/>
            <w:tcBorders>
              <w:top w:val="single" w:sz="12" w:space="0" w:color="008000"/>
              <w:bottom w:val="single" w:sz="6" w:space="0" w:color="008000"/>
            </w:tcBorders>
            <w:shd w:val="clear" w:color="auto" w:fill="FFFFFF"/>
          </w:tcPr>
          <w:p w14:paraId="39545EB9" w14:textId="13595EC3" w:rsidR="00192AD2" w:rsidRPr="000A3A39" w:rsidRDefault="00192AD2" w:rsidP="00D37338">
            <w:pPr>
              <w:rPr>
                <w:bCs/>
                <w:color w:val="000000" w:themeColor="text1"/>
                <w:szCs w:val="24"/>
              </w:rPr>
            </w:pPr>
            <w:r>
              <w:rPr>
                <w:bCs/>
                <w:color w:val="000000" w:themeColor="text1"/>
                <w:szCs w:val="24"/>
              </w:rPr>
              <w:t>Salinity</w:t>
            </w:r>
          </w:p>
          <w:p w14:paraId="1D9E3FE4" w14:textId="74C2BD50" w:rsidR="00192AD2" w:rsidRPr="000A3A39" w:rsidRDefault="00192AD2" w:rsidP="00446164">
            <w:pPr>
              <w:pStyle w:val="CETBodytext"/>
              <w:ind w:right="-1"/>
              <w:rPr>
                <w:rFonts w:cs="Arial"/>
                <w:bCs/>
                <w:szCs w:val="18"/>
                <w:lang w:val="en-GB"/>
              </w:rPr>
            </w:pPr>
            <w:r w:rsidRPr="000A3A39">
              <w:rPr>
                <w:bCs/>
                <w:color w:val="000000" w:themeColor="text1"/>
                <w:szCs w:val="24"/>
              </w:rPr>
              <w:t>[</w:t>
            </w:r>
            <w:r w:rsidRPr="000A3A39">
              <w:rPr>
                <w:rFonts w:ascii="Cambria Math" w:hAnsi="Cambria Math" w:cs="Cambria Math"/>
                <w:bCs/>
                <w:color w:val="202122"/>
                <w:szCs w:val="24"/>
                <w:shd w:val="clear" w:color="auto" w:fill="FFFFFF"/>
              </w:rPr>
              <w:t>∅]</w:t>
            </w:r>
          </w:p>
        </w:tc>
      </w:tr>
      <w:tr w:rsidR="00192AD2" w:rsidRPr="00B57B36" w14:paraId="20AC468B" w14:textId="7CEC4EED" w:rsidTr="00BC009D">
        <w:trPr>
          <w:trHeight w:val="171"/>
        </w:trPr>
        <w:tc>
          <w:tcPr>
            <w:tcW w:w="1763" w:type="dxa"/>
            <w:shd w:val="clear" w:color="auto" w:fill="FFFFFF"/>
          </w:tcPr>
          <w:p w14:paraId="06A7A115" w14:textId="014E1797" w:rsidR="00192AD2" w:rsidRPr="00B57B36" w:rsidRDefault="00192AD2" w:rsidP="00446164">
            <w:pPr>
              <w:pStyle w:val="CETBodytext"/>
              <w:rPr>
                <w:lang w:val="en-GB"/>
              </w:rPr>
            </w:pPr>
            <w:r>
              <w:rPr>
                <w:bCs/>
                <w:color w:val="000000" w:themeColor="text1"/>
                <w:szCs w:val="24"/>
              </w:rPr>
              <w:t>Nanovia</w:t>
            </w:r>
          </w:p>
        </w:tc>
        <w:tc>
          <w:tcPr>
            <w:tcW w:w="1763" w:type="dxa"/>
            <w:shd w:val="clear" w:color="auto" w:fill="FFFFFF"/>
          </w:tcPr>
          <w:p w14:paraId="67DB4ADD" w14:textId="6B653ABA" w:rsidR="00192AD2" w:rsidRPr="00B57B36" w:rsidRDefault="00192AD2" w:rsidP="00446164">
            <w:pPr>
              <w:pStyle w:val="CETBodytext"/>
              <w:rPr>
                <w:lang w:val="en-GB"/>
              </w:rPr>
            </w:pPr>
            <w:r>
              <w:rPr>
                <w:bCs/>
                <w:color w:val="000000" w:themeColor="text1"/>
                <w:szCs w:val="24"/>
              </w:rPr>
              <w:t>28.9</w:t>
            </w:r>
          </w:p>
        </w:tc>
        <w:tc>
          <w:tcPr>
            <w:tcW w:w="1763" w:type="dxa"/>
            <w:shd w:val="clear" w:color="auto" w:fill="FFFFFF"/>
          </w:tcPr>
          <w:p w14:paraId="62D3EEE1" w14:textId="334BE903" w:rsidR="00192AD2" w:rsidRPr="00B57B36" w:rsidRDefault="00192AD2" w:rsidP="00446164">
            <w:pPr>
              <w:pStyle w:val="CETBodytext"/>
              <w:rPr>
                <w:lang w:val="en-GB"/>
              </w:rPr>
            </w:pPr>
            <w:r>
              <w:rPr>
                <w:bCs/>
                <w:color w:val="000000" w:themeColor="text1"/>
                <w:szCs w:val="24"/>
              </w:rPr>
              <w:t>34.0</w:t>
            </w:r>
          </w:p>
        </w:tc>
        <w:tc>
          <w:tcPr>
            <w:tcW w:w="1763" w:type="dxa"/>
            <w:shd w:val="clear" w:color="auto" w:fill="FFFFFF"/>
          </w:tcPr>
          <w:p w14:paraId="77800B78" w14:textId="1C15F01B" w:rsidR="00192AD2" w:rsidRPr="00B57B36" w:rsidRDefault="00192AD2" w:rsidP="00446164">
            <w:pPr>
              <w:pStyle w:val="CETBodytext"/>
              <w:ind w:right="-1"/>
              <w:rPr>
                <w:rFonts w:cs="Arial"/>
                <w:szCs w:val="18"/>
                <w:lang w:val="en-GB"/>
              </w:rPr>
            </w:pPr>
            <w:r>
              <w:rPr>
                <w:bCs/>
                <w:color w:val="000000" w:themeColor="text1"/>
                <w:szCs w:val="24"/>
              </w:rPr>
              <w:t>30.0</w:t>
            </w:r>
          </w:p>
        </w:tc>
        <w:tc>
          <w:tcPr>
            <w:tcW w:w="1763" w:type="dxa"/>
            <w:shd w:val="clear" w:color="auto" w:fill="FFFFFF"/>
          </w:tcPr>
          <w:p w14:paraId="064503B7" w14:textId="54034D74" w:rsidR="00192AD2" w:rsidRPr="00B57B36" w:rsidRDefault="00192AD2" w:rsidP="00446164">
            <w:pPr>
              <w:pStyle w:val="CETBodytext"/>
              <w:ind w:right="-1"/>
              <w:rPr>
                <w:rFonts w:cs="Arial"/>
                <w:szCs w:val="18"/>
                <w:lang w:val="en-GB"/>
              </w:rPr>
            </w:pPr>
            <w:r>
              <w:rPr>
                <w:bCs/>
                <w:color w:val="000000" w:themeColor="text1"/>
                <w:szCs w:val="24"/>
              </w:rPr>
              <w:t>0.0</w:t>
            </w:r>
          </w:p>
        </w:tc>
      </w:tr>
      <w:tr w:rsidR="00192AD2" w:rsidRPr="00B57B36" w14:paraId="1373762C" w14:textId="3DF5A53B" w:rsidTr="00BC009D">
        <w:trPr>
          <w:trHeight w:val="532"/>
        </w:trPr>
        <w:tc>
          <w:tcPr>
            <w:tcW w:w="1763" w:type="dxa"/>
            <w:shd w:val="clear" w:color="auto" w:fill="FFFFFF"/>
          </w:tcPr>
          <w:p w14:paraId="198F48E8" w14:textId="77777777" w:rsidR="00192AD2" w:rsidRDefault="00192AD2" w:rsidP="00446164">
            <w:pPr>
              <w:pStyle w:val="CETBodytext"/>
              <w:ind w:right="-1"/>
              <w:rPr>
                <w:bCs/>
                <w:color w:val="000000" w:themeColor="text1"/>
                <w:szCs w:val="24"/>
              </w:rPr>
            </w:pPr>
            <w:r>
              <w:rPr>
                <w:bCs/>
                <w:color w:val="000000" w:themeColor="text1"/>
                <w:szCs w:val="24"/>
              </w:rPr>
              <w:t>PP-PVDF-PP</w:t>
            </w:r>
          </w:p>
          <w:p w14:paraId="0C1B0BC8" w14:textId="725A9208" w:rsidR="00192AD2" w:rsidRPr="00B57B36" w:rsidRDefault="00192AD2" w:rsidP="00446164">
            <w:pPr>
              <w:pStyle w:val="CETBodytext"/>
              <w:ind w:right="-1"/>
              <w:rPr>
                <w:rFonts w:cs="Arial"/>
                <w:szCs w:val="18"/>
                <w:lang w:val="en-GB"/>
              </w:rPr>
            </w:pPr>
            <w:r>
              <w:rPr>
                <w:bCs/>
                <w:szCs w:val="18"/>
              </w:rPr>
              <w:t>PP-PVDF</w:t>
            </w:r>
          </w:p>
        </w:tc>
        <w:tc>
          <w:tcPr>
            <w:tcW w:w="1763" w:type="dxa"/>
            <w:shd w:val="clear" w:color="auto" w:fill="FFFFFF"/>
          </w:tcPr>
          <w:p w14:paraId="1E143F8B" w14:textId="5A92F6E8" w:rsidR="00192AD2" w:rsidRDefault="00192AD2" w:rsidP="00446164">
            <w:pPr>
              <w:pStyle w:val="CETBodytext"/>
              <w:ind w:right="-1"/>
              <w:rPr>
                <w:bCs/>
                <w:color w:val="000000" w:themeColor="text1"/>
                <w:szCs w:val="24"/>
              </w:rPr>
            </w:pPr>
            <w:r>
              <w:rPr>
                <w:bCs/>
                <w:color w:val="000000" w:themeColor="text1"/>
                <w:szCs w:val="24"/>
              </w:rPr>
              <w:t>23.6</w:t>
            </w:r>
          </w:p>
          <w:p w14:paraId="049F9D80" w14:textId="5316F899" w:rsidR="00192AD2" w:rsidRPr="00B57B36" w:rsidRDefault="00192AD2" w:rsidP="00963B7A">
            <w:pPr>
              <w:pStyle w:val="CETBodytext"/>
              <w:ind w:right="-1"/>
              <w:rPr>
                <w:rFonts w:cs="Arial"/>
                <w:szCs w:val="18"/>
                <w:lang w:val="en-GB"/>
              </w:rPr>
            </w:pPr>
            <w:r>
              <w:rPr>
                <w:bCs/>
                <w:szCs w:val="18"/>
              </w:rPr>
              <w:t>23.2</w:t>
            </w:r>
          </w:p>
        </w:tc>
        <w:tc>
          <w:tcPr>
            <w:tcW w:w="1763" w:type="dxa"/>
            <w:shd w:val="clear" w:color="auto" w:fill="FFFFFF"/>
          </w:tcPr>
          <w:p w14:paraId="58494FEE" w14:textId="0236F35B" w:rsidR="00192AD2" w:rsidRDefault="00192AD2" w:rsidP="00446164">
            <w:pPr>
              <w:pStyle w:val="CETBodytext"/>
              <w:ind w:right="-1"/>
              <w:rPr>
                <w:bCs/>
                <w:color w:val="000000" w:themeColor="text1"/>
                <w:szCs w:val="24"/>
              </w:rPr>
            </w:pPr>
            <w:r>
              <w:rPr>
                <w:bCs/>
                <w:color w:val="000000" w:themeColor="text1"/>
                <w:szCs w:val="24"/>
              </w:rPr>
              <w:t>41.5</w:t>
            </w:r>
          </w:p>
          <w:p w14:paraId="7A69E08F" w14:textId="1122A6AE" w:rsidR="00192AD2" w:rsidRPr="00B57B36" w:rsidRDefault="00192AD2" w:rsidP="00446164">
            <w:pPr>
              <w:pStyle w:val="CETBodytext"/>
              <w:ind w:right="-1"/>
              <w:rPr>
                <w:rFonts w:cs="Arial"/>
                <w:szCs w:val="18"/>
                <w:lang w:val="en-GB"/>
              </w:rPr>
            </w:pPr>
            <w:r>
              <w:rPr>
                <w:bCs/>
                <w:szCs w:val="18"/>
              </w:rPr>
              <w:t>44.6</w:t>
            </w:r>
          </w:p>
        </w:tc>
        <w:tc>
          <w:tcPr>
            <w:tcW w:w="1763" w:type="dxa"/>
            <w:shd w:val="clear" w:color="auto" w:fill="FFFFFF"/>
          </w:tcPr>
          <w:p w14:paraId="24E2B2F5" w14:textId="10A90877" w:rsidR="00192AD2" w:rsidRDefault="00192AD2" w:rsidP="00446164">
            <w:pPr>
              <w:pStyle w:val="CETBodytext"/>
              <w:ind w:right="-1"/>
              <w:rPr>
                <w:bCs/>
                <w:color w:val="000000" w:themeColor="text1"/>
                <w:szCs w:val="24"/>
              </w:rPr>
            </w:pPr>
            <w:r>
              <w:rPr>
                <w:bCs/>
                <w:color w:val="000000" w:themeColor="text1"/>
                <w:szCs w:val="24"/>
              </w:rPr>
              <w:t>24.0</w:t>
            </w:r>
          </w:p>
          <w:p w14:paraId="4AD8BC78" w14:textId="3FB669BD" w:rsidR="00192AD2" w:rsidRPr="00B57B36" w:rsidRDefault="00192AD2" w:rsidP="00963B7A">
            <w:pPr>
              <w:pStyle w:val="CETBodytext"/>
              <w:ind w:right="-1"/>
              <w:rPr>
                <w:rFonts w:cs="Arial"/>
                <w:szCs w:val="18"/>
                <w:lang w:val="en-GB"/>
              </w:rPr>
            </w:pPr>
            <w:r>
              <w:rPr>
                <w:bCs/>
                <w:szCs w:val="18"/>
              </w:rPr>
              <w:t>22.0</w:t>
            </w:r>
          </w:p>
        </w:tc>
        <w:tc>
          <w:tcPr>
            <w:tcW w:w="1763" w:type="dxa"/>
            <w:shd w:val="clear" w:color="auto" w:fill="FFFFFF"/>
          </w:tcPr>
          <w:p w14:paraId="318840FC" w14:textId="4CD57021" w:rsidR="00192AD2" w:rsidRDefault="00192AD2" w:rsidP="00446164">
            <w:pPr>
              <w:pStyle w:val="CETBodytext"/>
              <w:ind w:right="-1"/>
              <w:rPr>
                <w:bCs/>
                <w:color w:val="000000" w:themeColor="text1"/>
                <w:szCs w:val="24"/>
              </w:rPr>
            </w:pPr>
            <w:r>
              <w:rPr>
                <w:bCs/>
                <w:color w:val="000000" w:themeColor="text1"/>
                <w:szCs w:val="24"/>
              </w:rPr>
              <w:t>0.0</w:t>
            </w:r>
          </w:p>
          <w:p w14:paraId="77C31E6F" w14:textId="333B8126" w:rsidR="00192AD2" w:rsidRPr="00B57B36" w:rsidRDefault="00192AD2" w:rsidP="00446164">
            <w:pPr>
              <w:pStyle w:val="CETBodytext"/>
              <w:ind w:right="-1"/>
              <w:rPr>
                <w:rFonts w:cs="Arial"/>
                <w:szCs w:val="18"/>
                <w:lang w:val="en-GB"/>
              </w:rPr>
            </w:pPr>
            <w:r>
              <w:rPr>
                <w:bCs/>
                <w:szCs w:val="18"/>
              </w:rPr>
              <w:t>0.0</w:t>
            </w:r>
          </w:p>
        </w:tc>
      </w:tr>
    </w:tbl>
    <w:p w14:paraId="6B9F92A2" w14:textId="77777777" w:rsidR="00446164" w:rsidRDefault="00446164" w:rsidP="004A6285">
      <w:pPr>
        <w:pStyle w:val="CETBodytext"/>
        <w:rPr>
          <w:lang w:val="en-GB"/>
        </w:rPr>
      </w:pPr>
    </w:p>
    <w:p w14:paraId="7DE37682" w14:textId="0D2A6CB7" w:rsidR="00C7400A" w:rsidRDefault="00B464F4" w:rsidP="0000121B">
      <w:pPr>
        <w:pStyle w:val="CETBodytext"/>
      </w:pPr>
      <w:r w:rsidRPr="00B464F4">
        <w:t>The next step is to prepare the test solutions themselves. Four control samples were prepared by pouring 50</w:t>
      </w:r>
      <w:r w:rsidR="00B717CC">
        <w:t> </w:t>
      </w:r>
      <w:r w:rsidRPr="00B464F4">
        <w:t>m</w:t>
      </w:r>
      <w:r w:rsidR="00B717CC">
        <w:t>L</w:t>
      </w:r>
      <w:r w:rsidRPr="00B464F4">
        <w:t xml:space="preserve"> of the dilution solution prepared as described above into 100 m</w:t>
      </w:r>
      <w:r w:rsidR="00B717CC">
        <w:t>L</w:t>
      </w:r>
      <w:r w:rsidRPr="00B464F4">
        <w:t xml:space="preserve"> beakers. The preparation of aqueous leachates of maximum concentration was then started by simply pouring 50 m</w:t>
      </w:r>
      <w:r w:rsidR="00B717CC">
        <w:t>L</w:t>
      </w:r>
      <w:r w:rsidRPr="00B464F4">
        <w:t xml:space="preserve"> of filtered and treated aqueous leachate </w:t>
      </w:r>
      <w:r w:rsidRPr="00B464F4">
        <w:lastRenderedPageBreak/>
        <w:t>(concentration 1000 m</w:t>
      </w:r>
      <w:r w:rsidR="00B717CC">
        <w:t>L</w:t>
      </w:r>
      <w:r w:rsidRPr="00B464F4">
        <w:t>/</w:t>
      </w:r>
      <w:r w:rsidR="00B717CC">
        <w:t>L</w:t>
      </w:r>
      <w:r w:rsidRPr="00B464F4">
        <w:t>) into the beakers mentioned above. The other two concentrations were 500</w:t>
      </w:r>
      <w:r w:rsidR="00B717CC">
        <w:t> </w:t>
      </w:r>
      <w:r w:rsidRPr="00B464F4">
        <w:t>m</w:t>
      </w:r>
      <w:r w:rsidR="00B717CC">
        <w:t>L</w:t>
      </w:r>
      <w:r w:rsidRPr="00B464F4">
        <w:t>/</w:t>
      </w:r>
      <w:r w:rsidR="00B717CC">
        <w:t>L</w:t>
      </w:r>
      <w:r w:rsidRPr="00B464F4">
        <w:t>, which was prepared by mixing the aqueous leachate with the dilution solution in a 1:1 ratio (25 m</w:t>
      </w:r>
      <w:r w:rsidR="00B717CC">
        <w:t>L</w:t>
      </w:r>
      <w:r w:rsidRPr="00B464F4">
        <w:t xml:space="preserve"> of dilution solution and 25 m</w:t>
      </w:r>
      <w:r w:rsidR="00B717CC">
        <w:t>L</w:t>
      </w:r>
      <w:r w:rsidRPr="00B464F4">
        <w:t xml:space="preserve"> of aqueous leachate), and 200 m</w:t>
      </w:r>
      <w:r w:rsidR="00B717CC">
        <w:t>L</w:t>
      </w:r>
      <w:r w:rsidRPr="00B464F4">
        <w:t>/</w:t>
      </w:r>
      <w:r w:rsidR="00B717CC">
        <w:t>L</w:t>
      </w:r>
      <w:r w:rsidRPr="00B464F4">
        <w:t>, which was prepared in the same way but this time in a 4:1 ratio (40 m</w:t>
      </w:r>
      <w:r w:rsidR="00B717CC">
        <w:t>L</w:t>
      </w:r>
      <w:r w:rsidRPr="00B464F4">
        <w:t xml:space="preserve"> of dilution solution and 10 m</w:t>
      </w:r>
      <w:r w:rsidR="00B717CC">
        <w:t>L</w:t>
      </w:r>
      <w:r w:rsidRPr="00B464F4">
        <w:t xml:space="preserve"> of aqueous leachate). All samples were prepared in parallel determinations A and B. Samples for all three types of test materials were prepared using the same procedure</w:t>
      </w:r>
      <w:r w:rsidR="00C776CE">
        <w:t xml:space="preserve"> </w:t>
      </w:r>
      <w:r w:rsidR="00E03E41">
        <w:t>(</w:t>
      </w:r>
      <w:r w:rsidR="00D11464">
        <w:t>C</w:t>
      </w:r>
      <w:r w:rsidR="00B717CC">
        <w:t>SN EN ISO 6341, 1997; OECD 202, 2004</w:t>
      </w:r>
      <w:r w:rsidR="00B9576F">
        <w:t xml:space="preserve"> and </w:t>
      </w:r>
      <w:r w:rsidR="00D11464">
        <w:rPr>
          <w:bCs/>
        </w:rPr>
        <w:t>C</w:t>
      </w:r>
      <w:r w:rsidR="00B9576F" w:rsidRPr="0015363E">
        <w:rPr>
          <w:bCs/>
        </w:rPr>
        <w:t>SN EN 12457-4 (838005), 2003</w:t>
      </w:r>
      <w:r w:rsidR="00B9576F">
        <w:t>)</w:t>
      </w:r>
      <w:r w:rsidR="00C776CE">
        <w:t>)</w:t>
      </w:r>
      <w:r w:rsidR="00B717CC">
        <w:t>.</w:t>
      </w:r>
    </w:p>
    <w:p w14:paraId="1A464414" w14:textId="2C85D3DB" w:rsidR="00C7400A" w:rsidRPr="00E82152" w:rsidRDefault="00B464F4" w:rsidP="0000121B">
      <w:pPr>
        <w:pStyle w:val="CETBodytext"/>
        <w:rPr>
          <w:b/>
          <w:bCs/>
          <w:color w:val="000000" w:themeColor="text1"/>
          <w:sz w:val="22"/>
        </w:rPr>
      </w:pPr>
      <w:r w:rsidRPr="00B464F4">
        <w:t xml:space="preserve">A portion of the </w:t>
      </w:r>
      <w:r w:rsidR="00B717CC" w:rsidRPr="00B464F4">
        <w:t>daphnia</w:t>
      </w:r>
      <w:r w:rsidR="00B717CC">
        <w:t>’s</w:t>
      </w:r>
      <w:r w:rsidRPr="00B464F4">
        <w:t xml:space="preserve"> in their rearing medium was transferred to a large glass dish, from where they were scooped up with a dropper and transferred to individual beakers so that there were exactly 10 moving individuals in each beaker to meet the requirement of 5 m</w:t>
      </w:r>
      <w:r w:rsidR="00B717CC">
        <w:t>L</w:t>
      </w:r>
      <w:r w:rsidRPr="00B464F4">
        <w:t xml:space="preserve"> of solution for each individual in the beaker</w:t>
      </w:r>
      <w:r w:rsidR="00C7400A">
        <w:t xml:space="preserve"> </w:t>
      </w:r>
      <w:r w:rsidR="00E03E41">
        <w:t>(</w:t>
      </w:r>
      <w:r w:rsidR="00D11464">
        <w:t>C</w:t>
      </w:r>
      <w:r w:rsidR="00B717CC">
        <w:t>SN EN ISO 6341, 1997; OECD 202, 2004</w:t>
      </w:r>
      <w:r w:rsidR="00C776CE">
        <w:t>)</w:t>
      </w:r>
      <w:r w:rsidR="00B717CC">
        <w:t>.</w:t>
      </w:r>
    </w:p>
    <w:p w14:paraId="3EAC171B" w14:textId="150202F1" w:rsidR="007B7DA2" w:rsidRDefault="00B464F4" w:rsidP="0000121B">
      <w:pPr>
        <w:pStyle w:val="CETBodytext"/>
      </w:pPr>
      <w:r w:rsidRPr="00B464F4">
        <w:t>The final step in this preparatory phase of the test was to measure the amount of dissolved oxygen using an Oxi electrode, and this value must never fall below 2 mg/</w:t>
      </w:r>
      <w:r w:rsidR="00B717CC">
        <w:t>L</w:t>
      </w:r>
      <w:r w:rsidRPr="00B464F4">
        <w:t>. In the experiment carried out</w:t>
      </w:r>
      <w:r w:rsidR="00A338B7">
        <w:t xml:space="preserve"> and</w:t>
      </w:r>
      <w:r w:rsidRPr="00B464F4">
        <w:t xml:space="preserve"> </w:t>
      </w:r>
      <w:r w:rsidR="00A338B7">
        <w:t>p</w:t>
      </w:r>
      <w:r w:rsidR="00A338B7" w:rsidRPr="00A338B7">
        <w:t>rior to testing, it ranged between 6.2 and 7.5 mg/L</w:t>
      </w:r>
      <w:r w:rsidR="00A338B7">
        <w:t xml:space="preserve">. </w:t>
      </w:r>
      <w:r w:rsidR="00A338B7" w:rsidRPr="00A338B7">
        <w:t>After 24 hours the value was 5.7 - 6.3 mg/L, after 48 hours it was 4.5 - 5.3 mg/L.</w:t>
      </w:r>
      <w:r w:rsidR="00375E76">
        <w:t xml:space="preserve"> </w:t>
      </w:r>
      <w:r w:rsidR="00C776CE">
        <w:t>(</w:t>
      </w:r>
      <w:r w:rsidR="00D11464">
        <w:t>C</w:t>
      </w:r>
      <w:r w:rsidR="00B717CC">
        <w:t>SN EN ISO 6341, 1997; OECD 202, 2004</w:t>
      </w:r>
      <w:r w:rsidR="00375E76">
        <w:t>)</w:t>
      </w:r>
      <w:r w:rsidR="00B717CC">
        <w:t>.</w:t>
      </w:r>
    </w:p>
    <w:p w14:paraId="0937A6D4" w14:textId="77777777" w:rsidR="001638D0" w:rsidRPr="001638D0" w:rsidRDefault="001638D0" w:rsidP="0000121B">
      <w:pPr>
        <w:pStyle w:val="CETBodytext"/>
      </w:pPr>
    </w:p>
    <w:p w14:paraId="031E1AD5" w14:textId="2ECFA59C" w:rsidR="00E07A5A" w:rsidRDefault="004057E6" w:rsidP="004057E6">
      <w:pPr>
        <w:pStyle w:val="CETheadingx"/>
        <w:rPr>
          <w:lang w:val="pl-PL"/>
        </w:rPr>
      </w:pPr>
      <w:r>
        <w:rPr>
          <w:lang w:val="pl-PL"/>
        </w:rPr>
        <w:t>Statistical analysis</w:t>
      </w:r>
    </w:p>
    <w:p w14:paraId="4B655F6C" w14:textId="3C12643F" w:rsidR="00E2657A" w:rsidRPr="00E2657A" w:rsidRDefault="00E2657A" w:rsidP="00E2657A">
      <w:pPr>
        <w:pStyle w:val="CETBodytext"/>
        <w:rPr>
          <w:lang w:val="pl-PL"/>
        </w:rPr>
      </w:pPr>
      <w:r w:rsidRPr="00E2657A">
        <w:rPr>
          <w:lang w:val="pl-PL"/>
        </w:rPr>
        <w:t xml:space="preserve">The tests were consistently carried out in accordance with EN ISO 6341 - Water quality - Determination of inhibition of mobility of </w:t>
      </w:r>
      <w:r w:rsidRPr="00E2657A">
        <w:rPr>
          <w:i/>
          <w:lang w:val="pl-PL"/>
        </w:rPr>
        <w:t>Daphnia magna</w:t>
      </w:r>
      <w:r w:rsidRPr="00E2657A">
        <w:rPr>
          <w:lang w:val="pl-PL"/>
        </w:rPr>
        <w:t xml:space="preserve"> Straus - Acute toxicity test (EN ISO 6341, 1997), with emphasis on the va</w:t>
      </w:r>
      <w:r>
        <w:rPr>
          <w:lang w:val="pl-PL"/>
        </w:rPr>
        <w:t>lues of conductivity, electric</w:t>
      </w:r>
      <w:r w:rsidRPr="00E2657A">
        <w:rPr>
          <w:lang w:val="pl-PL"/>
        </w:rPr>
        <w:t xml:space="preserve"> resi</w:t>
      </w:r>
      <w:r>
        <w:rPr>
          <w:lang w:val="pl-PL"/>
        </w:rPr>
        <w:t>stivity</w:t>
      </w:r>
      <w:r w:rsidRPr="00E2657A">
        <w:rPr>
          <w:lang w:val="pl-PL"/>
        </w:rPr>
        <w:t>, TDS, salinity, pH, temperature and dissolved oxygen according to the standard.</w:t>
      </w:r>
    </w:p>
    <w:p w14:paraId="0B0A81A9" w14:textId="0BEC1614" w:rsidR="00E2657A" w:rsidRPr="00E2657A" w:rsidRDefault="00E2657A" w:rsidP="00E2657A">
      <w:pPr>
        <w:pStyle w:val="CETBodytext"/>
        <w:rPr>
          <w:lang w:val="pl-PL"/>
        </w:rPr>
      </w:pPr>
      <w:r w:rsidRPr="00E2657A">
        <w:rPr>
          <w:lang w:val="pl-PL"/>
        </w:rPr>
        <w:t>The resulting data were obtained by determining parallel A/B determinations, thus starting from a base number of 20 daphnia</w:t>
      </w:r>
      <w:r w:rsidR="00D1540E">
        <w:rPr>
          <w:lang w:val="pl-PL"/>
        </w:rPr>
        <w:t>’s</w:t>
      </w:r>
      <w:r w:rsidRPr="00E2657A">
        <w:rPr>
          <w:lang w:val="pl-PL"/>
        </w:rPr>
        <w:t xml:space="preserve"> per given concentration). Temperature at the time of determination ranged from 21- 24 °C, pH was constant and dissolved oxygen was always</w:t>
      </w:r>
      <w:r>
        <w:rPr>
          <w:lang w:val="pl-PL"/>
        </w:rPr>
        <w:t xml:space="preserve"> equal to or greater than 4.5 mg/L</w:t>
      </w:r>
      <w:r w:rsidRPr="00E2657A">
        <w:rPr>
          <w:lang w:val="pl-PL"/>
        </w:rPr>
        <w:t>. Only immobilised individuals were counted, i.e. not swimming, not moving or possibly moving but not within the beaker, remaining in one place for at least 15 seconds (EN ISO 6341, 1997; OECD 202, 2004).</w:t>
      </w:r>
    </w:p>
    <w:p w14:paraId="2D1CF88D" w14:textId="529C5305" w:rsidR="00E2657A" w:rsidRDefault="00E2657A" w:rsidP="00E2657A">
      <w:pPr>
        <w:pStyle w:val="CETBodytext"/>
        <w:rPr>
          <w:lang w:val="pl-PL"/>
        </w:rPr>
      </w:pPr>
      <w:r w:rsidRPr="00E2657A">
        <w:rPr>
          <w:lang w:val="pl-PL"/>
        </w:rPr>
        <w:t>The results are divided into two parts, because the first immobilisation test performed for all materials and a</w:t>
      </w:r>
      <w:r w:rsidR="00D1540E">
        <w:rPr>
          <w:lang w:val="pl-PL"/>
        </w:rPr>
        <w:t>ll leachate concentrations on</w:t>
      </w:r>
      <w:r w:rsidRPr="00E2657A">
        <w:rPr>
          <w:lang w:val="pl-PL"/>
        </w:rPr>
        <w:t xml:space="preserve"> March </w:t>
      </w:r>
      <w:r w:rsidR="00D1540E">
        <w:rPr>
          <w:lang w:val="pl-PL"/>
        </w:rPr>
        <w:t xml:space="preserve">28, </w:t>
      </w:r>
      <w:r w:rsidRPr="00E2657A">
        <w:rPr>
          <w:lang w:val="pl-PL"/>
        </w:rPr>
        <w:t>2022 did not give very goo</w:t>
      </w:r>
      <w:r w:rsidR="00D1540E">
        <w:rPr>
          <w:lang w:val="pl-PL"/>
        </w:rPr>
        <w:t>d res</w:t>
      </w:r>
      <w:r w:rsidR="00C86204">
        <w:rPr>
          <w:lang w:val="pl-PL"/>
        </w:rPr>
        <w:t>ults, further</w:t>
      </w:r>
      <w:r w:rsidRPr="00E2657A">
        <w:rPr>
          <w:lang w:val="pl-PL"/>
        </w:rPr>
        <w:t xml:space="preserve"> immobilisation test was started o</w:t>
      </w:r>
      <w:r w:rsidR="00D1540E">
        <w:rPr>
          <w:lang w:val="pl-PL"/>
        </w:rPr>
        <w:t>n</w:t>
      </w:r>
      <w:r w:rsidRPr="00E2657A">
        <w:rPr>
          <w:lang w:val="pl-PL"/>
        </w:rPr>
        <w:t xml:space="preserve"> March </w:t>
      </w:r>
      <w:r w:rsidR="00D1540E">
        <w:rPr>
          <w:lang w:val="pl-PL"/>
        </w:rPr>
        <w:t xml:space="preserve">30, </w:t>
      </w:r>
      <w:r w:rsidRPr="00E2657A">
        <w:rPr>
          <w:lang w:val="pl-PL"/>
        </w:rPr>
        <w:t>2022, using only those concentrations of selected materials that achieved inhibition higher than 10</w:t>
      </w:r>
      <w:r w:rsidR="00C86204">
        <w:rPr>
          <w:lang w:val="pl-PL"/>
        </w:rPr>
        <w:t xml:space="preserve"> </w:t>
      </w:r>
      <w:r w:rsidRPr="00E2657A">
        <w:rPr>
          <w:lang w:val="pl-PL"/>
        </w:rPr>
        <w:t>% in the previous test. The sec</w:t>
      </w:r>
      <w:r w:rsidR="00D1540E">
        <w:rPr>
          <w:lang w:val="pl-PL"/>
        </w:rPr>
        <w:t>ond test was therefore carried out between</w:t>
      </w:r>
      <w:r w:rsidRPr="00E2657A">
        <w:rPr>
          <w:lang w:val="pl-PL"/>
        </w:rPr>
        <w:t xml:space="preserve"> March </w:t>
      </w:r>
      <w:r w:rsidR="00D1540E">
        <w:rPr>
          <w:lang w:val="pl-PL"/>
        </w:rPr>
        <w:t>30, 2022 and</w:t>
      </w:r>
      <w:r w:rsidRPr="00E2657A">
        <w:rPr>
          <w:lang w:val="pl-PL"/>
        </w:rPr>
        <w:t xml:space="preserve"> April </w:t>
      </w:r>
      <w:r w:rsidR="00D1540E">
        <w:rPr>
          <w:lang w:val="pl-PL"/>
        </w:rPr>
        <w:t xml:space="preserve">1, </w:t>
      </w:r>
      <w:r w:rsidR="00C86204">
        <w:rPr>
          <w:lang w:val="pl-PL"/>
        </w:rPr>
        <w:t>2022.</w:t>
      </w:r>
    </w:p>
    <w:p w14:paraId="4B780FFD" w14:textId="2A23986D" w:rsidR="00E2657A" w:rsidRPr="00E2657A" w:rsidRDefault="00C86204" w:rsidP="00E2657A">
      <w:pPr>
        <w:pStyle w:val="CETBodytext"/>
        <w:rPr>
          <w:lang w:val="pl-PL"/>
        </w:rPr>
      </w:pPr>
      <w:r w:rsidRPr="00C86204">
        <w:rPr>
          <w:lang w:val="pl-PL"/>
        </w:rPr>
        <w:t>For comparison, these experiments were simultaneously performed by an accredited laboratory using two of the three materials tested, and the results obtained by us were then compared with those obtained by the accredited laboratory.</w:t>
      </w:r>
    </w:p>
    <w:p w14:paraId="29E8278A" w14:textId="23AC1EFF" w:rsidR="00E07A5A" w:rsidRDefault="00E07A5A" w:rsidP="00C7400A">
      <w:pPr>
        <w:pStyle w:val="CETheadingx"/>
      </w:pPr>
      <w:r>
        <w:t>The results</w:t>
      </w:r>
    </w:p>
    <w:p w14:paraId="2518177F" w14:textId="7AC5E87C" w:rsidR="00C10368" w:rsidRDefault="00A46417" w:rsidP="0000121B">
      <w:pPr>
        <w:pStyle w:val="CETBodytext"/>
      </w:pPr>
      <w:r w:rsidRPr="00A46417">
        <w:t>After 24 and 48 hours, immobilized organisms were counted at all concentrations and in control samples. However, for the results to be considered as meaningful, several criteria had to be met</w:t>
      </w:r>
      <w:r w:rsidR="00C10368">
        <w:t>:</w:t>
      </w:r>
    </w:p>
    <w:p w14:paraId="284A376F" w14:textId="2959F4CD" w:rsidR="00C10368" w:rsidRDefault="00A46417" w:rsidP="00A46417">
      <w:pPr>
        <w:pStyle w:val="Odstavecseseznamem"/>
        <w:numPr>
          <w:ilvl w:val="0"/>
          <w:numId w:val="23"/>
        </w:numPr>
        <w:tabs>
          <w:tab w:val="clear" w:pos="7100"/>
        </w:tabs>
        <w:spacing w:after="120" w:line="360" w:lineRule="auto"/>
      </w:pPr>
      <w:r w:rsidRPr="00A46417">
        <w:t>The dissolved oxygen concentration must never fall below 2 mg/</w:t>
      </w:r>
      <w:r w:rsidR="00B717CC">
        <w:t>L</w:t>
      </w:r>
      <w:r w:rsidR="00C10368">
        <w:t>;</w:t>
      </w:r>
    </w:p>
    <w:p w14:paraId="423D5E10" w14:textId="3E6EF0F9" w:rsidR="00C10368" w:rsidRDefault="00A46417" w:rsidP="00A46417">
      <w:pPr>
        <w:pStyle w:val="Odstavecseseznamem"/>
        <w:numPr>
          <w:ilvl w:val="0"/>
          <w:numId w:val="23"/>
        </w:numPr>
        <w:tabs>
          <w:tab w:val="clear" w:pos="7100"/>
        </w:tabs>
        <w:spacing w:after="120" w:line="360" w:lineRule="auto"/>
      </w:pPr>
      <w:r w:rsidRPr="00A46417">
        <w:t>the concentration of the test substance must be greater than or equal to 80 % of the nominal concentration</w:t>
      </w:r>
      <w:r w:rsidR="00C10368">
        <w:t>;</w:t>
      </w:r>
    </w:p>
    <w:p w14:paraId="25428D7B" w14:textId="1A0A67E8" w:rsidR="00C10368" w:rsidRDefault="00D507D8" w:rsidP="00A46417">
      <w:pPr>
        <w:pStyle w:val="Odstavecseseznamem"/>
        <w:numPr>
          <w:ilvl w:val="0"/>
          <w:numId w:val="23"/>
        </w:numPr>
        <w:tabs>
          <w:tab w:val="clear" w:pos="7100"/>
        </w:tabs>
        <w:spacing w:after="120" w:line="360" w:lineRule="auto"/>
      </w:pPr>
      <w:r w:rsidRPr="00A46417">
        <w:t>Immobilisation</w:t>
      </w:r>
      <w:r w:rsidR="00A46417" w:rsidRPr="00A46417">
        <w:t xml:space="preserve"> in control samples must not exceed 10 % after 24 hours and 20</w:t>
      </w:r>
      <w:r w:rsidR="00B717CC">
        <w:t> </w:t>
      </w:r>
      <w:r w:rsidR="00A46417" w:rsidRPr="00A46417">
        <w:t>% after 48 hours</w:t>
      </w:r>
      <w:r w:rsidR="008772C8">
        <w:t xml:space="preserve"> </w:t>
      </w:r>
      <w:r w:rsidR="00C776CE">
        <w:t>(</w:t>
      </w:r>
      <w:r w:rsidR="00D11464">
        <w:t>C</w:t>
      </w:r>
      <w:r w:rsidR="00B717CC">
        <w:t>SN EN ISO 6341, 1997; OECD 202, 2004</w:t>
      </w:r>
      <w:r w:rsidR="008772C8">
        <w:t>)</w:t>
      </w:r>
      <w:r w:rsidR="00B717CC">
        <w:t>.</w:t>
      </w:r>
    </w:p>
    <w:p w14:paraId="0EA59CFC" w14:textId="6F1E189B" w:rsidR="000522DD" w:rsidRDefault="00181BB5" w:rsidP="0000121B">
      <w:pPr>
        <w:pStyle w:val="CETBodytext"/>
      </w:pPr>
      <w:r w:rsidRPr="00181BB5">
        <w:t>Table three shows the results of the first determ</w:t>
      </w:r>
      <w:r>
        <w:t>ination experiment</w:t>
      </w:r>
      <w:r w:rsidRPr="00181BB5">
        <w:t>.</w:t>
      </w:r>
    </w:p>
    <w:p w14:paraId="06B6FC44" w14:textId="75586775" w:rsidR="000522DD" w:rsidRDefault="000522DD" w:rsidP="00FA7E07">
      <w:pPr>
        <w:pStyle w:val="CETTabletitle"/>
      </w:pPr>
      <w:r w:rsidRPr="00B57B36">
        <w:t xml:space="preserve">Table </w:t>
      </w:r>
      <w:r w:rsidR="00193101">
        <w:t>3</w:t>
      </w:r>
      <w:r w:rsidRPr="00B57B36">
        <w:t xml:space="preserve">: </w:t>
      </w:r>
      <w:r w:rsidR="00EE3957" w:rsidRPr="00EE3957">
        <w:t>Results of the acute immobilization test</w:t>
      </w:r>
      <w:r w:rsidR="00EE3957">
        <w:t xml:space="preserve"> on </w:t>
      </w:r>
      <w:r w:rsidR="00910CAD">
        <w:t>d</w:t>
      </w:r>
      <w:r w:rsidR="00910CAD" w:rsidRPr="00EE3957">
        <w:t>aphnia</w:t>
      </w:r>
      <w:r w:rsidR="00910CAD">
        <w:t>’s</w:t>
      </w:r>
      <w:r w:rsidR="00EE3957" w:rsidRPr="00EE3957">
        <w:t xml:space="preserve"> after 24 and 48 h</w:t>
      </w:r>
      <w:r w:rsidR="00193101" w:rsidRPr="00193101">
        <w:t xml:space="preserve"> (28. 3. – 30. 3</w:t>
      </w:r>
      <w:r w:rsidR="00193101">
        <w:t>.</w:t>
      </w:r>
      <w:r w:rsidR="00910CAD">
        <w:t xml:space="preserve"> 2022</w:t>
      </w:r>
      <w:r w:rsidR="00193101">
        <w:t>)</w:t>
      </w:r>
    </w:p>
    <w:tbl>
      <w:tblPr>
        <w:tblW w:w="864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21"/>
        <w:gridCol w:w="2315"/>
        <w:gridCol w:w="2127"/>
        <w:gridCol w:w="1984"/>
      </w:tblGrid>
      <w:tr w:rsidR="000522DD" w:rsidRPr="00B57B36" w14:paraId="532E1BEB" w14:textId="77777777" w:rsidTr="00265EC0">
        <w:trPr>
          <w:trHeight w:val="464"/>
        </w:trPr>
        <w:tc>
          <w:tcPr>
            <w:tcW w:w="2221" w:type="dxa"/>
            <w:tcBorders>
              <w:top w:val="single" w:sz="12" w:space="0" w:color="008000"/>
              <w:bottom w:val="single" w:sz="6" w:space="0" w:color="008000"/>
            </w:tcBorders>
            <w:shd w:val="clear" w:color="auto" w:fill="FFFFFF"/>
          </w:tcPr>
          <w:p w14:paraId="34F873D0" w14:textId="2D18C495" w:rsidR="000522DD" w:rsidRPr="0078537F" w:rsidRDefault="00860982" w:rsidP="000522DD">
            <w:pPr>
              <w:pStyle w:val="CETBodytext"/>
              <w:rPr>
                <w:bCs/>
                <w:lang w:val="en-GB"/>
              </w:rPr>
            </w:pPr>
            <w:r>
              <w:rPr>
                <w:rFonts w:eastAsia="Calibri"/>
                <w:bCs/>
                <w:iCs/>
                <w:color w:val="000000"/>
                <w:szCs w:val="24"/>
              </w:rPr>
              <w:t>Materia</w:t>
            </w:r>
            <w:r w:rsidR="000522DD" w:rsidRPr="0078537F">
              <w:rPr>
                <w:rFonts w:eastAsia="Calibri"/>
                <w:bCs/>
                <w:iCs/>
                <w:color w:val="000000"/>
                <w:szCs w:val="24"/>
              </w:rPr>
              <w:t>l</w:t>
            </w:r>
          </w:p>
        </w:tc>
        <w:tc>
          <w:tcPr>
            <w:tcW w:w="2315" w:type="dxa"/>
            <w:tcBorders>
              <w:top w:val="single" w:sz="12" w:space="0" w:color="008000"/>
              <w:bottom w:val="single" w:sz="6" w:space="0" w:color="008000"/>
            </w:tcBorders>
            <w:shd w:val="clear" w:color="auto" w:fill="FFFFFF"/>
          </w:tcPr>
          <w:p w14:paraId="24D1C356" w14:textId="246BAFBD" w:rsidR="000522DD" w:rsidRPr="0078537F" w:rsidRDefault="00860982" w:rsidP="000522DD">
            <w:pPr>
              <w:pStyle w:val="CETBodytext"/>
              <w:rPr>
                <w:rFonts w:eastAsia="Calibri"/>
                <w:bCs/>
                <w:iCs/>
                <w:color w:val="000000"/>
                <w:szCs w:val="24"/>
              </w:rPr>
            </w:pPr>
            <w:r>
              <w:rPr>
                <w:rFonts w:eastAsia="Calibri"/>
                <w:bCs/>
                <w:iCs/>
                <w:color w:val="000000"/>
                <w:szCs w:val="24"/>
              </w:rPr>
              <w:t>Concentration of leachates</w:t>
            </w:r>
            <w:r w:rsidR="000522DD" w:rsidRPr="0078537F">
              <w:rPr>
                <w:rFonts w:eastAsia="Calibri"/>
                <w:bCs/>
                <w:iCs/>
                <w:color w:val="000000"/>
                <w:szCs w:val="24"/>
              </w:rPr>
              <w:t xml:space="preserve"> </w:t>
            </w:r>
          </w:p>
          <w:p w14:paraId="545FA6B0" w14:textId="6B189AFE" w:rsidR="000522DD" w:rsidRPr="0078537F" w:rsidRDefault="000522DD" w:rsidP="00910CAD">
            <w:pPr>
              <w:pStyle w:val="CETBodytext"/>
              <w:rPr>
                <w:bCs/>
                <w:lang w:val="en-GB"/>
              </w:rPr>
            </w:pPr>
            <w:r w:rsidRPr="0078537F">
              <w:rPr>
                <w:rFonts w:eastAsia="Calibri"/>
                <w:bCs/>
                <w:iCs/>
                <w:color w:val="000000"/>
                <w:szCs w:val="24"/>
              </w:rPr>
              <w:t>[m</w:t>
            </w:r>
            <w:r w:rsidR="00910CAD">
              <w:rPr>
                <w:rFonts w:eastAsia="Calibri"/>
                <w:bCs/>
                <w:iCs/>
                <w:color w:val="000000"/>
                <w:szCs w:val="24"/>
              </w:rPr>
              <w:t>L</w:t>
            </w:r>
            <w:r w:rsidRPr="0078537F">
              <w:rPr>
                <w:rFonts w:eastAsia="Calibri"/>
                <w:bCs/>
                <w:iCs/>
                <w:color w:val="000000"/>
                <w:szCs w:val="24"/>
              </w:rPr>
              <w:t>/</w:t>
            </w:r>
            <w:r w:rsidR="00910CAD">
              <w:rPr>
                <w:rFonts w:eastAsia="Calibri"/>
                <w:bCs/>
                <w:iCs/>
                <w:color w:val="000000"/>
                <w:szCs w:val="24"/>
              </w:rPr>
              <w:t>L</w:t>
            </w:r>
            <w:r w:rsidRPr="0078537F">
              <w:rPr>
                <w:rFonts w:eastAsia="Calibri"/>
                <w:bCs/>
                <w:iCs/>
                <w:color w:val="000000"/>
                <w:szCs w:val="24"/>
              </w:rPr>
              <w:t>]</w:t>
            </w:r>
          </w:p>
        </w:tc>
        <w:tc>
          <w:tcPr>
            <w:tcW w:w="2127" w:type="dxa"/>
            <w:tcBorders>
              <w:top w:val="single" w:sz="12" w:space="0" w:color="008000"/>
              <w:bottom w:val="single" w:sz="6" w:space="0" w:color="008000"/>
            </w:tcBorders>
            <w:shd w:val="clear" w:color="auto" w:fill="FFFFFF"/>
          </w:tcPr>
          <w:p w14:paraId="642D9930" w14:textId="77777777" w:rsidR="000522DD" w:rsidRDefault="00860982" w:rsidP="000522DD">
            <w:pPr>
              <w:pStyle w:val="CETBodytext"/>
              <w:rPr>
                <w:rFonts w:eastAsia="Calibri"/>
                <w:bCs/>
                <w:iCs/>
                <w:color w:val="000000"/>
                <w:szCs w:val="24"/>
              </w:rPr>
            </w:pPr>
            <w:r w:rsidRPr="00860982">
              <w:rPr>
                <w:rFonts w:eastAsia="Calibri"/>
                <w:bCs/>
                <w:iCs/>
                <w:color w:val="000000"/>
                <w:szCs w:val="24"/>
              </w:rPr>
              <w:t>Immobilization after 24 h</w:t>
            </w:r>
          </w:p>
          <w:p w14:paraId="0281C3B8" w14:textId="445ABC99" w:rsidR="00177CAE" w:rsidRPr="0078537F" w:rsidRDefault="00177CAE" w:rsidP="000522DD">
            <w:pPr>
              <w:pStyle w:val="CETBodytext"/>
              <w:rPr>
                <w:bCs/>
                <w:lang w:val="en-GB"/>
              </w:rPr>
            </w:pPr>
            <w:r>
              <w:rPr>
                <w:rFonts w:eastAsia="Calibri"/>
                <w:bCs/>
                <w:iCs/>
                <w:color w:val="000000"/>
                <w:szCs w:val="24"/>
              </w:rPr>
              <w:t>[</w:t>
            </w:r>
            <w:r>
              <w:rPr>
                <w:rFonts w:eastAsia="Calibri"/>
                <w:bCs/>
                <w:iCs/>
                <w:szCs w:val="24"/>
                <w:lang w:val="cs-CZ"/>
              </w:rPr>
              <w:t>%</w:t>
            </w:r>
            <w:r>
              <w:rPr>
                <w:rFonts w:eastAsia="Calibri"/>
                <w:bCs/>
                <w:iCs/>
                <w:color w:val="000000"/>
                <w:szCs w:val="24"/>
              </w:rPr>
              <w:t>]</w:t>
            </w:r>
          </w:p>
        </w:tc>
        <w:tc>
          <w:tcPr>
            <w:tcW w:w="1984" w:type="dxa"/>
            <w:tcBorders>
              <w:top w:val="single" w:sz="12" w:space="0" w:color="008000"/>
              <w:bottom w:val="single" w:sz="6" w:space="0" w:color="008000"/>
            </w:tcBorders>
            <w:shd w:val="clear" w:color="auto" w:fill="FFFFFF"/>
          </w:tcPr>
          <w:p w14:paraId="35422A4B" w14:textId="5B85E0E6" w:rsidR="00177CAE" w:rsidRDefault="00860982" w:rsidP="000522DD">
            <w:pPr>
              <w:pStyle w:val="CETBodytext"/>
              <w:ind w:right="-1"/>
              <w:rPr>
                <w:rFonts w:eastAsia="Calibri"/>
                <w:bCs/>
                <w:iCs/>
                <w:color w:val="000000"/>
                <w:szCs w:val="24"/>
                <w:lang w:val="en-GB"/>
              </w:rPr>
            </w:pPr>
            <w:r>
              <w:rPr>
                <w:rFonts w:eastAsia="Calibri"/>
                <w:bCs/>
                <w:iCs/>
                <w:color w:val="000000"/>
                <w:szCs w:val="24"/>
                <w:lang w:val="en-GB"/>
              </w:rPr>
              <w:t>Immobilization after 48</w:t>
            </w:r>
            <w:r w:rsidRPr="00860982">
              <w:rPr>
                <w:rFonts w:eastAsia="Calibri"/>
                <w:bCs/>
                <w:iCs/>
                <w:color w:val="000000"/>
                <w:szCs w:val="24"/>
                <w:lang w:val="en-GB"/>
              </w:rPr>
              <w:t xml:space="preserve"> h</w:t>
            </w:r>
          </w:p>
          <w:p w14:paraId="32EC7C00" w14:textId="465D41A2" w:rsidR="000522DD" w:rsidRPr="0078537F" w:rsidRDefault="00177CAE" w:rsidP="000522DD">
            <w:pPr>
              <w:pStyle w:val="CETBodytext"/>
              <w:ind w:right="-1"/>
              <w:rPr>
                <w:rFonts w:cs="Arial"/>
                <w:bCs/>
                <w:szCs w:val="18"/>
                <w:lang w:val="en-GB"/>
              </w:rPr>
            </w:pPr>
            <w:r>
              <w:rPr>
                <w:rFonts w:eastAsia="Calibri"/>
                <w:bCs/>
                <w:iCs/>
                <w:color w:val="000000"/>
                <w:szCs w:val="24"/>
              </w:rPr>
              <w:t>[</w:t>
            </w:r>
            <w:r>
              <w:rPr>
                <w:rFonts w:eastAsia="Calibri"/>
                <w:bCs/>
                <w:iCs/>
                <w:szCs w:val="24"/>
                <w:lang w:val="cs-CZ"/>
              </w:rPr>
              <w:t>%</w:t>
            </w:r>
            <w:r>
              <w:rPr>
                <w:rFonts w:eastAsia="Calibri"/>
                <w:bCs/>
                <w:iCs/>
                <w:color w:val="000000"/>
                <w:szCs w:val="24"/>
              </w:rPr>
              <w:t>]</w:t>
            </w:r>
            <w:r w:rsidR="00860982" w:rsidRPr="00860982">
              <w:rPr>
                <w:rFonts w:eastAsia="Calibri"/>
                <w:bCs/>
                <w:iCs/>
                <w:color w:val="000000"/>
                <w:szCs w:val="24"/>
                <w:lang w:val="en-GB"/>
              </w:rPr>
              <w:t xml:space="preserve"> </w:t>
            </w:r>
          </w:p>
        </w:tc>
      </w:tr>
      <w:tr w:rsidR="000522DD" w:rsidRPr="00B57B36" w14:paraId="6A887448" w14:textId="77777777" w:rsidTr="00265EC0">
        <w:trPr>
          <w:trHeight w:val="225"/>
        </w:trPr>
        <w:tc>
          <w:tcPr>
            <w:tcW w:w="2221" w:type="dxa"/>
            <w:shd w:val="clear" w:color="auto" w:fill="FFFFFF"/>
          </w:tcPr>
          <w:p w14:paraId="7DAE8B22" w14:textId="77777777" w:rsidR="001826D6" w:rsidRDefault="001826D6" w:rsidP="00FB626D">
            <w:pPr>
              <w:pStyle w:val="CETBodytext"/>
              <w:rPr>
                <w:bCs/>
                <w:color w:val="000000" w:themeColor="text1"/>
                <w:szCs w:val="24"/>
              </w:rPr>
            </w:pPr>
          </w:p>
          <w:p w14:paraId="4C047207" w14:textId="77777777" w:rsidR="001826D6" w:rsidRDefault="001826D6" w:rsidP="00FB626D">
            <w:pPr>
              <w:pStyle w:val="CETBodytext"/>
              <w:rPr>
                <w:bCs/>
                <w:color w:val="000000" w:themeColor="text1"/>
                <w:szCs w:val="24"/>
              </w:rPr>
            </w:pPr>
          </w:p>
          <w:p w14:paraId="51DE8970" w14:textId="137D6125" w:rsidR="000522DD" w:rsidRDefault="000522DD" w:rsidP="00FB626D">
            <w:pPr>
              <w:pStyle w:val="CETBodytext"/>
              <w:rPr>
                <w:bCs/>
                <w:color w:val="000000" w:themeColor="text1"/>
                <w:szCs w:val="24"/>
              </w:rPr>
            </w:pPr>
            <w:r>
              <w:rPr>
                <w:bCs/>
                <w:color w:val="000000" w:themeColor="text1"/>
                <w:szCs w:val="24"/>
              </w:rPr>
              <w:t>Nanovia</w:t>
            </w:r>
          </w:p>
          <w:p w14:paraId="2875ADB0" w14:textId="77777777" w:rsidR="001826D6" w:rsidRDefault="001826D6" w:rsidP="00FB626D">
            <w:pPr>
              <w:pStyle w:val="CETBodytext"/>
              <w:rPr>
                <w:bCs/>
                <w:color w:val="000000" w:themeColor="text1"/>
              </w:rPr>
            </w:pPr>
          </w:p>
          <w:p w14:paraId="2AF1EF33" w14:textId="614B7FE0" w:rsidR="001826D6" w:rsidRPr="00B57B36" w:rsidRDefault="001826D6" w:rsidP="00FB626D">
            <w:pPr>
              <w:pStyle w:val="CETBodytext"/>
              <w:rPr>
                <w:lang w:val="en-GB"/>
              </w:rPr>
            </w:pPr>
          </w:p>
        </w:tc>
        <w:tc>
          <w:tcPr>
            <w:tcW w:w="2315" w:type="dxa"/>
            <w:shd w:val="clear" w:color="auto" w:fill="FFFFFF"/>
          </w:tcPr>
          <w:p w14:paraId="152DE535" w14:textId="77777777" w:rsidR="000522DD" w:rsidRDefault="001826D6" w:rsidP="00FB626D">
            <w:pPr>
              <w:pStyle w:val="CETBodytext"/>
            </w:pPr>
            <w:r>
              <w:t>0</w:t>
            </w:r>
          </w:p>
          <w:p w14:paraId="3FDC337A" w14:textId="77777777" w:rsidR="001826D6" w:rsidRDefault="001826D6" w:rsidP="00FB626D">
            <w:pPr>
              <w:pStyle w:val="CETBodytext"/>
            </w:pPr>
            <w:r>
              <w:t>200</w:t>
            </w:r>
          </w:p>
          <w:p w14:paraId="4FB9AC25" w14:textId="77777777" w:rsidR="001826D6" w:rsidRDefault="001826D6" w:rsidP="00FB626D">
            <w:pPr>
              <w:pStyle w:val="CETBodytext"/>
            </w:pPr>
            <w:r>
              <w:t>500</w:t>
            </w:r>
          </w:p>
          <w:p w14:paraId="1E722F6D" w14:textId="357F26E4" w:rsidR="001826D6" w:rsidRPr="00B57B36" w:rsidRDefault="001826D6" w:rsidP="00FB626D">
            <w:pPr>
              <w:pStyle w:val="CETBodytext"/>
              <w:rPr>
                <w:lang w:val="en-GB"/>
              </w:rPr>
            </w:pPr>
            <w:r>
              <w:t>1000</w:t>
            </w:r>
          </w:p>
        </w:tc>
        <w:tc>
          <w:tcPr>
            <w:tcW w:w="2127" w:type="dxa"/>
            <w:shd w:val="clear" w:color="auto" w:fill="FFFFFF"/>
          </w:tcPr>
          <w:p w14:paraId="27987B4D" w14:textId="56F9BADA" w:rsidR="000522DD" w:rsidRDefault="001F2B88" w:rsidP="00FB626D">
            <w:pPr>
              <w:pStyle w:val="CETBodytext"/>
              <w:rPr>
                <w:bCs/>
                <w:color w:val="000000" w:themeColor="text1"/>
                <w:szCs w:val="24"/>
              </w:rPr>
            </w:pPr>
            <w:r>
              <w:rPr>
                <w:bCs/>
                <w:color w:val="000000" w:themeColor="text1"/>
                <w:szCs w:val="24"/>
              </w:rPr>
              <w:t>0/40 (</w:t>
            </w:r>
            <w:r w:rsidR="001826D6">
              <w:rPr>
                <w:bCs/>
                <w:color w:val="000000" w:themeColor="text1"/>
                <w:szCs w:val="24"/>
              </w:rPr>
              <w:t>0 %)</w:t>
            </w:r>
          </w:p>
          <w:p w14:paraId="6142E754" w14:textId="77777777" w:rsidR="001826D6" w:rsidRDefault="001826D6" w:rsidP="00FB626D">
            <w:pPr>
              <w:pStyle w:val="CETBodytext"/>
            </w:pPr>
            <w:r>
              <w:t>4/20 (20 %)</w:t>
            </w:r>
          </w:p>
          <w:p w14:paraId="3E3C4248" w14:textId="77777777" w:rsidR="001826D6" w:rsidRDefault="001826D6" w:rsidP="00FB626D">
            <w:pPr>
              <w:pStyle w:val="CETBodytext"/>
            </w:pPr>
            <w:r>
              <w:t>4/20 (20 %)</w:t>
            </w:r>
          </w:p>
          <w:p w14:paraId="1D922F68" w14:textId="71389EC6" w:rsidR="001826D6" w:rsidRPr="00B57B36" w:rsidRDefault="001B4589" w:rsidP="00FB626D">
            <w:pPr>
              <w:pStyle w:val="CETBodytext"/>
              <w:rPr>
                <w:lang w:val="en-GB"/>
              </w:rPr>
            </w:pPr>
            <w:r>
              <w:t>5/20 (2</w:t>
            </w:r>
            <w:r w:rsidR="001826D6">
              <w:t>5 %)</w:t>
            </w:r>
          </w:p>
        </w:tc>
        <w:tc>
          <w:tcPr>
            <w:tcW w:w="1984" w:type="dxa"/>
            <w:shd w:val="clear" w:color="auto" w:fill="FFFFFF"/>
          </w:tcPr>
          <w:p w14:paraId="3E3720C2" w14:textId="3C995B52" w:rsidR="000522DD" w:rsidRDefault="001F2B88" w:rsidP="00FB626D">
            <w:pPr>
              <w:pStyle w:val="CETBodytext"/>
              <w:ind w:right="-1"/>
              <w:rPr>
                <w:bCs/>
                <w:color w:val="000000" w:themeColor="text1"/>
                <w:szCs w:val="24"/>
              </w:rPr>
            </w:pPr>
            <w:r>
              <w:rPr>
                <w:bCs/>
                <w:color w:val="000000" w:themeColor="text1"/>
                <w:szCs w:val="24"/>
              </w:rPr>
              <w:t xml:space="preserve">     0/40 (</w:t>
            </w:r>
            <w:r w:rsidR="001826D6">
              <w:rPr>
                <w:bCs/>
                <w:color w:val="000000" w:themeColor="text1"/>
                <w:szCs w:val="24"/>
              </w:rPr>
              <w:t>0 %)</w:t>
            </w:r>
          </w:p>
          <w:p w14:paraId="71FFEAD4" w14:textId="77777777" w:rsidR="001826D6" w:rsidRDefault="001826D6" w:rsidP="00FB626D">
            <w:pPr>
              <w:pStyle w:val="CETBodytext"/>
              <w:ind w:right="-1"/>
              <w:rPr>
                <w:szCs w:val="18"/>
              </w:rPr>
            </w:pPr>
            <w:r>
              <w:rPr>
                <w:szCs w:val="18"/>
              </w:rPr>
              <w:t xml:space="preserve">     5/20 (25 %)</w:t>
            </w:r>
          </w:p>
          <w:p w14:paraId="199E461A" w14:textId="77777777" w:rsidR="001826D6" w:rsidRDefault="001826D6" w:rsidP="00FB626D">
            <w:pPr>
              <w:pStyle w:val="CETBodytext"/>
              <w:ind w:right="-1"/>
              <w:rPr>
                <w:szCs w:val="18"/>
              </w:rPr>
            </w:pPr>
            <w:r>
              <w:rPr>
                <w:szCs w:val="18"/>
              </w:rPr>
              <w:t xml:space="preserve">     7/20 (35 %)</w:t>
            </w:r>
          </w:p>
          <w:p w14:paraId="0C317536" w14:textId="03E77B97" w:rsidR="001826D6" w:rsidRPr="00B57B36" w:rsidRDefault="001B4589" w:rsidP="00FB626D">
            <w:pPr>
              <w:pStyle w:val="CETBodytext"/>
              <w:ind w:right="-1"/>
              <w:rPr>
                <w:rFonts w:cs="Arial"/>
                <w:szCs w:val="18"/>
                <w:lang w:val="en-GB"/>
              </w:rPr>
            </w:pPr>
            <w:r>
              <w:rPr>
                <w:szCs w:val="18"/>
              </w:rPr>
              <w:t xml:space="preserve">     8/20 (40</w:t>
            </w:r>
            <w:r w:rsidR="001826D6">
              <w:rPr>
                <w:szCs w:val="18"/>
              </w:rPr>
              <w:t xml:space="preserve"> %)</w:t>
            </w:r>
          </w:p>
        </w:tc>
      </w:tr>
      <w:tr w:rsidR="000522DD" w:rsidRPr="00B57B36" w14:paraId="7B540B92" w14:textId="77777777" w:rsidTr="00265EC0">
        <w:trPr>
          <w:trHeight w:val="692"/>
        </w:trPr>
        <w:tc>
          <w:tcPr>
            <w:tcW w:w="2221" w:type="dxa"/>
            <w:shd w:val="clear" w:color="auto" w:fill="FFFFFF"/>
          </w:tcPr>
          <w:p w14:paraId="5EE6DB18" w14:textId="77777777" w:rsidR="001826D6" w:rsidRDefault="001826D6" w:rsidP="00FB626D">
            <w:pPr>
              <w:pStyle w:val="CETBodytext"/>
              <w:ind w:right="-1"/>
              <w:rPr>
                <w:bCs/>
                <w:color w:val="000000" w:themeColor="text1"/>
                <w:szCs w:val="24"/>
              </w:rPr>
            </w:pPr>
          </w:p>
          <w:p w14:paraId="0FE1EC6A" w14:textId="7446E5B2" w:rsidR="000522DD" w:rsidRDefault="000522DD" w:rsidP="00FB626D">
            <w:pPr>
              <w:pStyle w:val="CETBodytext"/>
              <w:ind w:right="-1"/>
              <w:rPr>
                <w:bCs/>
                <w:color w:val="000000" w:themeColor="text1"/>
                <w:szCs w:val="24"/>
              </w:rPr>
            </w:pPr>
            <w:r>
              <w:rPr>
                <w:bCs/>
                <w:color w:val="000000" w:themeColor="text1"/>
                <w:szCs w:val="24"/>
              </w:rPr>
              <w:t>PP-PVDF-PP</w:t>
            </w:r>
          </w:p>
          <w:p w14:paraId="7DA2B6AF" w14:textId="77777777" w:rsidR="001826D6" w:rsidRDefault="001826D6" w:rsidP="00FB626D">
            <w:pPr>
              <w:pStyle w:val="CETBodytext"/>
              <w:ind w:right="-1"/>
              <w:rPr>
                <w:bCs/>
                <w:szCs w:val="18"/>
              </w:rPr>
            </w:pPr>
          </w:p>
          <w:p w14:paraId="56EE826B" w14:textId="77777777" w:rsidR="001826D6" w:rsidRDefault="001826D6" w:rsidP="00FB626D">
            <w:pPr>
              <w:pStyle w:val="CETBodytext"/>
              <w:ind w:right="-1"/>
              <w:rPr>
                <w:bCs/>
                <w:szCs w:val="18"/>
              </w:rPr>
            </w:pPr>
          </w:p>
          <w:p w14:paraId="1755B6EA" w14:textId="77777777" w:rsidR="001826D6" w:rsidRDefault="001826D6" w:rsidP="00FB626D">
            <w:pPr>
              <w:pStyle w:val="CETBodytext"/>
              <w:ind w:right="-1"/>
              <w:rPr>
                <w:bCs/>
                <w:szCs w:val="18"/>
              </w:rPr>
            </w:pPr>
          </w:p>
          <w:p w14:paraId="69375474" w14:textId="170E36B7" w:rsidR="000522DD" w:rsidRPr="00B57B36" w:rsidRDefault="000522DD" w:rsidP="00FB626D">
            <w:pPr>
              <w:pStyle w:val="CETBodytext"/>
              <w:ind w:right="-1"/>
              <w:rPr>
                <w:rFonts w:cs="Arial"/>
                <w:szCs w:val="18"/>
                <w:lang w:val="en-GB"/>
              </w:rPr>
            </w:pPr>
            <w:r>
              <w:rPr>
                <w:bCs/>
                <w:szCs w:val="18"/>
              </w:rPr>
              <w:t>PP-PVDF</w:t>
            </w:r>
          </w:p>
        </w:tc>
        <w:tc>
          <w:tcPr>
            <w:tcW w:w="2315" w:type="dxa"/>
            <w:shd w:val="clear" w:color="auto" w:fill="FFFFFF"/>
          </w:tcPr>
          <w:p w14:paraId="0AAFDDF4" w14:textId="21675039" w:rsidR="000522DD" w:rsidRDefault="001826D6" w:rsidP="00FB626D">
            <w:pPr>
              <w:pStyle w:val="CETBodytext"/>
              <w:ind w:right="-1"/>
              <w:rPr>
                <w:bCs/>
                <w:color w:val="000000" w:themeColor="text1"/>
                <w:szCs w:val="24"/>
              </w:rPr>
            </w:pPr>
            <w:r>
              <w:rPr>
                <w:bCs/>
                <w:color w:val="000000" w:themeColor="text1"/>
                <w:szCs w:val="24"/>
              </w:rPr>
              <w:lastRenderedPageBreak/>
              <w:t>200</w:t>
            </w:r>
          </w:p>
          <w:p w14:paraId="0EE5EFAC" w14:textId="77777777" w:rsidR="000522DD" w:rsidRDefault="001826D6" w:rsidP="00FB626D">
            <w:pPr>
              <w:pStyle w:val="CETBodytext"/>
              <w:ind w:right="-1"/>
              <w:rPr>
                <w:szCs w:val="18"/>
              </w:rPr>
            </w:pPr>
            <w:r>
              <w:rPr>
                <w:szCs w:val="18"/>
              </w:rPr>
              <w:t>500</w:t>
            </w:r>
          </w:p>
          <w:p w14:paraId="7A54B183" w14:textId="77777777" w:rsidR="001826D6" w:rsidRDefault="001826D6" w:rsidP="00FB626D">
            <w:pPr>
              <w:pStyle w:val="CETBodytext"/>
              <w:ind w:right="-1"/>
              <w:rPr>
                <w:szCs w:val="18"/>
              </w:rPr>
            </w:pPr>
            <w:r>
              <w:rPr>
                <w:szCs w:val="18"/>
              </w:rPr>
              <w:t>1000</w:t>
            </w:r>
          </w:p>
          <w:p w14:paraId="6ED2E22E" w14:textId="77777777" w:rsidR="001826D6" w:rsidRDefault="001826D6" w:rsidP="00FB626D">
            <w:pPr>
              <w:pStyle w:val="CETBodytext"/>
              <w:ind w:right="-1"/>
              <w:rPr>
                <w:szCs w:val="18"/>
              </w:rPr>
            </w:pPr>
          </w:p>
          <w:p w14:paraId="16BC9ED6" w14:textId="77777777" w:rsidR="001826D6" w:rsidRDefault="001826D6" w:rsidP="001826D6">
            <w:pPr>
              <w:pStyle w:val="CETBodytext"/>
              <w:ind w:right="-1"/>
              <w:rPr>
                <w:bCs/>
                <w:color w:val="000000" w:themeColor="text1"/>
                <w:szCs w:val="24"/>
              </w:rPr>
            </w:pPr>
            <w:r>
              <w:rPr>
                <w:bCs/>
                <w:color w:val="000000" w:themeColor="text1"/>
                <w:szCs w:val="24"/>
              </w:rPr>
              <w:t>200</w:t>
            </w:r>
          </w:p>
          <w:p w14:paraId="5D2643CB" w14:textId="77777777" w:rsidR="001826D6" w:rsidRDefault="001826D6" w:rsidP="001826D6">
            <w:pPr>
              <w:pStyle w:val="CETBodytext"/>
              <w:ind w:right="-1"/>
              <w:rPr>
                <w:szCs w:val="18"/>
              </w:rPr>
            </w:pPr>
            <w:r>
              <w:rPr>
                <w:szCs w:val="18"/>
              </w:rPr>
              <w:t>500</w:t>
            </w:r>
          </w:p>
          <w:p w14:paraId="17E29E21" w14:textId="2003AA99" w:rsidR="001826D6" w:rsidRPr="00B57B36" w:rsidRDefault="001826D6" w:rsidP="001826D6">
            <w:pPr>
              <w:pStyle w:val="CETBodytext"/>
              <w:ind w:right="-1"/>
              <w:rPr>
                <w:rFonts w:cs="Arial"/>
                <w:szCs w:val="18"/>
                <w:lang w:val="en-GB"/>
              </w:rPr>
            </w:pPr>
            <w:r>
              <w:rPr>
                <w:szCs w:val="18"/>
              </w:rPr>
              <w:t>1000</w:t>
            </w:r>
          </w:p>
        </w:tc>
        <w:tc>
          <w:tcPr>
            <w:tcW w:w="2127" w:type="dxa"/>
            <w:shd w:val="clear" w:color="auto" w:fill="FFFFFF"/>
          </w:tcPr>
          <w:p w14:paraId="2DA354C5" w14:textId="595CDE7D" w:rsidR="001826D6" w:rsidRDefault="001826D6" w:rsidP="001826D6">
            <w:pPr>
              <w:pStyle w:val="CETBodytext"/>
              <w:rPr>
                <w:bCs/>
                <w:color w:val="000000" w:themeColor="text1"/>
                <w:szCs w:val="24"/>
              </w:rPr>
            </w:pPr>
            <w:r>
              <w:rPr>
                <w:bCs/>
                <w:color w:val="000000" w:themeColor="text1"/>
                <w:szCs w:val="24"/>
              </w:rPr>
              <w:lastRenderedPageBreak/>
              <w:t>1/20 (5 %)</w:t>
            </w:r>
          </w:p>
          <w:p w14:paraId="6DF7D59E" w14:textId="6958B05C" w:rsidR="001826D6" w:rsidRDefault="001826D6" w:rsidP="001826D6">
            <w:pPr>
              <w:pStyle w:val="CETBodytext"/>
            </w:pPr>
            <w:r>
              <w:t>0/20 (0 %)</w:t>
            </w:r>
          </w:p>
          <w:p w14:paraId="57CAF63F" w14:textId="63BF18E5" w:rsidR="001826D6" w:rsidRDefault="001826D6" w:rsidP="001826D6">
            <w:pPr>
              <w:pStyle w:val="CETBodytext"/>
            </w:pPr>
            <w:r>
              <w:t>2/20 (10 %)</w:t>
            </w:r>
          </w:p>
          <w:p w14:paraId="760182D3" w14:textId="77777777" w:rsidR="000522DD" w:rsidRDefault="000522DD" w:rsidP="00FB626D">
            <w:pPr>
              <w:pStyle w:val="CETBodytext"/>
              <w:ind w:right="-1"/>
              <w:rPr>
                <w:rFonts w:cs="Arial"/>
                <w:szCs w:val="18"/>
                <w:lang w:val="en-GB"/>
              </w:rPr>
            </w:pPr>
          </w:p>
          <w:p w14:paraId="3ABD1A7B" w14:textId="396AB895" w:rsidR="001826D6" w:rsidRDefault="001826D6" w:rsidP="00FB626D">
            <w:pPr>
              <w:pStyle w:val="CETBodytext"/>
              <w:ind w:right="-1"/>
              <w:rPr>
                <w:rFonts w:cs="Arial"/>
                <w:szCs w:val="18"/>
                <w:lang w:val="en-GB"/>
              </w:rPr>
            </w:pPr>
            <w:r>
              <w:rPr>
                <w:rFonts w:cs="Arial"/>
                <w:szCs w:val="18"/>
                <w:lang w:val="en-GB"/>
              </w:rPr>
              <w:t>1/20 (5 %)</w:t>
            </w:r>
            <w:r w:rsidR="00372CE5">
              <w:rPr>
                <w:rFonts w:cs="Arial"/>
                <w:szCs w:val="18"/>
                <w:lang w:val="en-GB"/>
              </w:rPr>
              <w:t xml:space="preserve"> </w:t>
            </w:r>
          </w:p>
          <w:p w14:paraId="6FEC562B" w14:textId="58B2AFE6" w:rsidR="001826D6" w:rsidRDefault="001826D6" w:rsidP="00FB626D">
            <w:pPr>
              <w:pStyle w:val="CETBodytext"/>
              <w:ind w:right="-1"/>
              <w:rPr>
                <w:rFonts w:cs="Arial"/>
                <w:szCs w:val="18"/>
                <w:lang w:val="en-GB"/>
              </w:rPr>
            </w:pPr>
            <w:r>
              <w:rPr>
                <w:rFonts w:cs="Arial"/>
                <w:szCs w:val="18"/>
                <w:lang w:val="en-GB"/>
              </w:rPr>
              <w:t>3/20 (15 %)</w:t>
            </w:r>
          </w:p>
          <w:p w14:paraId="00B6649D" w14:textId="45FA4ED4" w:rsidR="001826D6" w:rsidRPr="00B57B36" w:rsidRDefault="00372CE5" w:rsidP="00FB626D">
            <w:pPr>
              <w:pStyle w:val="CETBodytext"/>
              <w:ind w:right="-1"/>
              <w:rPr>
                <w:rFonts w:cs="Arial"/>
                <w:szCs w:val="18"/>
                <w:lang w:val="en-GB"/>
              </w:rPr>
            </w:pPr>
            <w:r>
              <w:rPr>
                <w:rFonts w:cs="Arial"/>
                <w:szCs w:val="18"/>
                <w:lang w:val="en-GB"/>
              </w:rPr>
              <w:t>3/20 (15 %)</w:t>
            </w:r>
          </w:p>
        </w:tc>
        <w:tc>
          <w:tcPr>
            <w:tcW w:w="1984" w:type="dxa"/>
            <w:shd w:val="clear" w:color="auto" w:fill="FFFFFF"/>
          </w:tcPr>
          <w:p w14:paraId="0EA5A7E4" w14:textId="10ACB51C" w:rsidR="001826D6" w:rsidRDefault="001B4589" w:rsidP="001826D6">
            <w:pPr>
              <w:pStyle w:val="CETBodytext"/>
              <w:rPr>
                <w:bCs/>
                <w:color w:val="000000" w:themeColor="text1"/>
                <w:szCs w:val="24"/>
              </w:rPr>
            </w:pPr>
            <w:r>
              <w:rPr>
                <w:bCs/>
                <w:color w:val="000000" w:themeColor="text1"/>
                <w:szCs w:val="24"/>
              </w:rPr>
              <w:lastRenderedPageBreak/>
              <w:t xml:space="preserve">     3/20 (15</w:t>
            </w:r>
            <w:r w:rsidR="001826D6">
              <w:rPr>
                <w:bCs/>
                <w:color w:val="000000" w:themeColor="text1"/>
                <w:szCs w:val="24"/>
              </w:rPr>
              <w:t xml:space="preserve"> %)</w:t>
            </w:r>
          </w:p>
          <w:p w14:paraId="04269A51" w14:textId="19AA10CD" w:rsidR="001826D6" w:rsidRDefault="001826D6" w:rsidP="001826D6">
            <w:pPr>
              <w:pStyle w:val="CETBodytext"/>
            </w:pPr>
            <w:r>
              <w:t xml:space="preserve">     4/20 (20 %)</w:t>
            </w:r>
          </w:p>
          <w:p w14:paraId="5FAE452D" w14:textId="61E03B07" w:rsidR="000522DD" w:rsidRDefault="001B4589" w:rsidP="001826D6">
            <w:pPr>
              <w:pStyle w:val="CETBodytext"/>
              <w:ind w:right="-1"/>
            </w:pPr>
            <w:r>
              <w:t xml:space="preserve">     7/20 (35</w:t>
            </w:r>
            <w:r w:rsidR="001826D6">
              <w:t xml:space="preserve"> %)</w:t>
            </w:r>
          </w:p>
          <w:p w14:paraId="1D596A2E" w14:textId="77777777" w:rsidR="00372CE5" w:rsidRDefault="00372CE5" w:rsidP="001826D6">
            <w:pPr>
              <w:pStyle w:val="CETBodytext"/>
              <w:ind w:right="-1"/>
            </w:pPr>
          </w:p>
          <w:p w14:paraId="7C9EA276" w14:textId="7FD8BD93" w:rsidR="00372CE5" w:rsidRDefault="00372CE5" w:rsidP="001826D6">
            <w:pPr>
              <w:pStyle w:val="CETBodytext"/>
              <w:ind w:right="-1"/>
              <w:rPr>
                <w:rFonts w:cs="Arial"/>
                <w:szCs w:val="18"/>
                <w:lang w:val="en-GB"/>
              </w:rPr>
            </w:pPr>
            <w:r>
              <w:rPr>
                <w:rFonts w:cs="Arial"/>
                <w:szCs w:val="18"/>
                <w:lang w:val="en-GB"/>
              </w:rPr>
              <w:t xml:space="preserve">     1/20 (5 %)</w:t>
            </w:r>
          </w:p>
          <w:p w14:paraId="3FDFB7B4" w14:textId="4EF2BA6B" w:rsidR="00372CE5" w:rsidRDefault="001B4589" w:rsidP="001826D6">
            <w:pPr>
              <w:pStyle w:val="CETBodytext"/>
              <w:ind w:right="-1"/>
            </w:pPr>
            <w:r>
              <w:t xml:space="preserve">     3/20 (1</w:t>
            </w:r>
            <w:r w:rsidR="00372CE5">
              <w:t>5 %)</w:t>
            </w:r>
          </w:p>
          <w:p w14:paraId="2A6F8EF4" w14:textId="074E636A" w:rsidR="00372CE5" w:rsidRPr="00B57B36" w:rsidRDefault="001B4589" w:rsidP="001826D6">
            <w:pPr>
              <w:pStyle w:val="CETBodytext"/>
              <w:ind w:right="-1"/>
              <w:rPr>
                <w:rFonts w:cs="Arial"/>
                <w:szCs w:val="18"/>
                <w:lang w:val="en-GB"/>
              </w:rPr>
            </w:pPr>
            <w:r>
              <w:t xml:space="preserve">     6/20 (30</w:t>
            </w:r>
            <w:r w:rsidR="00372CE5">
              <w:t xml:space="preserve"> %)</w:t>
            </w:r>
          </w:p>
        </w:tc>
      </w:tr>
    </w:tbl>
    <w:p w14:paraId="02EBFA76" w14:textId="77777777" w:rsidR="00021441" w:rsidRDefault="00021441" w:rsidP="00021441"/>
    <w:p w14:paraId="07BBA0AE" w14:textId="47B92EB2" w:rsidR="00A5298A" w:rsidRPr="000A2513" w:rsidRDefault="00A5298A" w:rsidP="00A5298A">
      <w:pPr>
        <w:pStyle w:val="CETBodytext"/>
      </w:pPr>
      <w:r w:rsidRPr="000A2513">
        <w:t>As can be seen from the table above, in none of the cases was the 50 % inhibition limit set in the Czech legislation reached. The Nanovia material came closest to this value with 40 % inhibition, followed by PP-PVDF-PP with 35</w:t>
      </w:r>
      <w:r w:rsidR="0002229D" w:rsidRPr="000A2513">
        <w:t xml:space="preserve"> </w:t>
      </w:r>
      <w:r w:rsidRPr="000A2513">
        <w:t>% and PP-PVDF with 30 %, and it is important to note that these higher figures were achieved at the maximum leachate concentration, i.e. 1000 mL/L. None of the other concentrations tested reached more than 25</w:t>
      </w:r>
      <w:r w:rsidR="0002229D" w:rsidRPr="000A2513">
        <w:t xml:space="preserve"> </w:t>
      </w:r>
      <w:r w:rsidRPr="000A2513">
        <w:t>%, but there was a noticeable phenomenon where inhibition increased with increasing leachate concentration.</w:t>
      </w:r>
    </w:p>
    <w:p w14:paraId="78EAD606" w14:textId="37824E9F" w:rsidR="00BF54F7" w:rsidRDefault="002666DF" w:rsidP="00A5298A">
      <w:pPr>
        <w:pStyle w:val="CETBodytext"/>
      </w:pPr>
      <w:r w:rsidRPr="000A2513">
        <w:t>In subsequent tests, the tests were repeated on concentrations of all sam</w:t>
      </w:r>
      <w:r w:rsidR="00333176" w:rsidRPr="000A2513">
        <w:t>ples where inhibition exceeded 1</w:t>
      </w:r>
      <w:r w:rsidRPr="000A2513">
        <w:t>0</w:t>
      </w:r>
      <w:r w:rsidR="00042A09" w:rsidRPr="000A2513">
        <w:t xml:space="preserve"> </w:t>
      </w:r>
      <w:r w:rsidRPr="000A2513">
        <w:t>%</w:t>
      </w:r>
      <w:r w:rsidR="00796001" w:rsidRPr="000A2513">
        <w:t xml:space="preserve">, </w:t>
      </w:r>
      <w:r w:rsidR="00DA033A" w:rsidRPr="000A2513">
        <w:t>i.e. all but the control samples and the 200 mL/L concentration of PP-PVDF.</w:t>
      </w:r>
    </w:p>
    <w:p w14:paraId="7F322534" w14:textId="17E1DDB4" w:rsidR="00BF54F7" w:rsidRDefault="00BF54F7" w:rsidP="00FA7E07">
      <w:pPr>
        <w:pStyle w:val="CETTabletitle"/>
      </w:pPr>
      <w:r w:rsidRPr="00B57B36">
        <w:t xml:space="preserve">Table </w:t>
      </w:r>
      <w:r w:rsidR="001E20FE">
        <w:t>4</w:t>
      </w:r>
      <w:r w:rsidRPr="00B57B36">
        <w:t xml:space="preserve">: </w:t>
      </w:r>
      <w:r w:rsidR="00EE3957" w:rsidRPr="00EE3957">
        <w:t>Results of the acute immobilization test</w:t>
      </w:r>
      <w:r w:rsidR="00EE3957">
        <w:t xml:space="preserve"> on </w:t>
      </w:r>
      <w:r w:rsidR="00910CAD">
        <w:t>d</w:t>
      </w:r>
      <w:r w:rsidR="00910CAD" w:rsidRPr="00EE3957">
        <w:t>aphnia</w:t>
      </w:r>
      <w:r w:rsidR="00910CAD">
        <w:t>’s</w:t>
      </w:r>
      <w:r w:rsidR="00EE3957" w:rsidRPr="00EE3957">
        <w:t xml:space="preserve"> after 24 and 48 h</w:t>
      </w:r>
      <w:r w:rsidR="00E861CD">
        <w:t xml:space="preserve"> (30. 3. – 1. 4</w:t>
      </w:r>
      <w:r>
        <w:t>.</w:t>
      </w:r>
      <w:r w:rsidR="00910CAD">
        <w:t xml:space="preserve"> 2022</w:t>
      </w:r>
      <w:r>
        <w:t>)</w:t>
      </w:r>
    </w:p>
    <w:tbl>
      <w:tblPr>
        <w:tblW w:w="888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21"/>
        <w:gridCol w:w="2315"/>
        <w:gridCol w:w="2127"/>
        <w:gridCol w:w="2221"/>
      </w:tblGrid>
      <w:tr w:rsidR="00860982" w:rsidRPr="00B57B36" w14:paraId="0D1432E6" w14:textId="77777777" w:rsidTr="00FB626D">
        <w:trPr>
          <w:trHeight w:val="464"/>
        </w:trPr>
        <w:tc>
          <w:tcPr>
            <w:tcW w:w="2221" w:type="dxa"/>
            <w:tcBorders>
              <w:top w:val="single" w:sz="12" w:space="0" w:color="008000"/>
              <w:bottom w:val="single" w:sz="6" w:space="0" w:color="008000"/>
            </w:tcBorders>
            <w:shd w:val="clear" w:color="auto" w:fill="FFFFFF"/>
          </w:tcPr>
          <w:p w14:paraId="41CA4B61" w14:textId="6E8D71C3" w:rsidR="00860982" w:rsidRPr="0078537F" w:rsidRDefault="00860982" w:rsidP="00860982">
            <w:pPr>
              <w:pStyle w:val="CETBodytext"/>
              <w:rPr>
                <w:bCs/>
                <w:lang w:val="en-GB"/>
              </w:rPr>
            </w:pPr>
            <w:r>
              <w:rPr>
                <w:rFonts w:eastAsia="Calibri"/>
                <w:bCs/>
                <w:iCs/>
                <w:color w:val="000000"/>
                <w:szCs w:val="24"/>
              </w:rPr>
              <w:t>Materia</w:t>
            </w:r>
            <w:r w:rsidRPr="0078537F">
              <w:rPr>
                <w:rFonts w:eastAsia="Calibri"/>
                <w:bCs/>
                <w:iCs/>
                <w:color w:val="000000"/>
                <w:szCs w:val="24"/>
              </w:rPr>
              <w:t>l</w:t>
            </w:r>
          </w:p>
        </w:tc>
        <w:tc>
          <w:tcPr>
            <w:tcW w:w="2315" w:type="dxa"/>
            <w:tcBorders>
              <w:top w:val="single" w:sz="12" w:space="0" w:color="008000"/>
              <w:bottom w:val="single" w:sz="6" w:space="0" w:color="008000"/>
            </w:tcBorders>
            <w:shd w:val="clear" w:color="auto" w:fill="FFFFFF"/>
          </w:tcPr>
          <w:p w14:paraId="439E450A" w14:textId="77777777" w:rsidR="00860982" w:rsidRPr="0078537F" w:rsidRDefault="00860982" w:rsidP="00860982">
            <w:pPr>
              <w:pStyle w:val="CETBodytext"/>
              <w:rPr>
                <w:rFonts w:eastAsia="Calibri"/>
                <w:bCs/>
                <w:iCs/>
                <w:color w:val="000000"/>
                <w:szCs w:val="24"/>
              </w:rPr>
            </w:pPr>
            <w:r>
              <w:rPr>
                <w:rFonts w:eastAsia="Calibri"/>
                <w:bCs/>
                <w:iCs/>
                <w:color w:val="000000"/>
                <w:szCs w:val="24"/>
              </w:rPr>
              <w:t>Concentration of leachates</w:t>
            </w:r>
            <w:r w:rsidRPr="0078537F">
              <w:rPr>
                <w:rFonts w:eastAsia="Calibri"/>
                <w:bCs/>
                <w:iCs/>
                <w:color w:val="000000"/>
                <w:szCs w:val="24"/>
              </w:rPr>
              <w:t xml:space="preserve"> </w:t>
            </w:r>
          </w:p>
          <w:p w14:paraId="7A02B548" w14:textId="3F4BBB12" w:rsidR="00860982" w:rsidRPr="0078537F" w:rsidRDefault="00860982" w:rsidP="00910CAD">
            <w:pPr>
              <w:pStyle w:val="CETBodytext"/>
              <w:rPr>
                <w:bCs/>
                <w:lang w:val="en-GB"/>
              </w:rPr>
            </w:pPr>
            <w:r w:rsidRPr="0078537F">
              <w:rPr>
                <w:rFonts w:eastAsia="Calibri"/>
                <w:bCs/>
                <w:iCs/>
                <w:color w:val="000000"/>
                <w:szCs w:val="24"/>
              </w:rPr>
              <w:t>[m</w:t>
            </w:r>
            <w:r w:rsidR="00910CAD">
              <w:rPr>
                <w:rFonts w:eastAsia="Calibri"/>
                <w:bCs/>
                <w:iCs/>
                <w:color w:val="000000"/>
                <w:szCs w:val="24"/>
              </w:rPr>
              <w:t>L</w:t>
            </w:r>
            <w:r w:rsidRPr="0078537F">
              <w:rPr>
                <w:rFonts w:eastAsia="Calibri"/>
                <w:bCs/>
                <w:iCs/>
                <w:color w:val="000000"/>
                <w:szCs w:val="24"/>
              </w:rPr>
              <w:t>/</w:t>
            </w:r>
            <w:r w:rsidR="00910CAD">
              <w:rPr>
                <w:rFonts w:eastAsia="Calibri"/>
                <w:bCs/>
                <w:iCs/>
                <w:color w:val="000000"/>
                <w:szCs w:val="24"/>
              </w:rPr>
              <w:t>L</w:t>
            </w:r>
            <w:r w:rsidRPr="0078537F">
              <w:rPr>
                <w:rFonts w:eastAsia="Calibri"/>
                <w:bCs/>
                <w:iCs/>
                <w:color w:val="000000"/>
                <w:szCs w:val="24"/>
              </w:rPr>
              <w:t>]</w:t>
            </w:r>
          </w:p>
        </w:tc>
        <w:tc>
          <w:tcPr>
            <w:tcW w:w="2127" w:type="dxa"/>
            <w:tcBorders>
              <w:top w:val="single" w:sz="12" w:space="0" w:color="008000"/>
              <w:bottom w:val="single" w:sz="6" w:space="0" w:color="008000"/>
            </w:tcBorders>
            <w:shd w:val="clear" w:color="auto" w:fill="FFFFFF"/>
          </w:tcPr>
          <w:p w14:paraId="63274DD3" w14:textId="77777777" w:rsidR="00860982" w:rsidRDefault="00860982" w:rsidP="00860982">
            <w:pPr>
              <w:pStyle w:val="CETBodytext"/>
              <w:rPr>
                <w:rFonts w:eastAsia="Calibri"/>
                <w:bCs/>
                <w:iCs/>
                <w:color w:val="000000"/>
                <w:szCs w:val="24"/>
              </w:rPr>
            </w:pPr>
            <w:r w:rsidRPr="00860982">
              <w:rPr>
                <w:rFonts w:eastAsia="Calibri"/>
                <w:bCs/>
                <w:iCs/>
                <w:color w:val="000000"/>
                <w:szCs w:val="24"/>
              </w:rPr>
              <w:t>Immobilization after 24 h</w:t>
            </w:r>
          </w:p>
          <w:p w14:paraId="54F17B53" w14:textId="4B51EE1A" w:rsidR="00CD6B1B" w:rsidRPr="0078537F" w:rsidRDefault="00CD6B1B" w:rsidP="00CD6B1B">
            <w:pPr>
              <w:pStyle w:val="CETBodytext"/>
              <w:rPr>
                <w:bCs/>
                <w:lang w:val="en-GB"/>
              </w:rPr>
            </w:pPr>
            <w:r>
              <w:rPr>
                <w:rFonts w:eastAsia="Calibri"/>
                <w:bCs/>
                <w:iCs/>
                <w:color w:val="000000"/>
                <w:szCs w:val="24"/>
              </w:rPr>
              <w:t>[</w:t>
            </w:r>
            <w:r>
              <w:rPr>
                <w:rFonts w:eastAsia="Calibri"/>
                <w:bCs/>
                <w:iCs/>
                <w:szCs w:val="24"/>
                <w:lang w:val="cs-CZ"/>
              </w:rPr>
              <w:t>%</w:t>
            </w:r>
            <w:r>
              <w:rPr>
                <w:rFonts w:eastAsia="Calibri"/>
                <w:bCs/>
                <w:iCs/>
                <w:color w:val="000000"/>
                <w:szCs w:val="24"/>
              </w:rPr>
              <w:t>]</w:t>
            </w:r>
          </w:p>
        </w:tc>
        <w:tc>
          <w:tcPr>
            <w:tcW w:w="2221" w:type="dxa"/>
            <w:tcBorders>
              <w:top w:val="single" w:sz="12" w:space="0" w:color="008000"/>
              <w:bottom w:val="single" w:sz="6" w:space="0" w:color="008000"/>
            </w:tcBorders>
            <w:shd w:val="clear" w:color="auto" w:fill="FFFFFF"/>
          </w:tcPr>
          <w:p w14:paraId="06D903CB" w14:textId="5A58D070" w:rsidR="00CD6B1B" w:rsidRDefault="00860982" w:rsidP="00860982">
            <w:pPr>
              <w:pStyle w:val="CETBodytext"/>
              <w:ind w:right="-1"/>
              <w:rPr>
                <w:rFonts w:eastAsia="Calibri"/>
                <w:bCs/>
                <w:iCs/>
                <w:color w:val="000000"/>
                <w:szCs w:val="24"/>
                <w:lang w:val="en-GB"/>
              </w:rPr>
            </w:pPr>
            <w:r>
              <w:rPr>
                <w:rFonts w:eastAsia="Calibri"/>
                <w:bCs/>
                <w:iCs/>
                <w:color w:val="000000"/>
                <w:szCs w:val="24"/>
                <w:lang w:val="en-GB"/>
              </w:rPr>
              <w:t>Immobilization after 48</w:t>
            </w:r>
            <w:r w:rsidRPr="00860982">
              <w:rPr>
                <w:rFonts w:eastAsia="Calibri"/>
                <w:bCs/>
                <w:iCs/>
                <w:color w:val="000000"/>
                <w:szCs w:val="24"/>
                <w:lang w:val="en-GB"/>
              </w:rPr>
              <w:t xml:space="preserve"> h</w:t>
            </w:r>
          </w:p>
          <w:p w14:paraId="72283F60" w14:textId="4E733625" w:rsidR="00860982" w:rsidRPr="0078537F" w:rsidRDefault="00CD6B1B" w:rsidP="00860982">
            <w:pPr>
              <w:pStyle w:val="CETBodytext"/>
              <w:ind w:right="-1"/>
              <w:rPr>
                <w:rFonts w:cs="Arial"/>
                <w:bCs/>
                <w:szCs w:val="18"/>
                <w:lang w:val="en-GB"/>
              </w:rPr>
            </w:pPr>
            <w:r>
              <w:rPr>
                <w:rFonts w:eastAsia="Calibri"/>
                <w:bCs/>
                <w:iCs/>
                <w:color w:val="000000"/>
                <w:szCs w:val="24"/>
              </w:rPr>
              <w:t>[</w:t>
            </w:r>
            <w:r>
              <w:rPr>
                <w:rFonts w:eastAsia="Calibri"/>
                <w:bCs/>
                <w:iCs/>
                <w:szCs w:val="24"/>
                <w:lang w:val="cs-CZ"/>
              </w:rPr>
              <w:t>%</w:t>
            </w:r>
            <w:r>
              <w:rPr>
                <w:rFonts w:eastAsia="Calibri"/>
                <w:bCs/>
                <w:iCs/>
                <w:color w:val="000000"/>
                <w:szCs w:val="24"/>
              </w:rPr>
              <w:t>]</w:t>
            </w:r>
            <w:r w:rsidR="00860982" w:rsidRPr="00860982">
              <w:rPr>
                <w:rFonts w:eastAsia="Calibri"/>
                <w:bCs/>
                <w:iCs/>
                <w:color w:val="000000"/>
                <w:szCs w:val="24"/>
                <w:lang w:val="en-GB"/>
              </w:rPr>
              <w:t xml:space="preserve"> </w:t>
            </w:r>
          </w:p>
        </w:tc>
      </w:tr>
      <w:tr w:rsidR="00BF54F7" w:rsidRPr="00B57B36" w14:paraId="3FFDBFDE" w14:textId="77777777" w:rsidTr="00FB626D">
        <w:trPr>
          <w:trHeight w:val="225"/>
        </w:trPr>
        <w:tc>
          <w:tcPr>
            <w:tcW w:w="2221" w:type="dxa"/>
            <w:shd w:val="clear" w:color="auto" w:fill="FFFFFF"/>
          </w:tcPr>
          <w:p w14:paraId="5AF1601E" w14:textId="77777777" w:rsidR="00BF54F7" w:rsidRDefault="00BF54F7" w:rsidP="00FB626D">
            <w:pPr>
              <w:pStyle w:val="CETBodytext"/>
              <w:rPr>
                <w:bCs/>
                <w:color w:val="000000" w:themeColor="text1"/>
                <w:szCs w:val="24"/>
              </w:rPr>
            </w:pPr>
          </w:p>
          <w:p w14:paraId="7901526F" w14:textId="77777777" w:rsidR="00BF54F7" w:rsidRDefault="00BF54F7" w:rsidP="00FB626D">
            <w:pPr>
              <w:pStyle w:val="CETBodytext"/>
              <w:rPr>
                <w:bCs/>
                <w:color w:val="000000" w:themeColor="text1"/>
                <w:szCs w:val="24"/>
              </w:rPr>
            </w:pPr>
          </w:p>
          <w:p w14:paraId="42C46FF9" w14:textId="77777777" w:rsidR="00BF54F7" w:rsidRDefault="00BF54F7" w:rsidP="00FB626D">
            <w:pPr>
              <w:pStyle w:val="CETBodytext"/>
              <w:rPr>
                <w:bCs/>
                <w:color w:val="000000" w:themeColor="text1"/>
                <w:szCs w:val="24"/>
              </w:rPr>
            </w:pPr>
            <w:r>
              <w:rPr>
                <w:bCs/>
                <w:color w:val="000000" w:themeColor="text1"/>
                <w:szCs w:val="24"/>
              </w:rPr>
              <w:t>Nanovia</w:t>
            </w:r>
          </w:p>
          <w:p w14:paraId="050882D8" w14:textId="77777777" w:rsidR="00BF54F7" w:rsidRDefault="00BF54F7" w:rsidP="00FB626D">
            <w:pPr>
              <w:pStyle w:val="CETBodytext"/>
              <w:rPr>
                <w:bCs/>
                <w:color w:val="000000" w:themeColor="text1"/>
              </w:rPr>
            </w:pPr>
          </w:p>
          <w:p w14:paraId="329054B6" w14:textId="77777777" w:rsidR="00BF54F7" w:rsidRPr="00B57B36" w:rsidRDefault="00BF54F7" w:rsidP="00FB626D">
            <w:pPr>
              <w:pStyle w:val="CETBodytext"/>
              <w:rPr>
                <w:lang w:val="en-GB"/>
              </w:rPr>
            </w:pPr>
          </w:p>
        </w:tc>
        <w:tc>
          <w:tcPr>
            <w:tcW w:w="2315" w:type="dxa"/>
            <w:shd w:val="clear" w:color="auto" w:fill="FFFFFF"/>
          </w:tcPr>
          <w:p w14:paraId="660EA574" w14:textId="77777777" w:rsidR="00BF54F7" w:rsidRDefault="00BF54F7" w:rsidP="00FB626D">
            <w:pPr>
              <w:pStyle w:val="CETBodytext"/>
            </w:pPr>
            <w:r>
              <w:t>0</w:t>
            </w:r>
          </w:p>
          <w:p w14:paraId="5AEE3D17" w14:textId="57547F59" w:rsidR="00BF54F7" w:rsidRDefault="00BF54F7" w:rsidP="00FB626D">
            <w:pPr>
              <w:pStyle w:val="CETBodytext"/>
            </w:pPr>
            <w:r>
              <w:t>200</w:t>
            </w:r>
          </w:p>
          <w:p w14:paraId="00AA6F0E" w14:textId="77777777" w:rsidR="00BF54F7" w:rsidRDefault="00BF54F7" w:rsidP="00FB626D">
            <w:pPr>
              <w:pStyle w:val="CETBodytext"/>
            </w:pPr>
            <w:r>
              <w:t>500</w:t>
            </w:r>
          </w:p>
          <w:p w14:paraId="25731B71" w14:textId="77777777" w:rsidR="00BF54F7" w:rsidRPr="00B57B36" w:rsidRDefault="00BF54F7" w:rsidP="00FB626D">
            <w:pPr>
              <w:pStyle w:val="CETBodytext"/>
              <w:rPr>
                <w:lang w:val="en-GB"/>
              </w:rPr>
            </w:pPr>
            <w:r>
              <w:t>1000</w:t>
            </w:r>
          </w:p>
        </w:tc>
        <w:tc>
          <w:tcPr>
            <w:tcW w:w="2127" w:type="dxa"/>
            <w:shd w:val="clear" w:color="auto" w:fill="FFFFFF"/>
          </w:tcPr>
          <w:p w14:paraId="4BF09019" w14:textId="29F192F6" w:rsidR="00BF54F7" w:rsidRDefault="009A301D" w:rsidP="00FB626D">
            <w:pPr>
              <w:pStyle w:val="CETBodytext"/>
              <w:rPr>
                <w:bCs/>
                <w:color w:val="000000" w:themeColor="text1"/>
                <w:szCs w:val="24"/>
              </w:rPr>
            </w:pPr>
            <w:r>
              <w:rPr>
                <w:bCs/>
                <w:color w:val="000000" w:themeColor="text1"/>
                <w:szCs w:val="24"/>
              </w:rPr>
              <w:t>X</w:t>
            </w:r>
          </w:p>
          <w:p w14:paraId="66D4F073" w14:textId="30EF3353" w:rsidR="00BF54F7" w:rsidRDefault="00D32C3B" w:rsidP="00FB626D">
            <w:pPr>
              <w:pStyle w:val="CETBodytext"/>
            </w:pPr>
            <w:r>
              <w:t>4</w:t>
            </w:r>
            <w:r w:rsidR="00AE754C">
              <w:t>/</w:t>
            </w:r>
            <w:r>
              <w:t>2</w:t>
            </w:r>
            <w:r w:rsidR="00AE754C">
              <w:t>0 (2</w:t>
            </w:r>
            <w:r w:rsidR="00BF54F7">
              <w:t>0 %)</w:t>
            </w:r>
          </w:p>
          <w:p w14:paraId="12195A60" w14:textId="6A4984AC" w:rsidR="00BF54F7" w:rsidRDefault="00AE754C" w:rsidP="00FB626D">
            <w:pPr>
              <w:pStyle w:val="CETBodytext"/>
            </w:pPr>
            <w:r>
              <w:t>4/20 (2</w:t>
            </w:r>
            <w:r w:rsidR="00BF54F7">
              <w:t>0 %)</w:t>
            </w:r>
          </w:p>
          <w:p w14:paraId="71ACCC3F" w14:textId="696EF99F" w:rsidR="00BF54F7" w:rsidRPr="00B57B36" w:rsidRDefault="00AE754C" w:rsidP="00FB626D">
            <w:pPr>
              <w:pStyle w:val="CETBodytext"/>
              <w:rPr>
                <w:lang w:val="en-GB"/>
              </w:rPr>
            </w:pPr>
            <w:r>
              <w:t>6/20 (30</w:t>
            </w:r>
            <w:r w:rsidR="00BF54F7">
              <w:t xml:space="preserve"> %)</w:t>
            </w:r>
          </w:p>
        </w:tc>
        <w:tc>
          <w:tcPr>
            <w:tcW w:w="2221" w:type="dxa"/>
            <w:shd w:val="clear" w:color="auto" w:fill="FFFFFF"/>
          </w:tcPr>
          <w:p w14:paraId="0D246FA5" w14:textId="121487D1" w:rsidR="00BF54F7" w:rsidRDefault="00BF54F7" w:rsidP="00FB626D">
            <w:pPr>
              <w:pStyle w:val="CETBodytext"/>
              <w:ind w:right="-1"/>
              <w:rPr>
                <w:bCs/>
                <w:color w:val="000000" w:themeColor="text1"/>
                <w:szCs w:val="24"/>
              </w:rPr>
            </w:pPr>
            <w:r>
              <w:rPr>
                <w:bCs/>
                <w:color w:val="000000" w:themeColor="text1"/>
                <w:szCs w:val="24"/>
              </w:rPr>
              <w:t xml:space="preserve">     </w:t>
            </w:r>
            <w:r w:rsidR="009A301D">
              <w:rPr>
                <w:bCs/>
                <w:color w:val="000000" w:themeColor="text1"/>
                <w:szCs w:val="24"/>
              </w:rPr>
              <w:t>X</w:t>
            </w:r>
          </w:p>
          <w:p w14:paraId="49DBD001" w14:textId="1E86B12C" w:rsidR="00BF54F7" w:rsidRDefault="00AE754C" w:rsidP="00FB626D">
            <w:pPr>
              <w:pStyle w:val="CETBodytext"/>
              <w:ind w:right="-1"/>
              <w:rPr>
                <w:szCs w:val="18"/>
              </w:rPr>
            </w:pPr>
            <w:r>
              <w:rPr>
                <w:szCs w:val="18"/>
              </w:rPr>
              <w:t xml:space="preserve">     </w:t>
            </w:r>
            <w:r w:rsidR="00D32C3B">
              <w:rPr>
                <w:szCs w:val="18"/>
              </w:rPr>
              <w:t>6</w:t>
            </w:r>
            <w:r w:rsidR="005722A8">
              <w:rPr>
                <w:szCs w:val="18"/>
              </w:rPr>
              <w:t>/</w:t>
            </w:r>
            <w:r w:rsidR="00D32C3B">
              <w:rPr>
                <w:szCs w:val="18"/>
              </w:rPr>
              <w:t>2</w:t>
            </w:r>
            <w:r>
              <w:rPr>
                <w:szCs w:val="18"/>
              </w:rPr>
              <w:t>0 (3</w:t>
            </w:r>
            <w:r w:rsidR="00E26EAA">
              <w:rPr>
                <w:szCs w:val="18"/>
              </w:rPr>
              <w:t>0</w:t>
            </w:r>
            <w:r w:rsidR="00BF54F7">
              <w:rPr>
                <w:szCs w:val="18"/>
              </w:rPr>
              <w:t xml:space="preserve"> %)</w:t>
            </w:r>
          </w:p>
          <w:p w14:paraId="10C77FA5" w14:textId="77777777" w:rsidR="00BF54F7" w:rsidRDefault="00BF54F7" w:rsidP="00FB626D">
            <w:pPr>
              <w:pStyle w:val="CETBodytext"/>
              <w:ind w:right="-1"/>
              <w:rPr>
                <w:szCs w:val="18"/>
              </w:rPr>
            </w:pPr>
            <w:r>
              <w:rPr>
                <w:szCs w:val="18"/>
              </w:rPr>
              <w:t xml:space="preserve">     7/20 (35 %)</w:t>
            </w:r>
          </w:p>
          <w:p w14:paraId="5078A925" w14:textId="31BD89BC" w:rsidR="00BF54F7" w:rsidRPr="00B57B36" w:rsidRDefault="005722A8" w:rsidP="00FB626D">
            <w:pPr>
              <w:pStyle w:val="CETBodytext"/>
              <w:ind w:right="-1"/>
              <w:rPr>
                <w:rFonts w:cs="Arial"/>
                <w:szCs w:val="18"/>
                <w:lang w:val="en-GB"/>
              </w:rPr>
            </w:pPr>
            <w:r>
              <w:rPr>
                <w:szCs w:val="18"/>
              </w:rPr>
              <w:t xml:space="preserve">     8</w:t>
            </w:r>
            <w:r w:rsidR="00E26EAA">
              <w:rPr>
                <w:szCs w:val="18"/>
              </w:rPr>
              <w:t>/20 (40</w:t>
            </w:r>
            <w:r w:rsidR="00BF54F7">
              <w:rPr>
                <w:szCs w:val="18"/>
              </w:rPr>
              <w:t xml:space="preserve"> %)</w:t>
            </w:r>
          </w:p>
        </w:tc>
      </w:tr>
      <w:tr w:rsidR="00BF54F7" w:rsidRPr="00B57B36" w14:paraId="69DCA9CF" w14:textId="77777777" w:rsidTr="00FB626D">
        <w:trPr>
          <w:trHeight w:val="692"/>
        </w:trPr>
        <w:tc>
          <w:tcPr>
            <w:tcW w:w="2221" w:type="dxa"/>
            <w:shd w:val="clear" w:color="auto" w:fill="FFFFFF"/>
          </w:tcPr>
          <w:p w14:paraId="04B66FCF" w14:textId="77777777" w:rsidR="00BF54F7" w:rsidRDefault="00BF54F7" w:rsidP="00FB626D">
            <w:pPr>
              <w:pStyle w:val="CETBodytext"/>
              <w:ind w:right="-1"/>
              <w:rPr>
                <w:bCs/>
                <w:color w:val="000000" w:themeColor="text1"/>
                <w:szCs w:val="24"/>
              </w:rPr>
            </w:pPr>
          </w:p>
          <w:p w14:paraId="65EC089A" w14:textId="77777777" w:rsidR="00BF54F7" w:rsidRDefault="00BF54F7" w:rsidP="00FB626D">
            <w:pPr>
              <w:pStyle w:val="CETBodytext"/>
              <w:ind w:right="-1"/>
              <w:rPr>
                <w:bCs/>
                <w:color w:val="000000" w:themeColor="text1"/>
                <w:szCs w:val="24"/>
              </w:rPr>
            </w:pPr>
            <w:r>
              <w:rPr>
                <w:bCs/>
                <w:color w:val="000000" w:themeColor="text1"/>
                <w:szCs w:val="24"/>
              </w:rPr>
              <w:t>PP-PVDF-PP</w:t>
            </w:r>
          </w:p>
          <w:p w14:paraId="2B12E2D3" w14:textId="77777777" w:rsidR="00BF54F7" w:rsidRDefault="00BF54F7" w:rsidP="00FB626D">
            <w:pPr>
              <w:pStyle w:val="CETBodytext"/>
              <w:ind w:right="-1"/>
              <w:rPr>
                <w:bCs/>
                <w:szCs w:val="18"/>
              </w:rPr>
            </w:pPr>
          </w:p>
          <w:p w14:paraId="0E947B31" w14:textId="77777777" w:rsidR="00BF54F7" w:rsidRDefault="00BF54F7" w:rsidP="00FB626D">
            <w:pPr>
              <w:pStyle w:val="CETBodytext"/>
              <w:ind w:right="-1"/>
              <w:rPr>
                <w:bCs/>
                <w:szCs w:val="18"/>
              </w:rPr>
            </w:pPr>
          </w:p>
          <w:p w14:paraId="7146C5AA" w14:textId="77777777" w:rsidR="00BF54F7" w:rsidRDefault="00BF54F7" w:rsidP="00FB626D">
            <w:pPr>
              <w:pStyle w:val="CETBodytext"/>
              <w:ind w:right="-1"/>
              <w:rPr>
                <w:bCs/>
                <w:szCs w:val="18"/>
              </w:rPr>
            </w:pPr>
          </w:p>
          <w:p w14:paraId="4319F3CF" w14:textId="77777777" w:rsidR="00BF54F7" w:rsidRPr="00B57B36" w:rsidRDefault="00BF54F7" w:rsidP="00FB626D">
            <w:pPr>
              <w:pStyle w:val="CETBodytext"/>
              <w:ind w:right="-1"/>
              <w:rPr>
                <w:rFonts w:cs="Arial"/>
                <w:szCs w:val="18"/>
                <w:lang w:val="en-GB"/>
              </w:rPr>
            </w:pPr>
            <w:r>
              <w:rPr>
                <w:bCs/>
                <w:szCs w:val="18"/>
              </w:rPr>
              <w:t>PP-PVDF</w:t>
            </w:r>
          </w:p>
        </w:tc>
        <w:tc>
          <w:tcPr>
            <w:tcW w:w="2315" w:type="dxa"/>
            <w:shd w:val="clear" w:color="auto" w:fill="FFFFFF"/>
          </w:tcPr>
          <w:p w14:paraId="55AB1926" w14:textId="77777777" w:rsidR="00BF54F7" w:rsidRDefault="00BF54F7" w:rsidP="00FB626D">
            <w:pPr>
              <w:pStyle w:val="CETBodytext"/>
              <w:ind w:right="-1"/>
              <w:rPr>
                <w:bCs/>
                <w:color w:val="000000" w:themeColor="text1"/>
                <w:szCs w:val="24"/>
              </w:rPr>
            </w:pPr>
            <w:r>
              <w:rPr>
                <w:bCs/>
                <w:color w:val="000000" w:themeColor="text1"/>
                <w:szCs w:val="24"/>
              </w:rPr>
              <w:t>200</w:t>
            </w:r>
          </w:p>
          <w:p w14:paraId="1FF0B58D" w14:textId="77777777" w:rsidR="00BF54F7" w:rsidRDefault="00BF54F7" w:rsidP="00FB626D">
            <w:pPr>
              <w:pStyle w:val="CETBodytext"/>
              <w:ind w:right="-1"/>
              <w:rPr>
                <w:szCs w:val="18"/>
              </w:rPr>
            </w:pPr>
            <w:r>
              <w:rPr>
                <w:szCs w:val="18"/>
              </w:rPr>
              <w:t>500</w:t>
            </w:r>
          </w:p>
          <w:p w14:paraId="7071A787" w14:textId="77777777" w:rsidR="00BF54F7" w:rsidRDefault="00BF54F7" w:rsidP="00FB626D">
            <w:pPr>
              <w:pStyle w:val="CETBodytext"/>
              <w:ind w:right="-1"/>
              <w:rPr>
                <w:szCs w:val="18"/>
              </w:rPr>
            </w:pPr>
            <w:r>
              <w:rPr>
                <w:szCs w:val="18"/>
              </w:rPr>
              <w:t>1000</w:t>
            </w:r>
          </w:p>
          <w:p w14:paraId="5334E6EB" w14:textId="77777777" w:rsidR="00BF54F7" w:rsidRDefault="00BF54F7" w:rsidP="00FB626D">
            <w:pPr>
              <w:pStyle w:val="CETBodytext"/>
              <w:ind w:right="-1"/>
              <w:rPr>
                <w:szCs w:val="18"/>
              </w:rPr>
            </w:pPr>
          </w:p>
          <w:p w14:paraId="2F8BAF65" w14:textId="77777777" w:rsidR="00BF54F7" w:rsidRDefault="00BF54F7" w:rsidP="00FB626D">
            <w:pPr>
              <w:pStyle w:val="CETBodytext"/>
              <w:ind w:right="-1"/>
              <w:rPr>
                <w:bCs/>
                <w:color w:val="000000" w:themeColor="text1"/>
                <w:szCs w:val="24"/>
              </w:rPr>
            </w:pPr>
            <w:r>
              <w:rPr>
                <w:bCs/>
                <w:color w:val="000000" w:themeColor="text1"/>
                <w:szCs w:val="24"/>
              </w:rPr>
              <w:t>200</w:t>
            </w:r>
          </w:p>
          <w:p w14:paraId="1CD4905B" w14:textId="77777777" w:rsidR="00BF54F7" w:rsidRDefault="00BF54F7" w:rsidP="00FB626D">
            <w:pPr>
              <w:pStyle w:val="CETBodytext"/>
              <w:ind w:right="-1"/>
              <w:rPr>
                <w:szCs w:val="18"/>
              </w:rPr>
            </w:pPr>
            <w:r>
              <w:rPr>
                <w:szCs w:val="18"/>
              </w:rPr>
              <w:t>500</w:t>
            </w:r>
          </w:p>
          <w:p w14:paraId="21B2C4A8" w14:textId="1855E9CF" w:rsidR="00BF54F7" w:rsidRPr="00B57B36" w:rsidRDefault="00BF54F7" w:rsidP="00573B02">
            <w:pPr>
              <w:pStyle w:val="CETBodytext"/>
              <w:ind w:right="-1"/>
              <w:rPr>
                <w:rFonts w:cs="Arial"/>
                <w:szCs w:val="18"/>
                <w:lang w:val="en-GB"/>
              </w:rPr>
            </w:pPr>
            <w:r>
              <w:rPr>
                <w:szCs w:val="18"/>
              </w:rPr>
              <w:t>1000</w:t>
            </w:r>
          </w:p>
        </w:tc>
        <w:tc>
          <w:tcPr>
            <w:tcW w:w="2127" w:type="dxa"/>
            <w:shd w:val="clear" w:color="auto" w:fill="FFFFFF"/>
          </w:tcPr>
          <w:p w14:paraId="622F3373" w14:textId="147ED1D6" w:rsidR="00BF54F7" w:rsidRDefault="00A50FB6" w:rsidP="00FB626D">
            <w:pPr>
              <w:pStyle w:val="CETBodytext"/>
              <w:rPr>
                <w:bCs/>
                <w:color w:val="000000" w:themeColor="text1"/>
                <w:szCs w:val="24"/>
              </w:rPr>
            </w:pPr>
            <w:r>
              <w:rPr>
                <w:bCs/>
                <w:color w:val="000000" w:themeColor="text1"/>
                <w:szCs w:val="24"/>
              </w:rPr>
              <w:t>3/20 (15</w:t>
            </w:r>
            <w:r w:rsidR="00BF54F7">
              <w:rPr>
                <w:bCs/>
                <w:color w:val="000000" w:themeColor="text1"/>
                <w:szCs w:val="24"/>
              </w:rPr>
              <w:t xml:space="preserve"> %)</w:t>
            </w:r>
          </w:p>
          <w:p w14:paraId="47D5BB7D" w14:textId="3C46035F" w:rsidR="00BF54F7" w:rsidRDefault="00A50FB6" w:rsidP="00FB626D">
            <w:pPr>
              <w:pStyle w:val="CETBodytext"/>
            </w:pPr>
            <w:r>
              <w:t>1/20 (5 %)</w:t>
            </w:r>
          </w:p>
          <w:p w14:paraId="6D8675C9" w14:textId="77777777" w:rsidR="00BF54F7" w:rsidRDefault="00BF54F7" w:rsidP="00FB626D">
            <w:pPr>
              <w:pStyle w:val="CETBodytext"/>
            </w:pPr>
            <w:r>
              <w:t>2/20 (10 %)</w:t>
            </w:r>
          </w:p>
          <w:p w14:paraId="5A6195E1" w14:textId="77777777" w:rsidR="00BF54F7" w:rsidRDefault="00BF54F7" w:rsidP="00FB626D">
            <w:pPr>
              <w:pStyle w:val="CETBodytext"/>
              <w:ind w:right="-1"/>
              <w:rPr>
                <w:rFonts w:cs="Arial"/>
                <w:szCs w:val="18"/>
                <w:lang w:val="en-GB"/>
              </w:rPr>
            </w:pPr>
          </w:p>
          <w:p w14:paraId="6CBFCE4C" w14:textId="45D17B56" w:rsidR="00BF54F7" w:rsidRDefault="005722A8" w:rsidP="00FB626D">
            <w:pPr>
              <w:pStyle w:val="CETBodytext"/>
              <w:ind w:right="-1"/>
              <w:rPr>
                <w:rFonts w:cs="Arial"/>
                <w:szCs w:val="18"/>
                <w:lang w:val="en-GB"/>
              </w:rPr>
            </w:pPr>
            <w:r>
              <w:rPr>
                <w:rFonts w:cs="Arial"/>
                <w:szCs w:val="18"/>
                <w:lang w:val="en-GB"/>
              </w:rPr>
              <w:t>X</w:t>
            </w:r>
            <w:r w:rsidR="00BF54F7">
              <w:rPr>
                <w:rFonts w:cs="Arial"/>
                <w:szCs w:val="18"/>
                <w:lang w:val="en-GB"/>
              </w:rPr>
              <w:t xml:space="preserve"> </w:t>
            </w:r>
          </w:p>
          <w:p w14:paraId="155A3997" w14:textId="1D2953F5" w:rsidR="00BF54F7" w:rsidRDefault="00F0256B" w:rsidP="00FB626D">
            <w:pPr>
              <w:pStyle w:val="CETBodytext"/>
              <w:ind w:right="-1"/>
              <w:rPr>
                <w:rFonts w:cs="Arial"/>
                <w:szCs w:val="18"/>
                <w:lang w:val="en-GB"/>
              </w:rPr>
            </w:pPr>
            <w:r>
              <w:rPr>
                <w:rFonts w:cs="Arial"/>
                <w:szCs w:val="18"/>
                <w:lang w:val="en-GB"/>
              </w:rPr>
              <w:t>2/20 (1</w:t>
            </w:r>
            <w:r w:rsidR="001A19EB">
              <w:rPr>
                <w:rFonts w:cs="Arial"/>
                <w:szCs w:val="18"/>
                <w:lang w:val="en-GB"/>
              </w:rPr>
              <w:t>0</w:t>
            </w:r>
            <w:r w:rsidR="00BF54F7">
              <w:rPr>
                <w:rFonts w:cs="Arial"/>
                <w:szCs w:val="18"/>
                <w:lang w:val="en-GB"/>
              </w:rPr>
              <w:t xml:space="preserve"> %)</w:t>
            </w:r>
          </w:p>
          <w:p w14:paraId="4160129F" w14:textId="094C3FA4" w:rsidR="00BF54F7" w:rsidRPr="00B57B36" w:rsidRDefault="001A19EB" w:rsidP="00FB626D">
            <w:pPr>
              <w:pStyle w:val="CETBodytext"/>
              <w:ind w:right="-1"/>
              <w:rPr>
                <w:rFonts w:cs="Arial"/>
                <w:szCs w:val="18"/>
                <w:lang w:val="en-GB"/>
              </w:rPr>
            </w:pPr>
            <w:r>
              <w:rPr>
                <w:rFonts w:cs="Arial"/>
                <w:szCs w:val="18"/>
                <w:lang w:val="en-GB"/>
              </w:rPr>
              <w:t>2</w:t>
            </w:r>
            <w:r w:rsidR="00235085">
              <w:rPr>
                <w:rFonts w:cs="Arial"/>
                <w:szCs w:val="18"/>
                <w:lang w:val="en-GB"/>
              </w:rPr>
              <w:t>/20 (10</w:t>
            </w:r>
            <w:r w:rsidR="00BF54F7">
              <w:rPr>
                <w:rFonts w:cs="Arial"/>
                <w:szCs w:val="18"/>
                <w:lang w:val="en-GB"/>
              </w:rPr>
              <w:t xml:space="preserve"> %)</w:t>
            </w:r>
          </w:p>
        </w:tc>
        <w:tc>
          <w:tcPr>
            <w:tcW w:w="2221" w:type="dxa"/>
            <w:shd w:val="clear" w:color="auto" w:fill="FFFFFF"/>
          </w:tcPr>
          <w:p w14:paraId="1DB74384" w14:textId="2B16A14F" w:rsidR="00BF54F7" w:rsidRDefault="00A50FB6" w:rsidP="00FB626D">
            <w:pPr>
              <w:pStyle w:val="CETBodytext"/>
              <w:rPr>
                <w:bCs/>
                <w:color w:val="000000" w:themeColor="text1"/>
                <w:szCs w:val="24"/>
              </w:rPr>
            </w:pPr>
            <w:r>
              <w:rPr>
                <w:bCs/>
                <w:color w:val="000000" w:themeColor="text1"/>
                <w:szCs w:val="24"/>
              </w:rPr>
              <w:t xml:space="preserve">     4/20 (20</w:t>
            </w:r>
            <w:r w:rsidR="00BF54F7">
              <w:rPr>
                <w:bCs/>
                <w:color w:val="000000" w:themeColor="text1"/>
                <w:szCs w:val="24"/>
              </w:rPr>
              <w:t xml:space="preserve"> %)</w:t>
            </w:r>
          </w:p>
          <w:p w14:paraId="1AA5EC0F" w14:textId="3388F284" w:rsidR="00BF54F7" w:rsidRDefault="00A50FB6" w:rsidP="00FB626D">
            <w:pPr>
              <w:pStyle w:val="CETBodytext"/>
            </w:pPr>
            <w:r>
              <w:t xml:space="preserve">     4/20 (20 %)</w:t>
            </w:r>
          </w:p>
          <w:p w14:paraId="6A5DAB67" w14:textId="723C7AE9" w:rsidR="00BF54F7" w:rsidRDefault="001C58FD" w:rsidP="00FB626D">
            <w:pPr>
              <w:pStyle w:val="CETBodytext"/>
              <w:ind w:right="-1"/>
            </w:pPr>
            <w:r>
              <w:t xml:space="preserve">     5/20 (25</w:t>
            </w:r>
            <w:r w:rsidR="00BF54F7">
              <w:t xml:space="preserve"> %)</w:t>
            </w:r>
          </w:p>
          <w:p w14:paraId="268571DA" w14:textId="77777777" w:rsidR="00BF54F7" w:rsidRDefault="00BF54F7" w:rsidP="00FB626D">
            <w:pPr>
              <w:pStyle w:val="CETBodytext"/>
              <w:ind w:right="-1"/>
            </w:pPr>
          </w:p>
          <w:p w14:paraId="686D6D18" w14:textId="11216697" w:rsidR="00BF54F7" w:rsidRDefault="00E26EAA" w:rsidP="00FB626D">
            <w:pPr>
              <w:pStyle w:val="CETBodytext"/>
              <w:ind w:right="-1"/>
              <w:rPr>
                <w:rFonts w:cs="Arial"/>
                <w:szCs w:val="18"/>
                <w:lang w:val="en-GB"/>
              </w:rPr>
            </w:pPr>
            <w:r>
              <w:rPr>
                <w:rFonts w:cs="Arial"/>
                <w:szCs w:val="18"/>
                <w:lang w:val="en-GB"/>
              </w:rPr>
              <w:t xml:space="preserve">     X</w:t>
            </w:r>
          </w:p>
          <w:p w14:paraId="48FF14B3" w14:textId="226A9407" w:rsidR="00BF54F7" w:rsidRDefault="00F0256B" w:rsidP="00FB626D">
            <w:pPr>
              <w:pStyle w:val="CETBodytext"/>
              <w:ind w:right="-1"/>
            </w:pPr>
            <w:r>
              <w:t xml:space="preserve">     2/20 (1</w:t>
            </w:r>
            <w:r w:rsidR="00E26EAA">
              <w:t>0</w:t>
            </w:r>
            <w:r w:rsidR="00BF54F7">
              <w:t xml:space="preserve"> %)</w:t>
            </w:r>
          </w:p>
          <w:p w14:paraId="7CC9EED7" w14:textId="68951CFD" w:rsidR="00BF54F7" w:rsidRPr="00B57B36" w:rsidRDefault="005722A8" w:rsidP="00FB626D">
            <w:pPr>
              <w:pStyle w:val="CETBodytext"/>
              <w:ind w:right="-1"/>
              <w:rPr>
                <w:rFonts w:cs="Arial"/>
                <w:szCs w:val="18"/>
                <w:lang w:val="en-GB"/>
              </w:rPr>
            </w:pPr>
            <w:r>
              <w:t xml:space="preserve">     4</w:t>
            </w:r>
            <w:r w:rsidR="00E26EAA">
              <w:t>/20 (20</w:t>
            </w:r>
            <w:r w:rsidR="00BF54F7">
              <w:t xml:space="preserve"> %)</w:t>
            </w:r>
          </w:p>
        </w:tc>
      </w:tr>
    </w:tbl>
    <w:p w14:paraId="009C4E13" w14:textId="70FAF537" w:rsidR="00021441" w:rsidRDefault="00021441" w:rsidP="00021441">
      <w:r>
        <w:t xml:space="preserve">X – </w:t>
      </w:r>
      <w:r w:rsidR="00860982" w:rsidRPr="00860982">
        <w:t>the e</w:t>
      </w:r>
      <w:r w:rsidR="002646B3">
        <w:t>xperiment was not repeated for a</w:t>
      </w:r>
      <w:r w:rsidR="00860982" w:rsidRPr="00860982">
        <w:t xml:space="preserve"> given concentration and material</w:t>
      </w:r>
    </w:p>
    <w:p w14:paraId="0374BC9B" w14:textId="77777777" w:rsidR="000506C4" w:rsidRDefault="000506C4" w:rsidP="00021441"/>
    <w:p w14:paraId="5EC5B183" w14:textId="19C4428B" w:rsidR="00BD772E" w:rsidRPr="00BD772E" w:rsidRDefault="00BD772E" w:rsidP="00C913A0">
      <w:pPr>
        <w:pStyle w:val="CETBodytext"/>
      </w:pPr>
      <w:r w:rsidRPr="000A2513">
        <w:t xml:space="preserve">Table 4 shows the results of the second determination of the effects of the selected materials on </w:t>
      </w:r>
      <w:r w:rsidRPr="000A2513">
        <w:rPr>
          <w:i/>
          <w:iCs/>
        </w:rPr>
        <w:t>Daphnia magna</w:t>
      </w:r>
      <w:r w:rsidRPr="000A2513">
        <w:t xml:space="preserve"> S. Similarly to the first determination, the inhibition threshold of 50 % was not exceeded; again, the closest to this value was the 100</w:t>
      </w:r>
      <w:r w:rsidR="00BC54CB" w:rsidRPr="000A2513">
        <w:t xml:space="preserve"> </w:t>
      </w:r>
      <w:r w:rsidRPr="000A2513">
        <w:t>% (1000 mL/L) concentration of the Nanovia leachate, which showed an inhibition of 40</w:t>
      </w:r>
      <w:r w:rsidR="00A57513" w:rsidRPr="000A2513">
        <w:t xml:space="preserve"> </w:t>
      </w:r>
      <w:r w:rsidRPr="000A2513">
        <w:t>% after 48 h. The other results for Nanovia were also a few units of % higher on average than for the other materials, but the results between determinations are comparable. Interestingly, also in this case there was an increase in inhibition with increasing concentration.</w:t>
      </w:r>
    </w:p>
    <w:p w14:paraId="68D26B83" w14:textId="76465F63" w:rsidR="00600535" w:rsidRPr="00B57B36" w:rsidRDefault="00600535" w:rsidP="00D41C5E">
      <w:pPr>
        <w:pStyle w:val="CETHeading1"/>
        <w:numPr>
          <w:ilvl w:val="0"/>
          <w:numId w:val="0"/>
        </w:numPr>
        <w:rPr>
          <w:lang w:val="en-GB"/>
        </w:rPr>
      </w:pPr>
      <w:r w:rsidRPr="00B57B36">
        <w:rPr>
          <w:lang w:val="en-GB"/>
        </w:rPr>
        <w:t>Conclusion</w:t>
      </w:r>
    </w:p>
    <w:p w14:paraId="5B20012F" w14:textId="5E42D7D7" w:rsidR="00021441" w:rsidRDefault="00BE3D87" w:rsidP="0000121B">
      <w:pPr>
        <w:pStyle w:val="CETBodytext"/>
      </w:pPr>
      <w:r w:rsidRPr="00BE3D87">
        <w:t>During the experiments, an interesting ph</w:t>
      </w:r>
      <w:r w:rsidR="00042A09">
        <w:t xml:space="preserve">enomenon was observed, whereby </w:t>
      </w:r>
      <w:r w:rsidR="00CD6B1B">
        <w:t>d</w:t>
      </w:r>
      <w:r w:rsidR="00CD6B1B" w:rsidRPr="00BE3D87">
        <w:t>aphnia</w:t>
      </w:r>
      <w:r w:rsidR="00CD6B1B">
        <w:t>’s</w:t>
      </w:r>
      <w:r w:rsidRPr="00BE3D87">
        <w:t>, although the aqueous effluents were filtered, were caught and entangled in the filaments present i</w:t>
      </w:r>
      <w:r w:rsidR="00042A09">
        <w:t xml:space="preserve">n the effluents. Once trapped, </w:t>
      </w:r>
      <w:r w:rsidR="00CD6B1B">
        <w:t>d</w:t>
      </w:r>
      <w:r w:rsidR="00CD6B1B" w:rsidRPr="00BE3D87">
        <w:t>aphnia</w:t>
      </w:r>
      <w:r w:rsidR="00CD6B1B">
        <w:t>’s</w:t>
      </w:r>
      <w:r w:rsidRPr="00BE3D87">
        <w:t xml:space="preserve"> rarely managed to survive to the next day. These phenomena were clearly obse</w:t>
      </w:r>
      <w:r w:rsidR="00042A09">
        <w:t xml:space="preserve">rvable with </w:t>
      </w:r>
      <w:r w:rsidRPr="00BE3D87">
        <w:t>a magnifyi</w:t>
      </w:r>
      <w:r w:rsidR="00042A09">
        <w:t xml:space="preserve">ng glass. Sometimes a clump of </w:t>
      </w:r>
      <w:r w:rsidR="00CD6B1B">
        <w:t>d</w:t>
      </w:r>
      <w:r w:rsidR="00CD6B1B" w:rsidRPr="00BE3D87">
        <w:t>aphnia</w:t>
      </w:r>
      <w:r w:rsidR="00CD6B1B">
        <w:t>’s</w:t>
      </w:r>
      <w:r w:rsidRPr="00BE3D87">
        <w:t xml:space="preserve"> would form, entangled in filaments, and by the next day, they were all immobilized. However, it should be noted that fibres were present in the aqueous effluents even though the effluents were filtered according to prescribed procedures using prescribed filter papers. Thus, it is debatable whether the immobili</w:t>
      </w:r>
      <w:r w:rsidR="00CD6B1B">
        <w:t>z</w:t>
      </w:r>
      <w:r w:rsidRPr="00BE3D87">
        <w:t>ation observed was due only to the toxic action of the microplastics in the effluents or whether it was also partly due to mechanical damage.</w:t>
      </w:r>
      <w:r w:rsidR="00021441">
        <w:t xml:space="preserve"> </w:t>
      </w:r>
      <w:r w:rsidR="00A26EF3" w:rsidRPr="000A2513">
        <w:t>Interestingly, as noted below the results tables themselves, the percentage inhibition also increased with increasing concentration, a finding that supports both the version that the materials tested were toxic to daphnia’s and the version that the leachates contained filaments of nanotextiles in which the daphnia’s became entangled.</w:t>
      </w:r>
      <w:r w:rsidR="007B7DA2">
        <w:t xml:space="preserve"> </w:t>
      </w:r>
      <w:r w:rsidR="00042A09" w:rsidRPr="00042A09">
        <w:t>However, an irregularity is the parallel acute immobili</w:t>
      </w:r>
      <w:r w:rsidR="00CD6B1B">
        <w:t>z</w:t>
      </w:r>
      <w:r w:rsidR="00042A09" w:rsidRPr="00042A09">
        <w:t xml:space="preserve">ation test on </w:t>
      </w:r>
      <w:r w:rsidR="00CD6B1B" w:rsidRPr="00042A09">
        <w:t>daphnia</w:t>
      </w:r>
      <w:r w:rsidR="00CD6B1B">
        <w:t>’s</w:t>
      </w:r>
      <w:r w:rsidR="00042A09" w:rsidRPr="00042A09">
        <w:t xml:space="preserve">, which was carried out in November 2021 by an accredited laboratory with zero inhibition, which </w:t>
      </w:r>
      <w:r w:rsidR="00407619">
        <w:t>are excellent results.</w:t>
      </w:r>
      <w:r w:rsidR="00042A09" w:rsidRPr="00042A09">
        <w:t xml:space="preserve"> It is worth considering whether the pro</w:t>
      </w:r>
      <w:r w:rsidR="00042A09">
        <w:t xml:space="preserve">blem was in the storage of the </w:t>
      </w:r>
      <w:r w:rsidR="00CD6B1B">
        <w:t>daphnia’s</w:t>
      </w:r>
      <w:r w:rsidR="00042A09">
        <w:t>, the breeding</w:t>
      </w:r>
      <w:r w:rsidR="00042A09" w:rsidRPr="00042A09">
        <w:t xml:space="preserve"> conditions or why there was such a high percentage inhibition compared to the laboratory results. Although the laboratory only tested PP-PVDF-PP and PP-PVDF samples, even these samples showed </w:t>
      </w:r>
      <w:r w:rsidR="00160D47">
        <w:t xml:space="preserve">a little </w:t>
      </w:r>
      <w:r w:rsidR="00042A09" w:rsidRPr="00042A09">
        <w:t xml:space="preserve">inhibition in the tests performed. The </w:t>
      </w:r>
      <w:r w:rsidR="00AE7DA2">
        <w:t xml:space="preserve">prepared </w:t>
      </w:r>
      <w:r w:rsidR="00042A09" w:rsidRPr="00042A09">
        <w:t>aqueous</w:t>
      </w:r>
      <w:r w:rsidR="00042A09">
        <w:t xml:space="preserve"> leachate from the Nanovia face mask</w:t>
      </w:r>
      <w:r w:rsidR="00042A09" w:rsidRPr="00042A09">
        <w:t xml:space="preserve"> was certainly </w:t>
      </w:r>
      <w:r w:rsidR="00042A09">
        <w:t xml:space="preserve">the most toxic to </w:t>
      </w:r>
      <w:r w:rsidR="00CD6B1B">
        <w:t>d</w:t>
      </w:r>
      <w:r w:rsidR="00CD6B1B" w:rsidRPr="00042A09">
        <w:t>aphnia</w:t>
      </w:r>
      <w:r w:rsidR="00CD6B1B">
        <w:t>’s</w:t>
      </w:r>
      <w:r w:rsidR="00042A09" w:rsidRPr="00042A09">
        <w:t>.</w:t>
      </w:r>
    </w:p>
    <w:p w14:paraId="297D21E4" w14:textId="238F34CE" w:rsidR="00F61EA0" w:rsidRPr="00F25050" w:rsidRDefault="00CD6B1B" w:rsidP="0000121B">
      <w:pPr>
        <w:pStyle w:val="CETBodytext"/>
      </w:pPr>
      <w:r w:rsidRPr="00E42682">
        <w:lastRenderedPageBreak/>
        <w:t>Summarizing</w:t>
      </w:r>
      <w:r>
        <w:t>, resulting from daphnia’s test</w:t>
      </w:r>
      <w:r w:rsidR="00A65748" w:rsidRPr="00E42682">
        <w:t xml:space="preserve">, it is clear that the experiment carried out did indeed give the expected results, with a small number of individuals </w:t>
      </w:r>
      <w:r w:rsidRPr="00E42682">
        <w:t>immobilized</w:t>
      </w:r>
      <w:r w:rsidR="00A65748" w:rsidRPr="00E42682">
        <w:t xml:space="preserve"> (in most cases) after 24 hours and an increase of up to 25</w:t>
      </w:r>
      <w:r>
        <w:t xml:space="preserve"> </w:t>
      </w:r>
      <w:r w:rsidR="00A65748" w:rsidRPr="00E42682">
        <w:t xml:space="preserve">% after 48 hours. The extent to which this is influenced by the presence of non-woven </w:t>
      </w:r>
      <w:r w:rsidR="00AB2DC1" w:rsidRPr="00E42682">
        <w:t>fibers</w:t>
      </w:r>
      <w:r w:rsidR="00A65748" w:rsidRPr="00E42682">
        <w:t xml:space="preserve"> in the aqueous leachates is open to debate.</w:t>
      </w:r>
      <w:r w:rsidR="00F25050">
        <w:t xml:space="preserve"> I</w:t>
      </w:r>
      <w:r w:rsidR="00F25050" w:rsidRPr="00F25050">
        <w:t>n conclusion, it can be stated that the resulting immobilizations did not reach the limit values specified in the Czech legislation</w:t>
      </w:r>
      <w:r w:rsidR="006862FD">
        <w:t xml:space="preserve"> (50 % inhibition rate)</w:t>
      </w:r>
      <w:r w:rsidR="00F25050" w:rsidRPr="00F25050">
        <w:t xml:space="preserve">, therefore the tested materials cannot be declared ecotoxic, because they do not meet the criterion HP 14 </w:t>
      </w:r>
      <w:r w:rsidR="00F457CA">
        <w:t>–</w:t>
      </w:r>
      <w:r w:rsidR="00F25050" w:rsidRPr="00F25050">
        <w:t xml:space="preserve"> </w:t>
      </w:r>
      <w:r w:rsidR="00912F6E">
        <w:t>E</w:t>
      </w:r>
      <w:r w:rsidR="00F25050" w:rsidRPr="00F25050">
        <w:t>cotoxic</w:t>
      </w:r>
      <w:r w:rsidR="00912F6E">
        <w:t xml:space="preserve"> property</w:t>
      </w:r>
      <w:r w:rsidR="00F457CA">
        <w:t xml:space="preserve"> (</w:t>
      </w:r>
      <w:r w:rsidR="00D11464">
        <w:rPr>
          <w:noProof/>
          <w:szCs w:val="24"/>
        </w:rPr>
        <w:t>Act</w:t>
      </w:r>
      <w:r w:rsidR="00F457CA">
        <w:rPr>
          <w:noProof/>
          <w:szCs w:val="24"/>
        </w:rPr>
        <w:t xml:space="preserve"> </w:t>
      </w:r>
      <w:r w:rsidR="00D11464">
        <w:rPr>
          <w:noProof/>
          <w:szCs w:val="24"/>
        </w:rPr>
        <w:t>no</w:t>
      </w:r>
      <w:r w:rsidR="00F457CA">
        <w:rPr>
          <w:noProof/>
          <w:szCs w:val="24"/>
        </w:rPr>
        <w:t>.</w:t>
      </w:r>
      <w:r w:rsidR="00F457CA">
        <w:rPr>
          <w:bCs/>
          <w:szCs w:val="24"/>
        </w:rPr>
        <w:t xml:space="preserve"> 541/2020 </w:t>
      </w:r>
      <w:r w:rsidR="00D11464">
        <w:rPr>
          <w:bCs/>
          <w:szCs w:val="24"/>
        </w:rPr>
        <w:t>Coll</w:t>
      </w:r>
      <w:r w:rsidR="00F457CA">
        <w:rPr>
          <w:bCs/>
          <w:szCs w:val="24"/>
        </w:rPr>
        <w:t xml:space="preserve">., </w:t>
      </w:r>
      <w:r w:rsidR="00D11464">
        <w:rPr>
          <w:bCs/>
          <w:szCs w:val="24"/>
        </w:rPr>
        <w:t>Waste A</w:t>
      </w:r>
      <w:r w:rsidR="009C7804">
        <w:rPr>
          <w:bCs/>
          <w:szCs w:val="24"/>
        </w:rPr>
        <w:t>ct.</w:t>
      </w:r>
      <w:r w:rsidR="00064648">
        <w:rPr>
          <w:bCs/>
          <w:szCs w:val="24"/>
        </w:rPr>
        <w:t xml:space="preserve">, </w:t>
      </w:r>
      <w:r w:rsidR="00F457CA">
        <w:rPr>
          <w:bCs/>
          <w:szCs w:val="24"/>
        </w:rPr>
        <w:t>2020</w:t>
      </w:r>
      <w:r w:rsidR="00F457CA">
        <w:t>)</w:t>
      </w:r>
      <w:r w:rsidR="00F25050" w:rsidRPr="00F25050">
        <w:t>. This conclusion is confirmed by the same</w:t>
      </w:r>
      <w:r w:rsidR="00F25050">
        <w:t xml:space="preserve"> experiment performed by the</w:t>
      </w:r>
      <w:r w:rsidR="00F25050" w:rsidRPr="00F25050">
        <w:t xml:space="preserve"> accredited laboratory according to </w:t>
      </w:r>
      <w:r w:rsidR="00064648">
        <w:t>C</w:t>
      </w:r>
      <w:r w:rsidR="00F25050" w:rsidRPr="00F25050">
        <w:t>SN EN ISO/EIC 17025:2018</w:t>
      </w:r>
      <w:r w:rsidR="00155B54">
        <w:t xml:space="preserve"> (</w:t>
      </w:r>
      <w:r w:rsidR="00064648">
        <w:rPr>
          <w:bCs/>
          <w:szCs w:val="24"/>
        </w:rPr>
        <w:t>C</w:t>
      </w:r>
      <w:r w:rsidR="00155B54" w:rsidRPr="00407619">
        <w:rPr>
          <w:bCs/>
          <w:szCs w:val="24"/>
        </w:rPr>
        <w:t>SN EN ISO/IEC 17025 (015253), 2018</w:t>
      </w:r>
      <w:r w:rsidR="00155B54">
        <w:t>)</w:t>
      </w:r>
      <w:r w:rsidR="00F25050" w:rsidRPr="00F25050">
        <w:t xml:space="preserve">, which subjected 25 individuals of daphnia to identically prepared leachates according to </w:t>
      </w:r>
      <w:r w:rsidR="00064648">
        <w:t>C</w:t>
      </w:r>
      <w:r w:rsidR="00F25050" w:rsidRPr="00F25050">
        <w:t>SN EN 12457-4</w:t>
      </w:r>
      <w:r w:rsidR="009C2AB2">
        <w:t xml:space="preserve"> (</w:t>
      </w:r>
      <w:r w:rsidR="00064648">
        <w:rPr>
          <w:bCs/>
        </w:rPr>
        <w:t>C</w:t>
      </w:r>
      <w:r w:rsidR="009C2AB2" w:rsidRPr="0015363E">
        <w:rPr>
          <w:bCs/>
        </w:rPr>
        <w:t>SN EN 12457-4 (838005), 2003</w:t>
      </w:r>
      <w:r w:rsidR="009C2AB2">
        <w:t>)</w:t>
      </w:r>
      <w:r w:rsidR="00F25050" w:rsidRPr="00F25050">
        <w:t xml:space="preserve"> from PP-PVDF and PP-PVDF-PP materials, and zero </w:t>
      </w:r>
      <w:r w:rsidRPr="00F25050">
        <w:t>immobilization</w:t>
      </w:r>
      <w:r w:rsidR="00F25050" w:rsidRPr="00F25050">
        <w:t xml:space="preserve"> was achieved in this test.</w:t>
      </w:r>
    </w:p>
    <w:p w14:paraId="459D05E6" w14:textId="31062BCD" w:rsidR="00600535" w:rsidRPr="00B57B36" w:rsidRDefault="00600535" w:rsidP="00600535">
      <w:pPr>
        <w:pStyle w:val="CETAcknowledgementstitle"/>
      </w:pPr>
      <w:r w:rsidRPr="00B57B36">
        <w:t>Acknowledgments</w:t>
      </w:r>
    </w:p>
    <w:p w14:paraId="24F00676" w14:textId="38B6C5C9" w:rsidR="00581B7F" w:rsidRPr="00192AD2" w:rsidRDefault="00FA7E07" w:rsidP="00FA7E07">
      <w:pPr>
        <w:pStyle w:val="CETBodytext"/>
        <w:rPr>
          <w:lang w:bidi="en-US"/>
        </w:rPr>
      </w:pPr>
      <w:r w:rsidRPr="00192AD2">
        <w:rPr>
          <w:lang w:bidi="en-US"/>
        </w:rPr>
        <w:t>The publication was written within the Student grant competition “Release of Nano and Microplastics from Nanotextiles and Determination of Their Effect on the Environment 2”  —  project  number  SP2022/119.</w:t>
      </w:r>
    </w:p>
    <w:p w14:paraId="03507984" w14:textId="1399C2AC" w:rsidR="00600535" w:rsidRPr="00B57B36" w:rsidRDefault="00600535" w:rsidP="00816442">
      <w:pPr>
        <w:pStyle w:val="CETReference"/>
      </w:pPr>
      <w:r w:rsidRPr="00B57B36">
        <w:t>References</w:t>
      </w:r>
    </w:p>
    <w:p w14:paraId="2C7347A3" w14:textId="5541F7B0" w:rsidR="001C2A6E" w:rsidRDefault="001C2A6E" w:rsidP="001C2A6E">
      <w:pPr>
        <w:pStyle w:val="CETReferencetext"/>
        <w:spacing w:line="240" w:lineRule="auto"/>
        <w:rPr>
          <w:bCs/>
          <w:szCs w:val="24"/>
          <w:lang w:val="en-US"/>
        </w:rPr>
      </w:pPr>
      <w:r w:rsidRPr="004042D0">
        <w:rPr>
          <w:noProof/>
          <w:color w:val="000000" w:themeColor="text1"/>
          <w:szCs w:val="24"/>
          <w:lang w:val="en-US"/>
        </w:rPr>
        <w:t>Act no.</w:t>
      </w:r>
      <w:r w:rsidRPr="004042D0">
        <w:rPr>
          <w:bCs/>
          <w:szCs w:val="24"/>
          <w:lang w:val="en-US"/>
        </w:rPr>
        <w:t xml:space="preserve"> 541/2020 Coll. Waste Act, 2020.</w:t>
      </w:r>
    </w:p>
    <w:p w14:paraId="38F1FD5C" w14:textId="77777777" w:rsidR="001C2A6E" w:rsidRDefault="001C2A6E" w:rsidP="001C2A6E">
      <w:pPr>
        <w:pStyle w:val="CETReferencetext"/>
      </w:pPr>
      <w:r>
        <w:t>Bhatt, I.,</w:t>
      </w:r>
      <w:r w:rsidRPr="000A16E7">
        <w:t xml:space="preserve"> Tripathi, B. N.</w:t>
      </w:r>
      <w:r>
        <w:t xml:space="preserve">, </w:t>
      </w:r>
      <w:r w:rsidRPr="000A16E7">
        <w:t>2011</w:t>
      </w:r>
      <w:r>
        <w:t>,</w:t>
      </w:r>
      <w:r w:rsidRPr="000A16E7">
        <w:t xml:space="preserve"> Interaction of engineered nanoparticles with various components of the environment and possible strategies for their risk assessment</w:t>
      </w:r>
      <w:r>
        <w:t>,</w:t>
      </w:r>
      <w:r w:rsidRPr="000A16E7">
        <w:t> Chemosphere, 82(3), 308−317.</w:t>
      </w:r>
    </w:p>
    <w:p w14:paraId="5EC7FAEB" w14:textId="0B3F2391" w:rsidR="001C2A6E" w:rsidRDefault="001C2A6E" w:rsidP="001C2A6E">
      <w:pPr>
        <w:pStyle w:val="CETReferencetext"/>
        <w:spacing w:line="240" w:lineRule="auto"/>
      </w:pPr>
      <w:r>
        <w:t>Brewer, A., Dror, I.,</w:t>
      </w:r>
      <w:r w:rsidRPr="005F5524">
        <w:t xml:space="preserve"> Berkowitz, B., 2021, The Mobility of Plastic Nanoparticles in Aqueous and Soil Environments: A Critical Review, ACS EST Water, 1(1), 48</w:t>
      </w:r>
      <w:r>
        <w:t xml:space="preserve"> </w:t>
      </w:r>
      <w:r w:rsidRPr="005F5524">
        <w:t>-</w:t>
      </w:r>
      <w:r>
        <w:t xml:space="preserve"> </w:t>
      </w:r>
      <w:r w:rsidRPr="005F5524">
        <w:t>57, doi: 10.1021/acsestwater.0c00130.</w:t>
      </w:r>
    </w:p>
    <w:p w14:paraId="144B80D5" w14:textId="77777777" w:rsidR="001C2A6E" w:rsidRPr="00C913A0" w:rsidRDefault="001C2A6E" w:rsidP="001C2A6E">
      <w:pPr>
        <w:pStyle w:val="CETReferencetext"/>
      </w:pPr>
      <w:r>
        <w:t>C</w:t>
      </w:r>
      <w:r w:rsidRPr="00C913A0">
        <w:t xml:space="preserve">SN EN 12457-4 (838005), 2003, </w:t>
      </w:r>
      <w:r w:rsidRPr="004042D0">
        <w:t>Waste characterization - Leaching - Verification test for leachability of granular wastes and sludges - Part 4: One-stage batch test at a liquid to solid ratio of 10 l/kg for materials with a grain size of less than 10 mm (without or with particle size reduction).</w:t>
      </w:r>
      <w:r>
        <w:t xml:space="preserve"> </w:t>
      </w:r>
    </w:p>
    <w:p w14:paraId="45961521" w14:textId="77777777" w:rsidR="001C2A6E" w:rsidRPr="00C913A0" w:rsidRDefault="001C2A6E" w:rsidP="001C2A6E">
      <w:pPr>
        <w:pStyle w:val="CETReferencetext"/>
      </w:pPr>
      <w:r>
        <w:t>C</w:t>
      </w:r>
      <w:r w:rsidRPr="00C913A0">
        <w:t xml:space="preserve">SN EN ISO 6341, 1997, </w:t>
      </w:r>
      <w:r w:rsidRPr="004042D0">
        <w:t>Water quality. Daphnia magna Straus (Cladocera, Crustacea) motility inhibition test – Acute toxicity test. Prague: Czech Normalization Institute, 16 p.</w:t>
      </w:r>
    </w:p>
    <w:p w14:paraId="10442C59" w14:textId="2E5BF50F" w:rsidR="001C2A6E" w:rsidRDefault="001C2A6E" w:rsidP="001C2A6E">
      <w:pPr>
        <w:pStyle w:val="CETReferencetext"/>
        <w:spacing w:line="240" w:lineRule="auto"/>
        <w:rPr>
          <w:bCs/>
          <w:szCs w:val="24"/>
        </w:rPr>
      </w:pPr>
      <w:r>
        <w:rPr>
          <w:bCs/>
          <w:szCs w:val="24"/>
        </w:rPr>
        <w:t>C</w:t>
      </w:r>
      <w:r w:rsidRPr="00BE2134">
        <w:rPr>
          <w:bCs/>
          <w:szCs w:val="24"/>
        </w:rPr>
        <w:t>SN EN ISO/IEC 17025 (015253)</w:t>
      </w:r>
      <w:r>
        <w:rPr>
          <w:bCs/>
          <w:szCs w:val="24"/>
        </w:rPr>
        <w:t>, 2018,</w:t>
      </w:r>
      <w:r w:rsidRPr="00BE2134">
        <w:rPr>
          <w:bCs/>
          <w:szCs w:val="24"/>
        </w:rPr>
        <w:t xml:space="preserve"> </w:t>
      </w:r>
      <w:r w:rsidRPr="004042D0">
        <w:rPr>
          <w:bCs/>
          <w:szCs w:val="24"/>
        </w:rPr>
        <w:t>General requirements for the competence of testing and calibration laboratories.</w:t>
      </w:r>
    </w:p>
    <w:p w14:paraId="18D51798" w14:textId="36DDEEEA" w:rsidR="005110F9" w:rsidRDefault="005110F9" w:rsidP="001C2A6E">
      <w:pPr>
        <w:pStyle w:val="CETReferencetext"/>
        <w:spacing w:line="240" w:lineRule="auto"/>
      </w:pPr>
      <w:r w:rsidRPr="00896955">
        <w:t>Farr</w:t>
      </w:r>
      <w:r>
        <w:t>e</w:t>
      </w:r>
      <w:r w:rsidRPr="00896955">
        <w:t>, M., G</w:t>
      </w:r>
      <w:r>
        <w:t>ajda-Schrantz, K., Kantiani, L.,</w:t>
      </w:r>
      <w:r w:rsidRPr="00896955">
        <w:t xml:space="preserve"> Barcel</w:t>
      </w:r>
      <w:r>
        <w:t>o</w:t>
      </w:r>
      <w:r w:rsidRPr="00896955">
        <w:t>, D.</w:t>
      </w:r>
      <w:r>
        <w:t xml:space="preserve">, </w:t>
      </w:r>
      <w:r w:rsidRPr="00896955">
        <w:t>2009</w:t>
      </w:r>
      <w:r>
        <w:t>,</w:t>
      </w:r>
      <w:r w:rsidRPr="00896955">
        <w:t xml:space="preserve"> Ecotoxicity and analysis of nanomaterials in the aquatic environment</w:t>
      </w:r>
      <w:r>
        <w:t>,</w:t>
      </w:r>
      <w:r w:rsidRPr="00896955">
        <w:t xml:space="preserve"> Analytical and bioanalytical chemistry, 393(1), 81</w:t>
      </w:r>
      <w:r>
        <w:t xml:space="preserve"> </w:t>
      </w:r>
      <w:r w:rsidRPr="00896955">
        <w:t>-</w:t>
      </w:r>
      <w:r>
        <w:t xml:space="preserve"> </w:t>
      </w:r>
      <w:r w:rsidRPr="00896955">
        <w:t>95.</w:t>
      </w:r>
    </w:p>
    <w:p w14:paraId="7B2347BE" w14:textId="44F6CEC7" w:rsidR="005110F9" w:rsidRDefault="005110F9" w:rsidP="001C2A6E">
      <w:pPr>
        <w:pStyle w:val="CETReferencetext"/>
        <w:spacing w:line="240" w:lineRule="auto"/>
      </w:pPr>
      <w:r w:rsidRPr="005F5524">
        <w:t>Gerritse, J., Leslie, H. A., de</w:t>
      </w:r>
      <w:r>
        <w:t xml:space="preserve"> Tender, C. A., Devriese, L. I.,</w:t>
      </w:r>
      <w:r w:rsidRPr="005F5524">
        <w:t xml:space="preserve"> Vethaak, A. D., 2020, Fragmentation of plastic objects in a laboratory seawater microcosm, Sci. Rep. 10(1), doi: 10.1038/s41598-020-67927-1.</w:t>
      </w:r>
    </w:p>
    <w:p w14:paraId="4B67904B" w14:textId="385BCBCD" w:rsidR="005110F9" w:rsidRDefault="005110F9" w:rsidP="001C2A6E">
      <w:pPr>
        <w:pStyle w:val="CETReferencetext"/>
        <w:spacing w:line="240" w:lineRule="auto"/>
      </w:pPr>
      <w:r w:rsidRPr="00896955">
        <w:t>Klaine, S. J.; Alvarez, P. J.; Batley, G. E.; Fernandes, T. F.; Handy, R. D., Lyon, D. Y</w:t>
      </w:r>
      <w:r>
        <w:t>.,</w:t>
      </w:r>
      <w:r w:rsidRPr="00896955">
        <w:t xml:space="preserve"> Lead, J. R.</w:t>
      </w:r>
      <w:r>
        <w:t xml:space="preserve">, </w:t>
      </w:r>
      <w:r w:rsidRPr="00896955">
        <w:t>2008</w:t>
      </w:r>
      <w:r>
        <w:t>,</w:t>
      </w:r>
      <w:r w:rsidRPr="00896955">
        <w:t xml:space="preserve"> Nanomaterials in the environment: behaviour, fate, bioavailability, and effects</w:t>
      </w:r>
      <w:r>
        <w:t>,</w:t>
      </w:r>
      <w:r w:rsidRPr="00896955">
        <w:t xml:space="preserve"> Environmental Toxicology and Chemistry: An International Journal, 27(9), 1825</w:t>
      </w:r>
      <w:r>
        <w:t xml:space="preserve"> </w:t>
      </w:r>
      <w:r w:rsidRPr="00896955">
        <w:t>−</w:t>
      </w:r>
      <w:r>
        <w:t xml:space="preserve"> </w:t>
      </w:r>
      <w:r w:rsidRPr="00896955">
        <w:t>1851.</w:t>
      </w:r>
    </w:p>
    <w:p w14:paraId="34A63AC2" w14:textId="332F513B" w:rsidR="005110F9" w:rsidRDefault="005110F9" w:rsidP="001C2A6E">
      <w:pPr>
        <w:pStyle w:val="CETReferencetext"/>
        <w:spacing w:line="240" w:lineRule="auto"/>
      </w:pPr>
      <w:r w:rsidRPr="003724C2">
        <w:t>Kögel, T., Bjorøy</w:t>
      </w:r>
      <w:r>
        <w:t>, Ø., Toto, B., Bienfait, A. M.,</w:t>
      </w:r>
      <w:r w:rsidRPr="003724C2">
        <w:t xml:space="preserve"> Sanden, M.</w:t>
      </w:r>
      <w:r>
        <w:t xml:space="preserve">, </w:t>
      </w:r>
      <w:r w:rsidRPr="003724C2">
        <w:t>2020</w:t>
      </w:r>
      <w:r>
        <w:t>,</w:t>
      </w:r>
      <w:r w:rsidRPr="003724C2">
        <w:t xml:space="preserve"> Micro-and nanoplastic toxicity on aquatic life: Determining factors</w:t>
      </w:r>
      <w:r>
        <w:t>,</w:t>
      </w:r>
      <w:r w:rsidRPr="003724C2">
        <w:t xml:space="preserve"> Science of the Total Environment, 709, 136050.</w:t>
      </w:r>
    </w:p>
    <w:p w14:paraId="394C0A91" w14:textId="5F1BEB85" w:rsidR="005110F9" w:rsidRDefault="005110F9" w:rsidP="001C2A6E">
      <w:pPr>
        <w:pStyle w:val="CETReferencetext"/>
        <w:spacing w:line="240" w:lineRule="auto"/>
      </w:pPr>
      <w:r w:rsidRPr="003724C2">
        <w:t>Lei</w:t>
      </w:r>
      <w:r>
        <w:t>,</w:t>
      </w:r>
      <w:r w:rsidRPr="003724C2">
        <w:t xml:space="preserve"> L</w:t>
      </w:r>
      <w:r>
        <w:t>.</w:t>
      </w:r>
      <w:r w:rsidRPr="003724C2">
        <w:t>, Liu</w:t>
      </w:r>
      <w:r>
        <w:t>,</w:t>
      </w:r>
      <w:r w:rsidRPr="003724C2">
        <w:t xml:space="preserve"> M</w:t>
      </w:r>
      <w:r>
        <w:t>.</w:t>
      </w:r>
      <w:r w:rsidRPr="003724C2">
        <w:t>, Song</w:t>
      </w:r>
      <w:r>
        <w:t>,</w:t>
      </w:r>
      <w:r w:rsidRPr="003724C2">
        <w:t xml:space="preserve"> Y</w:t>
      </w:r>
      <w:r>
        <w:t>.</w:t>
      </w:r>
      <w:r w:rsidRPr="003724C2">
        <w:t>, Lu</w:t>
      </w:r>
      <w:r>
        <w:t>,</w:t>
      </w:r>
      <w:r w:rsidRPr="003724C2">
        <w:t xml:space="preserve"> S</w:t>
      </w:r>
      <w:r>
        <w:t>.</w:t>
      </w:r>
      <w:r w:rsidRPr="003724C2">
        <w:t>, Hu</w:t>
      </w:r>
      <w:r>
        <w:t>,</w:t>
      </w:r>
      <w:r w:rsidRPr="003724C2">
        <w:t xml:space="preserve"> J</w:t>
      </w:r>
      <w:r>
        <w:t>.</w:t>
      </w:r>
      <w:r w:rsidRPr="003724C2">
        <w:t>, Cao</w:t>
      </w:r>
      <w:r>
        <w:t>,</w:t>
      </w:r>
      <w:r w:rsidRPr="003724C2">
        <w:t xml:space="preserve"> C</w:t>
      </w:r>
      <w:r>
        <w:t>.</w:t>
      </w:r>
      <w:r w:rsidRPr="003724C2">
        <w:t>, et al.</w:t>
      </w:r>
      <w:r>
        <w:t xml:space="preserve">, 2018, </w:t>
      </w:r>
      <w:r w:rsidRPr="003724C2">
        <w:t>Polystyrene (nano) microplastics cause size-dependent neurotoxicity, oxidative damage and other adverse effects in Caenorhabditis elegans</w:t>
      </w:r>
      <w:r>
        <w:t>,</w:t>
      </w:r>
      <w:r w:rsidRPr="003724C2">
        <w:t xml:space="preserve"> Environmental Science: Nano</w:t>
      </w:r>
      <w:r>
        <w:t xml:space="preserve">; </w:t>
      </w:r>
      <w:r w:rsidRPr="003724C2">
        <w:t>5(8)</w:t>
      </w:r>
      <w:r>
        <w:t xml:space="preserve">, </w:t>
      </w:r>
      <w:r w:rsidRPr="003724C2">
        <w:t>2009–2</w:t>
      </w:r>
      <w:r>
        <w:t>0,</w:t>
      </w:r>
      <w:r w:rsidRPr="003724C2">
        <w:t xml:space="preserve"> </w:t>
      </w:r>
      <w:r w:rsidRPr="005110F9">
        <w:t>https://doi.org/10.1039/c8en00412a</w:t>
      </w:r>
      <w:r>
        <w:t>.</w:t>
      </w:r>
    </w:p>
    <w:p w14:paraId="2CE77476" w14:textId="080D9EBB" w:rsidR="005110F9" w:rsidRDefault="005110F9" w:rsidP="001C2A6E">
      <w:pPr>
        <w:pStyle w:val="CETReferencetext"/>
        <w:spacing w:line="240" w:lineRule="auto"/>
      </w:pPr>
      <w:r w:rsidRPr="003253FB">
        <w:t>Novotna, K., Cermakova, L</w:t>
      </w:r>
      <w:r>
        <w:t>., Pivokonska, L., Cajthaml, T.,</w:t>
      </w:r>
      <w:r w:rsidRPr="003253FB">
        <w:t xml:space="preserve"> Pivokonsky, M., 2019, Microplastics in drinking water treatment – Current knowledge and research needs, Science of The Total Environment, doi:10.1016/j.scitotenv.2019.02.431.</w:t>
      </w:r>
    </w:p>
    <w:p w14:paraId="458F9E02" w14:textId="77777777" w:rsidR="00B77C36" w:rsidRPr="00C913A0" w:rsidRDefault="00B77C36" w:rsidP="00B77C36">
      <w:pPr>
        <w:pStyle w:val="CETReferencetext"/>
      </w:pPr>
      <w:r w:rsidRPr="00C913A0">
        <w:t>OECD 202. OECD, 2004, Guideline for Testing Chemicals. Daphnia Magna Acute Immobilization Test; OECD Publisher: Paris, France.</w:t>
      </w:r>
    </w:p>
    <w:p w14:paraId="0D8F17C5" w14:textId="250B8E15" w:rsidR="00B77C36" w:rsidRDefault="00B77C36" w:rsidP="001C2A6E">
      <w:pPr>
        <w:pStyle w:val="CETReferencetext"/>
        <w:spacing w:line="240" w:lineRule="auto"/>
      </w:pPr>
      <w:r>
        <w:t>Pirsaher, M., Hossini, H.,</w:t>
      </w:r>
      <w:r w:rsidRPr="003253FB">
        <w:t xml:space="preserve"> Makhdoumi, P., 2020, Review of microplastic occurrence and toxicological effects in marine environment: Experimental evidence of inflammation, Process Safety and Environmental Protection, doi:10.1016/j.psep.2020.05.050</w:t>
      </w:r>
      <w:r>
        <w:t>.</w:t>
      </w:r>
    </w:p>
    <w:p w14:paraId="47568A74" w14:textId="10CBF26D" w:rsidR="00B77C36" w:rsidRDefault="00B77C36" w:rsidP="001C2A6E">
      <w:pPr>
        <w:pStyle w:val="CETReferencetext"/>
        <w:spacing w:line="240" w:lineRule="auto"/>
      </w:pPr>
      <w:r w:rsidRPr="003253FB">
        <w:t>Pivokonsk</w:t>
      </w:r>
      <w:r>
        <w:t>y</w:t>
      </w:r>
      <w:r w:rsidRPr="003253FB">
        <w:t>, M., Pivokonsk</w:t>
      </w:r>
      <w:r>
        <w:t>a</w:t>
      </w:r>
      <w:r w:rsidRPr="003253FB">
        <w:t>, L., Novotn</w:t>
      </w:r>
      <w:r>
        <w:t>a</w:t>
      </w:r>
      <w:r w:rsidRPr="003253FB">
        <w:t xml:space="preserve">, K., </w:t>
      </w:r>
      <w:r>
        <w:t>C</w:t>
      </w:r>
      <w:r w:rsidRPr="003253FB">
        <w:t>erm</w:t>
      </w:r>
      <w:r>
        <w:t>a</w:t>
      </w:r>
      <w:r w:rsidRPr="003253FB">
        <w:t>kov</w:t>
      </w:r>
      <w:r>
        <w:t>a, L.,</w:t>
      </w:r>
      <w:r w:rsidRPr="003253FB">
        <w:t xml:space="preserve"> Klimtov</w:t>
      </w:r>
      <w:r>
        <w:t>a</w:t>
      </w:r>
      <w:r w:rsidRPr="003253FB">
        <w:t>, M., 2020, Occurrence and fate of microplastics at two different drinking water treatment plants within a river catchment, Science of The Total Environment, 140236, doi:10.1016/j.scitotenv.2020.140236.</w:t>
      </w:r>
    </w:p>
    <w:p w14:paraId="1726CA43" w14:textId="77777777" w:rsidR="00B77C36" w:rsidRPr="00600A4C" w:rsidRDefault="00B77C36" w:rsidP="00B77C36">
      <w:pPr>
        <w:pStyle w:val="CETReferencetext"/>
      </w:pPr>
      <w:r w:rsidRPr="00600A4C">
        <w:t>Roupcov</w:t>
      </w:r>
      <w:r>
        <w:t>a,</w:t>
      </w:r>
      <w:r w:rsidRPr="00600A4C">
        <w:t xml:space="preserve"> P., Kub</w:t>
      </w:r>
      <w:r>
        <w:t>a</w:t>
      </w:r>
      <w:r w:rsidRPr="00600A4C">
        <w:t>tov</w:t>
      </w:r>
      <w:r>
        <w:t>a</w:t>
      </w:r>
      <w:r w:rsidRPr="00600A4C">
        <w:t>, H., B</w:t>
      </w:r>
      <w:r>
        <w:t>a</w:t>
      </w:r>
      <w:r w:rsidRPr="00600A4C">
        <w:t>trlov</w:t>
      </w:r>
      <w:r>
        <w:t>a, K.,</w:t>
      </w:r>
      <w:r w:rsidRPr="00600A4C">
        <w:t xml:space="preserve"> Klouda, K., 2022. Nanotextiles – materials suitable for respiratory tract protection but a source of nano- and microplastic particles in the environment. Ostrava, Technical University of Ostrava, Faculty of Safety Engineering. </w:t>
      </w:r>
    </w:p>
    <w:p w14:paraId="7B2009D9" w14:textId="5A64058F" w:rsidR="00B77C36" w:rsidRDefault="00B77C36" w:rsidP="001C2A6E">
      <w:pPr>
        <w:pStyle w:val="CETReferencetext"/>
        <w:spacing w:line="240" w:lineRule="auto"/>
      </w:pPr>
      <w:r w:rsidRPr="003724C2">
        <w:t>Sovov</w:t>
      </w:r>
      <w:r>
        <w:t>a, T.,</w:t>
      </w:r>
      <w:r w:rsidRPr="003724C2">
        <w:t xml:space="preserve"> Ko</w:t>
      </w:r>
      <w:r>
        <w:t>ci</w:t>
      </w:r>
      <w:r w:rsidRPr="003724C2">
        <w:t>, V.</w:t>
      </w:r>
      <w:r>
        <w:t xml:space="preserve">, </w:t>
      </w:r>
      <w:r w:rsidRPr="003724C2">
        <w:t>2012</w:t>
      </w:r>
      <w:r>
        <w:t>,</w:t>
      </w:r>
      <w:r w:rsidRPr="003724C2">
        <w:t xml:space="preserve"> Ecoto</w:t>
      </w:r>
      <w:r>
        <w:t>x</w:t>
      </w:r>
      <w:r w:rsidRPr="003724C2">
        <w:t>icology of nanomaterials</w:t>
      </w:r>
      <w:r>
        <w:t>,</w:t>
      </w:r>
      <w:r w:rsidRPr="003724C2">
        <w:t xml:space="preserve"> Chemical Letters, 106(2).</w:t>
      </w:r>
    </w:p>
    <w:p w14:paraId="4A3612CB" w14:textId="56748417" w:rsidR="00B77C36" w:rsidRPr="001C2A6E" w:rsidRDefault="00B77C36" w:rsidP="001C2A6E">
      <w:pPr>
        <w:pStyle w:val="CETReferencetext"/>
        <w:spacing w:line="240" w:lineRule="auto"/>
        <w:rPr>
          <w:bCs/>
          <w:szCs w:val="24"/>
          <w:lang w:val="en-US"/>
        </w:rPr>
      </w:pPr>
      <w:r w:rsidRPr="003724C2">
        <w:t>Sullivan, G. L., Delg</w:t>
      </w:r>
      <w:r>
        <w:t>ado-Gallardo, J., Watson, T. M.,</w:t>
      </w:r>
      <w:r w:rsidRPr="003724C2">
        <w:t xml:space="preserve"> Sarp, S.</w:t>
      </w:r>
      <w:r>
        <w:t xml:space="preserve">, </w:t>
      </w:r>
      <w:r w:rsidRPr="003724C2">
        <w:t>2021</w:t>
      </w:r>
      <w:r>
        <w:t>,</w:t>
      </w:r>
      <w:r w:rsidRPr="003724C2">
        <w:t xml:space="preserve"> An investigation into the leaching of micro and nano particles and chemical pollutants from disposable face masks - linked to the COVID-19 pandemic</w:t>
      </w:r>
      <w:r>
        <w:t>,</w:t>
      </w:r>
      <w:r w:rsidRPr="003724C2">
        <w:t> Water Research</w:t>
      </w:r>
      <w:r>
        <w:t>,</w:t>
      </w:r>
      <w:r w:rsidRPr="003724C2">
        <w:t xml:space="preserve"> 196</w:t>
      </w:r>
      <w:r>
        <w:t>,</w:t>
      </w:r>
      <w:r w:rsidRPr="003724C2">
        <w:t xml:space="preserve"> doi:10.1016/j.watres.2021.117033</w:t>
      </w:r>
      <w:r>
        <w:t>.</w:t>
      </w:r>
    </w:p>
    <w:p w14:paraId="7D958DF5" w14:textId="4C96B75E" w:rsidR="00F457CA" w:rsidRPr="00C23DE6" w:rsidRDefault="001C2A6E" w:rsidP="00C23DE6">
      <w:pPr>
        <w:pStyle w:val="CETReferencetext"/>
      </w:pPr>
      <w:r>
        <w:t>Waymana, C.,</w:t>
      </w:r>
      <w:r w:rsidR="005F5524" w:rsidRPr="005F5524">
        <w:t xml:space="preserve"> Niemann, H.</w:t>
      </w:r>
      <w:r w:rsidR="005F5524">
        <w:t>,</w:t>
      </w:r>
      <w:r w:rsidR="005F5524" w:rsidRPr="005F5524">
        <w:t xml:space="preserve"> 2021</w:t>
      </w:r>
      <w:r w:rsidR="005F5524">
        <w:t>,</w:t>
      </w:r>
      <w:r w:rsidR="005F5524" w:rsidRPr="005F5524">
        <w:t xml:space="preserve"> The fate of plastic in the ocean environment – a minireview</w:t>
      </w:r>
      <w:r w:rsidR="00E22CFA">
        <w:t xml:space="preserve">, </w:t>
      </w:r>
      <w:r w:rsidR="005F5524" w:rsidRPr="005F5524">
        <w:t xml:space="preserve">Environ. Sci.: Processes Impacts, </w:t>
      </w:r>
      <w:r w:rsidR="005F5524" w:rsidRPr="005F5524">
        <w:rPr>
          <w:bCs/>
        </w:rPr>
        <w:t>23</w:t>
      </w:r>
      <w:r w:rsidR="005F5524" w:rsidRPr="005F5524">
        <w:t>(2), 198</w:t>
      </w:r>
      <w:r w:rsidR="000A16E7">
        <w:t xml:space="preserve"> </w:t>
      </w:r>
      <w:r w:rsidR="005F5524" w:rsidRPr="005F5524">
        <w:t>-</w:t>
      </w:r>
      <w:r w:rsidR="000A16E7">
        <w:t xml:space="preserve"> </w:t>
      </w:r>
      <w:r w:rsidR="005F5524" w:rsidRPr="005F5524">
        <w:t>212</w:t>
      </w:r>
      <w:r w:rsidR="005F5524">
        <w:t>,</w:t>
      </w:r>
      <w:r w:rsidR="005F5524" w:rsidRPr="005F5524">
        <w:t xml:space="preserve"> doi: 10.1039/d0em00446d</w:t>
      </w:r>
      <w:r w:rsidR="005F5524">
        <w:t>.</w:t>
      </w:r>
    </w:p>
    <w:sectPr w:rsidR="00F457CA" w:rsidRPr="00C23DE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A9913" w14:textId="77777777" w:rsidR="00D560EA" w:rsidRDefault="00D560EA" w:rsidP="004F5E36">
      <w:r>
        <w:separator/>
      </w:r>
    </w:p>
  </w:endnote>
  <w:endnote w:type="continuationSeparator" w:id="0">
    <w:p w14:paraId="08638ECE" w14:textId="77777777" w:rsidR="00D560EA" w:rsidRDefault="00D560E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D5874" w14:textId="77777777" w:rsidR="00D560EA" w:rsidRDefault="00D560EA" w:rsidP="004F5E36">
      <w:r>
        <w:separator/>
      </w:r>
    </w:p>
  </w:footnote>
  <w:footnote w:type="continuationSeparator" w:id="0">
    <w:p w14:paraId="6DDFB378" w14:textId="77777777" w:rsidR="00D560EA" w:rsidRDefault="00D560E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008FD3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Jednoduchtabulk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B154D00"/>
    <w:multiLevelType w:val="hybridMultilevel"/>
    <w:tmpl w:val="92E291E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21B"/>
    <w:rsid w:val="000027C0"/>
    <w:rsid w:val="000052FB"/>
    <w:rsid w:val="000117CB"/>
    <w:rsid w:val="00012BA1"/>
    <w:rsid w:val="00013CA5"/>
    <w:rsid w:val="00020C2E"/>
    <w:rsid w:val="00021441"/>
    <w:rsid w:val="000218ED"/>
    <w:rsid w:val="0002229D"/>
    <w:rsid w:val="000229D9"/>
    <w:rsid w:val="00027FA2"/>
    <w:rsid w:val="0003148D"/>
    <w:rsid w:val="00031EEC"/>
    <w:rsid w:val="000416E7"/>
    <w:rsid w:val="00042A09"/>
    <w:rsid w:val="000463C7"/>
    <w:rsid w:val="00047790"/>
    <w:rsid w:val="000506C4"/>
    <w:rsid w:val="00051566"/>
    <w:rsid w:val="000522DD"/>
    <w:rsid w:val="000546F3"/>
    <w:rsid w:val="00062A9A"/>
    <w:rsid w:val="00062B17"/>
    <w:rsid w:val="00062C76"/>
    <w:rsid w:val="00064648"/>
    <w:rsid w:val="00065058"/>
    <w:rsid w:val="000738E3"/>
    <w:rsid w:val="000811BA"/>
    <w:rsid w:val="00086C39"/>
    <w:rsid w:val="00094D79"/>
    <w:rsid w:val="000A03B2"/>
    <w:rsid w:val="000A16E7"/>
    <w:rsid w:val="000A2513"/>
    <w:rsid w:val="000A3A39"/>
    <w:rsid w:val="000B1A9B"/>
    <w:rsid w:val="000B38AA"/>
    <w:rsid w:val="000B5E2B"/>
    <w:rsid w:val="000B758D"/>
    <w:rsid w:val="000D0268"/>
    <w:rsid w:val="000D34BE"/>
    <w:rsid w:val="000D3D88"/>
    <w:rsid w:val="000D43FF"/>
    <w:rsid w:val="000E102F"/>
    <w:rsid w:val="000E36F1"/>
    <w:rsid w:val="000E3A73"/>
    <w:rsid w:val="000E414A"/>
    <w:rsid w:val="000F093C"/>
    <w:rsid w:val="000F37E9"/>
    <w:rsid w:val="000F44DA"/>
    <w:rsid w:val="000F787B"/>
    <w:rsid w:val="00103DBE"/>
    <w:rsid w:val="001130BE"/>
    <w:rsid w:val="0012091F"/>
    <w:rsid w:val="00122116"/>
    <w:rsid w:val="001230DA"/>
    <w:rsid w:val="00123143"/>
    <w:rsid w:val="001267FF"/>
    <w:rsid w:val="00126BC2"/>
    <w:rsid w:val="001308B6"/>
    <w:rsid w:val="0013121F"/>
    <w:rsid w:val="00131FE6"/>
    <w:rsid w:val="0013263F"/>
    <w:rsid w:val="001331DF"/>
    <w:rsid w:val="0013470B"/>
    <w:rsid w:val="00134DE4"/>
    <w:rsid w:val="00135D43"/>
    <w:rsid w:val="00135DC6"/>
    <w:rsid w:val="0014034D"/>
    <w:rsid w:val="001417BB"/>
    <w:rsid w:val="001436EF"/>
    <w:rsid w:val="00145F5C"/>
    <w:rsid w:val="00150130"/>
    <w:rsid w:val="00150E59"/>
    <w:rsid w:val="00150E66"/>
    <w:rsid w:val="0015261E"/>
    <w:rsid w:val="00152DE3"/>
    <w:rsid w:val="00155B54"/>
    <w:rsid w:val="001568E4"/>
    <w:rsid w:val="00157D2D"/>
    <w:rsid w:val="00160D47"/>
    <w:rsid w:val="001638D0"/>
    <w:rsid w:val="001638F1"/>
    <w:rsid w:val="00164362"/>
    <w:rsid w:val="00164CF9"/>
    <w:rsid w:val="001667A6"/>
    <w:rsid w:val="00177CAE"/>
    <w:rsid w:val="00180299"/>
    <w:rsid w:val="00180676"/>
    <w:rsid w:val="00181BB5"/>
    <w:rsid w:val="001826D6"/>
    <w:rsid w:val="00183D8A"/>
    <w:rsid w:val="00184AD6"/>
    <w:rsid w:val="001924F2"/>
    <w:rsid w:val="00192AD2"/>
    <w:rsid w:val="00193101"/>
    <w:rsid w:val="001935BB"/>
    <w:rsid w:val="001959B6"/>
    <w:rsid w:val="001A0D29"/>
    <w:rsid w:val="001A16E1"/>
    <w:rsid w:val="001A19EB"/>
    <w:rsid w:val="001A1DE0"/>
    <w:rsid w:val="001A22BC"/>
    <w:rsid w:val="001A4AF7"/>
    <w:rsid w:val="001A68A9"/>
    <w:rsid w:val="001B0349"/>
    <w:rsid w:val="001B1E93"/>
    <w:rsid w:val="001B35A2"/>
    <w:rsid w:val="001B4589"/>
    <w:rsid w:val="001B65C1"/>
    <w:rsid w:val="001C041B"/>
    <w:rsid w:val="001C2A6E"/>
    <w:rsid w:val="001C3D26"/>
    <w:rsid w:val="001C58FD"/>
    <w:rsid w:val="001C684B"/>
    <w:rsid w:val="001D0CFB"/>
    <w:rsid w:val="001D53FC"/>
    <w:rsid w:val="001E20FE"/>
    <w:rsid w:val="001F22B1"/>
    <w:rsid w:val="001F2B88"/>
    <w:rsid w:val="001F42A5"/>
    <w:rsid w:val="001F7B9D"/>
    <w:rsid w:val="00201C93"/>
    <w:rsid w:val="00202529"/>
    <w:rsid w:val="00203F3B"/>
    <w:rsid w:val="0021272D"/>
    <w:rsid w:val="00220037"/>
    <w:rsid w:val="002224B4"/>
    <w:rsid w:val="0023020D"/>
    <w:rsid w:val="00235085"/>
    <w:rsid w:val="00241429"/>
    <w:rsid w:val="002447EF"/>
    <w:rsid w:val="002457BB"/>
    <w:rsid w:val="00251550"/>
    <w:rsid w:val="00251680"/>
    <w:rsid w:val="00253880"/>
    <w:rsid w:val="00255C8D"/>
    <w:rsid w:val="00263B05"/>
    <w:rsid w:val="002646B3"/>
    <w:rsid w:val="00265A25"/>
    <w:rsid w:val="00265EC0"/>
    <w:rsid w:val="002662CE"/>
    <w:rsid w:val="002666DF"/>
    <w:rsid w:val="00271A0E"/>
    <w:rsid w:val="0027221A"/>
    <w:rsid w:val="00275B61"/>
    <w:rsid w:val="0027702B"/>
    <w:rsid w:val="00280FAF"/>
    <w:rsid w:val="00282656"/>
    <w:rsid w:val="002864F9"/>
    <w:rsid w:val="00296B83"/>
    <w:rsid w:val="002A77F5"/>
    <w:rsid w:val="002B4015"/>
    <w:rsid w:val="002B78CE"/>
    <w:rsid w:val="002C2FB6"/>
    <w:rsid w:val="002D1AC5"/>
    <w:rsid w:val="002D2E43"/>
    <w:rsid w:val="002E5FA7"/>
    <w:rsid w:val="002E7F35"/>
    <w:rsid w:val="002F0EF3"/>
    <w:rsid w:val="002F3309"/>
    <w:rsid w:val="002F4AA2"/>
    <w:rsid w:val="002F7496"/>
    <w:rsid w:val="002F7A2D"/>
    <w:rsid w:val="003007D6"/>
    <w:rsid w:val="003008CE"/>
    <w:rsid w:val="003009B7"/>
    <w:rsid w:val="00300E56"/>
    <w:rsid w:val="0030469C"/>
    <w:rsid w:val="00321CA6"/>
    <w:rsid w:val="0032332F"/>
    <w:rsid w:val="00323763"/>
    <w:rsid w:val="003253FB"/>
    <w:rsid w:val="00333176"/>
    <w:rsid w:val="0033408D"/>
    <w:rsid w:val="00334C09"/>
    <w:rsid w:val="00336C50"/>
    <w:rsid w:val="00336F43"/>
    <w:rsid w:val="00355741"/>
    <w:rsid w:val="00357C3E"/>
    <w:rsid w:val="003619EF"/>
    <w:rsid w:val="003723D4"/>
    <w:rsid w:val="003724C2"/>
    <w:rsid w:val="00372CE5"/>
    <w:rsid w:val="003737ED"/>
    <w:rsid w:val="00375E76"/>
    <w:rsid w:val="00381905"/>
    <w:rsid w:val="00383FBE"/>
    <w:rsid w:val="00384CC8"/>
    <w:rsid w:val="00385326"/>
    <w:rsid w:val="003871FD"/>
    <w:rsid w:val="003972E3"/>
    <w:rsid w:val="003A1D39"/>
    <w:rsid w:val="003A1E30"/>
    <w:rsid w:val="003A2829"/>
    <w:rsid w:val="003A7D1C"/>
    <w:rsid w:val="003B20E0"/>
    <w:rsid w:val="003B304B"/>
    <w:rsid w:val="003B3146"/>
    <w:rsid w:val="003C6674"/>
    <w:rsid w:val="003C6E49"/>
    <w:rsid w:val="003E3FD0"/>
    <w:rsid w:val="003F015E"/>
    <w:rsid w:val="00400414"/>
    <w:rsid w:val="00404076"/>
    <w:rsid w:val="004042D0"/>
    <w:rsid w:val="004050F6"/>
    <w:rsid w:val="004057E6"/>
    <w:rsid w:val="00407619"/>
    <w:rsid w:val="00411604"/>
    <w:rsid w:val="0041446B"/>
    <w:rsid w:val="00426F7D"/>
    <w:rsid w:val="00427643"/>
    <w:rsid w:val="00431FD2"/>
    <w:rsid w:val="00435D83"/>
    <w:rsid w:val="0044329C"/>
    <w:rsid w:val="00443495"/>
    <w:rsid w:val="004448B5"/>
    <w:rsid w:val="00446164"/>
    <w:rsid w:val="00447E9A"/>
    <w:rsid w:val="004515D5"/>
    <w:rsid w:val="00453E24"/>
    <w:rsid w:val="00457456"/>
    <w:rsid w:val="004577FE"/>
    <w:rsid w:val="00457B9C"/>
    <w:rsid w:val="0046164A"/>
    <w:rsid w:val="004628D2"/>
    <w:rsid w:val="00462DCD"/>
    <w:rsid w:val="004646E1"/>
    <w:rsid w:val="004648AD"/>
    <w:rsid w:val="004703A9"/>
    <w:rsid w:val="004760DE"/>
    <w:rsid w:val="004763D7"/>
    <w:rsid w:val="004A004E"/>
    <w:rsid w:val="004A24CF"/>
    <w:rsid w:val="004A2672"/>
    <w:rsid w:val="004A6285"/>
    <w:rsid w:val="004B4543"/>
    <w:rsid w:val="004B4D4C"/>
    <w:rsid w:val="004C3D1D"/>
    <w:rsid w:val="004C7913"/>
    <w:rsid w:val="004D41A4"/>
    <w:rsid w:val="004E4DD6"/>
    <w:rsid w:val="004F2FBB"/>
    <w:rsid w:val="004F4598"/>
    <w:rsid w:val="004F5A91"/>
    <w:rsid w:val="004F5E36"/>
    <w:rsid w:val="004F7022"/>
    <w:rsid w:val="00502602"/>
    <w:rsid w:val="00504C8D"/>
    <w:rsid w:val="0050687C"/>
    <w:rsid w:val="005078AE"/>
    <w:rsid w:val="00507B47"/>
    <w:rsid w:val="00507BEF"/>
    <w:rsid w:val="00507CC9"/>
    <w:rsid w:val="005110F9"/>
    <w:rsid w:val="005119A5"/>
    <w:rsid w:val="005148D3"/>
    <w:rsid w:val="00521617"/>
    <w:rsid w:val="005278B7"/>
    <w:rsid w:val="00532016"/>
    <w:rsid w:val="0053384C"/>
    <w:rsid w:val="00534113"/>
    <w:rsid w:val="005346C8"/>
    <w:rsid w:val="00541E9A"/>
    <w:rsid w:val="00543E7D"/>
    <w:rsid w:val="00547A68"/>
    <w:rsid w:val="005531C9"/>
    <w:rsid w:val="00553288"/>
    <w:rsid w:val="0055681D"/>
    <w:rsid w:val="0056792B"/>
    <w:rsid w:val="00570C43"/>
    <w:rsid w:val="0057158F"/>
    <w:rsid w:val="005722A8"/>
    <w:rsid w:val="00573B02"/>
    <w:rsid w:val="00581B7F"/>
    <w:rsid w:val="005A2BD7"/>
    <w:rsid w:val="005A54CE"/>
    <w:rsid w:val="005B2110"/>
    <w:rsid w:val="005B227D"/>
    <w:rsid w:val="005B61E6"/>
    <w:rsid w:val="005C0B0B"/>
    <w:rsid w:val="005C3AC8"/>
    <w:rsid w:val="005C62BC"/>
    <w:rsid w:val="005C77E1"/>
    <w:rsid w:val="005D5B5A"/>
    <w:rsid w:val="005D668A"/>
    <w:rsid w:val="005D6A2F"/>
    <w:rsid w:val="005E1A82"/>
    <w:rsid w:val="005E5BCD"/>
    <w:rsid w:val="005E794C"/>
    <w:rsid w:val="005F0A28"/>
    <w:rsid w:val="005F0E5E"/>
    <w:rsid w:val="005F5524"/>
    <w:rsid w:val="00600535"/>
    <w:rsid w:val="00600A4C"/>
    <w:rsid w:val="00602EDD"/>
    <w:rsid w:val="00610CD6"/>
    <w:rsid w:val="00611AF1"/>
    <w:rsid w:val="00615404"/>
    <w:rsid w:val="00620DEE"/>
    <w:rsid w:val="00621F92"/>
    <w:rsid w:val="0062280A"/>
    <w:rsid w:val="0062404B"/>
    <w:rsid w:val="00624717"/>
    <w:rsid w:val="00625639"/>
    <w:rsid w:val="006301D9"/>
    <w:rsid w:val="006311F6"/>
    <w:rsid w:val="00631B33"/>
    <w:rsid w:val="0064184D"/>
    <w:rsid w:val="006422CC"/>
    <w:rsid w:val="0064534D"/>
    <w:rsid w:val="00653A89"/>
    <w:rsid w:val="00660E3E"/>
    <w:rsid w:val="00662E74"/>
    <w:rsid w:val="00665527"/>
    <w:rsid w:val="0067047D"/>
    <w:rsid w:val="00671EE3"/>
    <w:rsid w:val="00676F42"/>
    <w:rsid w:val="00677B48"/>
    <w:rsid w:val="00680C23"/>
    <w:rsid w:val="0068388B"/>
    <w:rsid w:val="00683BDA"/>
    <w:rsid w:val="00683ED6"/>
    <w:rsid w:val="00685E8E"/>
    <w:rsid w:val="006862FD"/>
    <w:rsid w:val="00693565"/>
    <w:rsid w:val="00693766"/>
    <w:rsid w:val="006A0F48"/>
    <w:rsid w:val="006A195C"/>
    <w:rsid w:val="006A2021"/>
    <w:rsid w:val="006A3281"/>
    <w:rsid w:val="006A4773"/>
    <w:rsid w:val="006B0631"/>
    <w:rsid w:val="006B4888"/>
    <w:rsid w:val="006B4B62"/>
    <w:rsid w:val="006C006E"/>
    <w:rsid w:val="006C2D66"/>
    <w:rsid w:val="006C2E45"/>
    <w:rsid w:val="006C359C"/>
    <w:rsid w:val="006C4AD6"/>
    <w:rsid w:val="006C5579"/>
    <w:rsid w:val="006D6838"/>
    <w:rsid w:val="006D6E8B"/>
    <w:rsid w:val="006E28AF"/>
    <w:rsid w:val="006E5F8E"/>
    <w:rsid w:val="006E737D"/>
    <w:rsid w:val="006F52E2"/>
    <w:rsid w:val="006F5AD7"/>
    <w:rsid w:val="00703D96"/>
    <w:rsid w:val="00704BD0"/>
    <w:rsid w:val="00720A24"/>
    <w:rsid w:val="00725D5F"/>
    <w:rsid w:val="0072633D"/>
    <w:rsid w:val="00732386"/>
    <w:rsid w:val="0073514D"/>
    <w:rsid w:val="007354F9"/>
    <w:rsid w:val="007447F3"/>
    <w:rsid w:val="0075499F"/>
    <w:rsid w:val="007661C8"/>
    <w:rsid w:val="0077098D"/>
    <w:rsid w:val="00772BFB"/>
    <w:rsid w:val="007748D1"/>
    <w:rsid w:val="0078537F"/>
    <w:rsid w:val="0078788E"/>
    <w:rsid w:val="007931FA"/>
    <w:rsid w:val="00795C62"/>
    <w:rsid w:val="00795D7E"/>
    <w:rsid w:val="00796001"/>
    <w:rsid w:val="007A4861"/>
    <w:rsid w:val="007A7BBA"/>
    <w:rsid w:val="007B0399"/>
    <w:rsid w:val="007B0C50"/>
    <w:rsid w:val="007B1D7E"/>
    <w:rsid w:val="007B48F9"/>
    <w:rsid w:val="007B7DA2"/>
    <w:rsid w:val="007B7E11"/>
    <w:rsid w:val="007C1A43"/>
    <w:rsid w:val="007C25B5"/>
    <w:rsid w:val="007C7210"/>
    <w:rsid w:val="007D61B7"/>
    <w:rsid w:val="007E5E22"/>
    <w:rsid w:val="007E62E0"/>
    <w:rsid w:val="007F24F8"/>
    <w:rsid w:val="007F45D7"/>
    <w:rsid w:val="007F6DB3"/>
    <w:rsid w:val="0080013E"/>
    <w:rsid w:val="008055D4"/>
    <w:rsid w:val="00813288"/>
    <w:rsid w:val="00816442"/>
    <w:rsid w:val="008168FC"/>
    <w:rsid w:val="00830996"/>
    <w:rsid w:val="00830B49"/>
    <w:rsid w:val="008345F1"/>
    <w:rsid w:val="00837741"/>
    <w:rsid w:val="00841D67"/>
    <w:rsid w:val="00847764"/>
    <w:rsid w:val="00852735"/>
    <w:rsid w:val="00860982"/>
    <w:rsid w:val="00865B07"/>
    <w:rsid w:val="008667EA"/>
    <w:rsid w:val="00867A0A"/>
    <w:rsid w:val="00867F2D"/>
    <w:rsid w:val="00873634"/>
    <w:rsid w:val="00874214"/>
    <w:rsid w:val="0087637F"/>
    <w:rsid w:val="008772C8"/>
    <w:rsid w:val="00882B55"/>
    <w:rsid w:val="008903C8"/>
    <w:rsid w:val="00892AD5"/>
    <w:rsid w:val="00896955"/>
    <w:rsid w:val="00896A2E"/>
    <w:rsid w:val="00897FDF"/>
    <w:rsid w:val="008A1512"/>
    <w:rsid w:val="008A57B5"/>
    <w:rsid w:val="008B3041"/>
    <w:rsid w:val="008B4819"/>
    <w:rsid w:val="008B754A"/>
    <w:rsid w:val="008C2B5B"/>
    <w:rsid w:val="008C48EE"/>
    <w:rsid w:val="008D1CF3"/>
    <w:rsid w:val="008D32B9"/>
    <w:rsid w:val="008D433B"/>
    <w:rsid w:val="008E0571"/>
    <w:rsid w:val="008E0AE5"/>
    <w:rsid w:val="008E1039"/>
    <w:rsid w:val="008E37F9"/>
    <w:rsid w:val="008E566E"/>
    <w:rsid w:val="008E6E49"/>
    <w:rsid w:val="008F05E4"/>
    <w:rsid w:val="008F4D51"/>
    <w:rsid w:val="0090161A"/>
    <w:rsid w:val="00901EB6"/>
    <w:rsid w:val="00904B6D"/>
    <w:rsid w:val="00904C62"/>
    <w:rsid w:val="00910889"/>
    <w:rsid w:val="00910CAD"/>
    <w:rsid w:val="00912F6E"/>
    <w:rsid w:val="00914B63"/>
    <w:rsid w:val="00922BA8"/>
    <w:rsid w:val="00923C1A"/>
    <w:rsid w:val="00924DAC"/>
    <w:rsid w:val="009256BE"/>
    <w:rsid w:val="00927058"/>
    <w:rsid w:val="0093090F"/>
    <w:rsid w:val="009317F1"/>
    <w:rsid w:val="00935D5E"/>
    <w:rsid w:val="009417F4"/>
    <w:rsid w:val="00942750"/>
    <w:rsid w:val="009447A0"/>
    <w:rsid w:val="009450CE"/>
    <w:rsid w:val="00947179"/>
    <w:rsid w:val="0095164B"/>
    <w:rsid w:val="00954090"/>
    <w:rsid w:val="009573E7"/>
    <w:rsid w:val="00963874"/>
    <w:rsid w:val="00963B7A"/>
    <w:rsid w:val="00963E05"/>
    <w:rsid w:val="00967843"/>
    <w:rsid w:val="00967D54"/>
    <w:rsid w:val="00967FF4"/>
    <w:rsid w:val="00971028"/>
    <w:rsid w:val="00971243"/>
    <w:rsid w:val="00974167"/>
    <w:rsid w:val="00977E63"/>
    <w:rsid w:val="00991DB2"/>
    <w:rsid w:val="00993B84"/>
    <w:rsid w:val="00996483"/>
    <w:rsid w:val="00996F5A"/>
    <w:rsid w:val="009A1F6F"/>
    <w:rsid w:val="009A301D"/>
    <w:rsid w:val="009A6587"/>
    <w:rsid w:val="009B041A"/>
    <w:rsid w:val="009B5376"/>
    <w:rsid w:val="009B7FD2"/>
    <w:rsid w:val="009C1E1B"/>
    <w:rsid w:val="009C2AB2"/>
    <w:rsid w:val="009C37C3"/>
    <w:rsid w:val="009C745C"/>
    <w:rsid w:val="009C7804"/>
    <w:rsid w:val="009C7C86"/>
    <w:rsid w:val="009D1C37"/>
    <w:rsid w:val="009D2FF7"/>
    <w:rsid w:val="009E1F22"/>
    <w:rsid w:val="009E46B7"/>
    <w:rsid w:val="009E7884"/>
    <w:rsid w:val="009E788A"/>
    <w:rsid w:val="009F0E08"/>
    <w:rsid w:val="009F33FA"/>
    <w:rsid w:val="009F6CE8"/>
    <w:rsid w:val="00A032A1"/>
    <w:rsid w:val="00A078D6"/>
    <w:rsid w:val="00A169C5"/>
    <w:rsid w:val="00A1763D"/>
    <w:rsid w:val="00A17CEC"/>
    <w:rsid w:val="00A26EF3"/>
    <w:rsid w:val="00A27EF0"/>
    <w:rsid w:val="00A3011B"/>
    <w:rsid w:val="00A338B7"/>
    <w:rsid w:val="00A42361"/>
    <w:rsid w:val="00A45A65"/>
    <w:rsid w:val="00A46417"/>
    <w:rsid w:val="00A505FD"/>
    <w:rsid w:val="00A50B20"/>
    <w:rsid w:val="00A50FB6"/>
    <w:rsid w:val="00A51390"/>
    <w:rsid w:val="00A5298A"/>
    <w:rsid w:val="00A53CB2"/>
    <w:rsid w:val="00A54CDE"/>
    <w:rsid w:val="00A55346"/>
    <w:rsid w:val="00A57513"/>
    <w:rsid w:val="00A60D13"/>
    <w:rsid w:val="00A65748"/>
    <w:rsid w:val="00A72745"/>
    <w:rsid w:val="00A76169"/>
    <w:rsid w:val="00A76EFC"/>
    <w:rsid w:val="00A77336"/>
    <w:rsid w:val="00A91010"/>
    <w:rsid w:val="00A9543D"/>
    <w:rsid w:val="00A97C93"/>
    <w:rsid w:val="00A97F29"/>
    <w:rsid w:val="00AA2050"/>
    <w:rsid w:val="00AA702E"/>
    <w:rsid w:val="00AB0964"/>
    <w:rsid w:val="00AB2DC1"/>
    <w:rsid w:val="00AB5011"/>
    <w:rsid w:val="00AC10F2"/>
    <w:rsid w:val="00AC46AC"/>
    <w:rsid w:val="00AC6A42"/>
    <w:rsid w:val="00AC7368"/>
    <w:rsid w:val="00AD16B9"/>
    <w:rsid w:val="00AD438D"/>
    <w:rsid w:val="00AD5E46"/>
    <w:rsid w:val="00AE377D"/>
    <w:rsid w:val="00AE754C"/>
    <w:rsid w:val="00AE7DA2"/>
    <w:rsid w:val="00AF0EBA"/>
    <w:rsid w:val="00AF6B8F"/>
    <w:rsid w:val="00B02C8A"/>
    <w:rsid w:val="00B17453"/>
    <w:rsid w:val="00B17FBD"/>
    <w:rsid w:val="00B2302D"/>
    <w:rsid w:val="00B2717D"/>
    <w:rsid w:val="00B315A6"/>
    <w:rsid w:val="00B31813"/>
    <w:rsid w:val="00B33365"/>
    <w:rsid w:val="00B455FB"/>
    <w:rsid w:val="00B464F4"/>
    <w:rsid w:val="00B47CB0"/>
    <w:rsid w:val="00B52FB1"/>
    <w:rsid w:val="00B53CDB"/>
    <w:rsid w:val="00B57B36"/>
    <w:rsid w:val="00B66C8A"/>
    <w:rsid w:val="00B717CC"/>
    <w:rsid w:val="00B71EB3"/>
    <w:rsid w:val="00B73336"/>
    <w:rsid w:val="00B76ABD"/>
    <w:rsid w:val="00B76F46"/>
    <w:rsid w:val="00B77C36"/>
    <w:rsid w:val="00B84CD1"/>
    <w:rsid w:val="00B8686D"/>
    <w:rsid w:val="00B86B8D"/>
    <w:rsid w:val="00B93F69"/>
    <w:rsid w:val="00B9576F"/>
    <w:rsid w:val="00BB1DDC"/>
    <w:rsid w:val="00BB2AEE"/>
    <w:rsid w:val="00BC009D"/>
    <w:rsid w:val="00BC30C9"/>
    <w:rsid w:val="00BC32CC"/>
    <w:rsid w:val="00BC54CB"/>
    <w:rsid w:val="00BC6247"/>
    <w:rsid w:val="00BD077D"/>
    <w:rsid w:val="00BD4852"/>
    <w:rsid w:val="00BD4ED2"/>
    <w:rsid w:val="00BD722C"/>
    <w:rsid w:val="00BD772E"/>
    <w:rsid w:val="00BE2134"/>
    <w:rsid w:val="00BE2997"/>
    <w:rsid w:val="00BE2D70"/>
    <w:rsid w:val="00BE3D87"/>
    <w:rsid w:val="00BE3E58"/>
    <w:rsid w:val="00BF54F7"/>
    <w:rsid w:val="00C01616"/>
    <w:rsid w:val="00C0162B"/>
    <w:rsid w:val="00C041C4"/>
    <w:rsid w:val="00C068ED"/>
    <w:rsid w:val="00C10368"/>
    <w:rsid w:val="00C2356B"/>
    <w:rsid w:val="00C23DE6"/>
    <w:rsid w:val="00C345B1"/>
    <w:rsid w:val="00C40142"/>
    <w:rsid w:val="00C51B09"/>
    <w:rsid w:val="00C52C3C"/>
    <w:rsid w:val="00C57182"/>
    <w:rsid w:val="00C57863"/>
    <w:rsid w:val="00C60D34"/>
    <w:rsid w:val="00C61642"/>
    <w:rsid w:val="00C632C1"/>
    <w:rsid w:val="00C655FD"/>
    <w:rsid w:val="00C7400A"/>
    <w:rsid w:val="00C741F9"/>
    <w:rsid w:val="00C75407"/>
    <w:rsid w:val="00C776CE"/>
    <w:rsid w:val="00C86204"/>
    <w:rsid w:val="00C870A8"/>
    <w:rsid w:val="00C913A0"/>
    <w:rsid w:val="00C91439"/>
    <w:rsid w:val="00C9225B"/>
    <w:rsid w:val="00C9265F"/>
    <w:rsid w:val="00C94434"/>
    <w:rsid w:val="00CA0D75"/>
    <w:rsid w:val="00CA1C95"/>
    <w:rsid w:val="00CA5A9C"/>
    <w:rsid w:val="00CC2DC7"/>
    <w:rsid w:val="00CC4C20"/>
    <w:rsid w:val="00CD3517"/>
    <w:rsid w:val="00CD5FE2"/>
    <w:rsid w:val="00CD6B1B"/>
    <w:rsid w:val="00CE46BE"/>
    <w:rsid w:val="00CE6088"/>
    <w:rsid w:val="00CE7C68"/>
    <w:rsid w:val="00CF05C0"/>
    <w:rsid w:val="00CF2628"/>
    <w:rsid w:val="00D02B4C"/>
    <w:rsid w:val="00D040C4"/>
    <w:rsid w:val="00D11464"/>
    <w:rsid w:val="00D13059"/>
    <w:rsid w:val="00D13B87"/>
    <w:rsid w:val="00D145A9"/>
    <w:rsid w:val="00D14F3F"/>
    <w:rsid w:val="00D1540E"/>
    <w:rsid w:val="00D2062D"/>
    <w:rsid w:val="00D2265C"/>
    <w:rsid w:val="00D27042"/>
    <w:rsid w:val="00D32C3B"/>
    <w:rsid w:val="00D34923"/>
    <w:rsid w:val="00D361B6"/>
    <w:rsid w:val="00D37338"/>
    <w:rsid w:val="00D41C5E"/>
    <w:rsid w:val="00D42B02"/>
    <w:rsid w:val="00D46B7E"/>
    <w:rsid w:val="00D507D8"/>
    <w:rsid w:val="00D560EA"/>
    <w:rsid w:val="00D5784F"/>
    <w:rsid w:val="00D57C84"/>
    <w:rsid w:val="00D6057D"/>
    <w:rsid w:val="00D63C79"/>
    <w:rsid w:val="00D73952"/>
    <w:rsid w:val="00D806AA"/>
    <w:rsid w:val="00D829C9"/>
    <w:rsid w:val="00D82AA8"/>
    <w:rsid w:val="00D836C5"/>
    <w:rsid w:val="00D83CFF"/>
    <w:rsid w:val="00D84576"/>
    <w:rsid w:val="00D91459"/>
    <w:rsid w:val="00D920E5"/>
    <w:rsid w:val="00DA033A"/>
    <w:rsid w:val="00DA0D6E"/>
    <w:rsid w:val="00DA1399"/>
    <w:rsid w:val="00DA24C6"/>
    <w:rsid w:val="00DA4D7B"/>
    <w:rsid w:val="00DB68FA"/>
    <w:rsid w:val="00DB7E51"/>
    <w:rsid w:val="00DC06C5"/>
    <w:rsid w:val="00DC1F82"/>
    <w:rsid w:val="00DE0C88"/>
    <w:rsid w:val="00DE1862"/>
    <w:rsid w:val="00DE264A"/>
    <w:rsid w:val="00DE5ABE"/>
    <w:rsid w:val="00DE79A2"/>
    <w:rsid w:val="00DF1C73"/>
    <w:rsid w:val="00DF5072"/>
    <w:rsid w:val="00DF7543"/>
    <w:rsid w:val="00DF7E72"/>
    <w:rsid w:val="00E02D18"/>
    <w:rsid w:val="00E03E41"/>
    <w:rsid w:val="00E041E7"/>
    <w:rsid w:val="00E05FF1"/>
    <w:rsid w:val="00E07A5A"/>
    <w:rsid w:val="00E15BD5"/>
    <w:rsid w:val="00E22CFA"/>
    <w:rsid w:val="00E23A47"/>
    <w:rsid w:val="00E23CA1"/>
    <w:rsid w:val="00E24290"/>
    <w:rsid w:val="00E2657A"/>
    <w:rsid w:val="00E26EAA"/>
    <w:rsid w:val="00E32826"/>
    <w:rsid w:val="00E33F28"/>
    <w:rsid w:val="00E35C25"/>
    <w:rsid w:val="00E409A8"/>
    <w:rsid w:val="00E42682"/>
    <w:rsid w:val="00E43C05"/>
    <w:rsid w:val="00E46C69"/>
    <w:rsid w:val="00E50C12"/>
    <w:rsid w:val="00E557F4"/>
    <w:rsid w:val="00E56D2A"/>
    <w:rsid w:val="00E57F49"/>
    <w:rsid w:val="00E653BC"/>
    <w:rsid w:val="00E65B91"/>
    <w:rsid w:val="00E67763"/>
    <w:rsid w:val="00E70BDF"/>
    <w:rsid w:val="00E7209D"/>
    <w:rsid w:val="00E72EAD"/>
    <w:rsid w:val="00E7712D"/>
    <w:rsid w:val="00E77223"/>
    <w:rsid w:val="00E8528B"/>
    <w:rsid w:val="00E85B94"/>
    <w:rsid w:val="00E861CD"/>
    <w:rsid w:val="00E978D0"/>
    <w:rsid w:val="00EA0549"/>
    <w:rsid w:val="00EA1CA9"/>
    <w:rsid w:val="00EA4613"/>
    <w:rsid w:val="00EA62BD"/>
    <w:rsid w:val="00EA7F91"/>
    <w:rsid w:val="00EB1523"/>
    <w:rsid w:val="00EB50B3"/>
    <w:rsid w:val="00EC056C"/>
    <w:rsid w:val="00EC0E49"/>
    <w:rsid w:val="00EC101F"/>
    <w:rsid w:val="00EC1D9F"/>
    <w:rsid w:val="00ED5574"/>
    <w:rsid w:val="00EE0131"/>
    <w:rsid w:val="00EE17B0"/>
    <w:rsid w:val="00EE3957"/>
    <w:rsid w:val="00EE539F"/>
    <w:rsid w:val="00EF06D9"/>
    <w:rsid w:val="00EF1FB0"/>
    <w:rsid w:val="00EF3064"/>
    <w:rsid w:val="00F0220B"/>
    <w:rsid w:val="00F0256B"/>
    <w:rsid w:val="00F25050"/>
    <w:rsid w:val="00F27254"/>
    <w:rsid w:val="00F27715"/>
    <w:rsid w:val="00F30C64"/>
    <w:rsid w:val="00F318FB"/>
    <w:rsid w:val="00F32BA2"/>
    <w:rsid w:val="00F32CDB"/>
    <w:rsid w:val="00F3303A"/>
    <w:rsid w:val="00F33B85"/>
    <w:rsid w:val="00F36291"/>
    <w:rsid w:val="00F457CA"/>
    <w:rsid w:val="00F5162E"/>
    <w:rsid w:val="00F565FE"/>
    <w:rsid w:val="00F56F34"/>
    <w:rsid w:val="00F61EA0"/>
    <w:rsid w:val="00F63A70"/>
    <w:rsid w:val="00F66B68"/>
    <w:rsid w:val="00F678AE"/>
    <w:rsid w:val="00F71A1A"/>
    <w:rsid w:val="00F7534E"/>
    <w:rsid w:val="00F77830"/>
    <w:rsid w:val="00F92F21"/>
    <w:rsid w:val="00F9551E"/>
    <w:rsid w:val="00FA21D0"/>
    <w:rsid w:val="00FA5F5F"/>
    <w:rsid w:val="00FA7E07"/>
    <w:rsid w:val="00FB2E9A"/>
    <w:rsid w:val="00FB40B7"/>
    <w:rsid w:val="00FB50F3"/>
    <w:rsid w:val="00FB59E3"/>
    <w:rsid w:val="00FB6F27"/>
    <w:rsid w:val="00FB730C"/>
    <w:rsid w:val="00FC10A7"/>
    <w:rsid w:val="00FC2695"/>
    <w:rsid w:val="00FC3E03"/>
    <w:rsid w:val="00FC3FC1"/>
    <w:rsid w:val="00FC4835"/>
    <w:rsid w:val="00FD1140"/>
    <w:rsid w:val="00FE12DA"/>
    <w:rsid w:val="00FE299A"/>
    <w:rsid w:val="00FF182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178F8D2D-7684-4C5D-8DCC-A5F5C8EA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dpis1">
    <w:name w:val="heading 1"/>
    <w:basedOn w:val="CETHeading1"/>
    <w:next w:val="Normln"/>
    <w:link w:val="Nadpis1Char"/>
    <w:uiPriority w:val="9"/>
    <w:rsid w:val="004F5E36"/>
    <w:pPr>
      <w:tabs>
        <w:tab w:val="clear" w:pos="360"/>
        <w:tab w:val="right" w:pos="7100"/>
      </w:tabs>
      <w:jc w:val="both"/>
      <w:outlineLvl w:val="0"/>
    </w:pPr>
    <w:rPr>
      <w:lang w:val="en-GB"/>
    </w:rPr>
  </w:style>
  <w:style w:type="paragraph" w:styleId="Nadpis2">
    <w:name w:val="heading 2"/>
    <w:basedOn w:val="Normln"/>
    <w:next w:val="Normln"/>
    <w:link w:val="Nadpis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2717D"/>
    <w:pPr>
      <w:keepNext/>
      <w:numPr>
        <w:ilvl w:val="2"/>
        <w:numId w:val="1"/>
      </w:numPr>
      <w:suppressAutoHyphens/>
      <w:spacing w:before="120" w:after="120" w:line="240" w:lineRule="auto"/>
    </w:pPr>
    <w:rPr>
      <w:rFonts w:ascii="Arial" w:eastAsia="Times New Roman" w:hAnsi="Arial" w:cs="Times New Roman"/>
      <w:b/>
      <w:i/>
      <w:sz w:val="18"/>
      <w:szCs w:val="20"/>
      <w:lang w:val="en-GB"/>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Jednoduchtabulka1">
    <w:name w:val="Table Simple 1"/>
    <w:basedOn w:val="Normlntabulk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2717D"/>
    <w:rPr>
      <w:rFonts w:ascii="Arial" w:eastAsia="Times New Roman" w:hAnsi="Arial" w:cs="Times New Roman"/>
      <w:b/>
      <w:i/>
      <w:sz w:val="18"/>
      <w:szCs w:val="20"/>
      <w:lang w:val="en-GB"/>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kaznakoment">
    <w:name w:val="annotation reference"/>
    <w:basedOn w:val="Standardnpsmoodstavce"/>
    <w:uiPriority w:val="99"/>
    <w:semiHidden/>
    <w:unhideWhenUsed/>
    <w:rsid w:val="004577FE"/>
    <w:rPr>
      <w:sz w:val="16"/>
      <w:szCs w:val="16"/>
    </w:rPr>
  </w:style>
  <w:style w:type="paragraph" w:styleId="Textbubliny">
    <w:name w:val="Balloon Text"/>
    <w:basedOn w:val="Normln"/>
    <w:link w:val="TextbublinyChar"/>
    <w:uiPriority w:val="99"/>
    <w:semiHidden/>
    <w:unhideWhenUsed/>
    <w:rsid w:val="000D34BE"/>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Zkladntext2">
    <w:name w:val="Body Text 2"/>
    <w:basedOn w:val="Normln"/>
    <w:link w:val="Zkladntext2Char"/>
    <w:uiPriority w:val="99"/>
    <w:semiHidden/>
    <w:unhideWhenUsed/>
    <w:rsid w:val="0003148D"/>
    <w:pPr>
      <w:spacing w:after="120" w:line="480" w:lineRule="auto"/>
    </w:pPr>
  </w:style>
  <w:style w:type="character" w:customStyle="1" w:styleId="Zkladntext2Char">
    <w:name w:val="Základní text 2 Char"/>
    <w:basedOn w:val="Standardnpsmoodstavce"/>
    <w:link w:val="Zkladntext2"/>
    <w:uiPriority w:val="99"/>
    <w:semiHidden/>
    <w:rsid w:val="0003148D"/>
  </w:style>
  <w:style w:type="paragraph" w:styleId="Zkladntext3">
    <w:name w:val="Body Text 3"/>
    <w:basedOn w:val="Normln"/>
    <w:link w:val="Zkladntext3Char"/>
    <w:uiPriority w:val="99"/>
    <w:semiHidden/>
    <w:unhideWhenUsed/>
    <w:rsid w:val="0003148D"/>
    <w:pPr>
      <w:spacing w:after="120"/>
    </w:pPr>
    <w:rPr>
      <w:sz w:val="16"/>
      <w:szCs w:val="16"/>
    </w:rPr>
  </w:style>
  <w:style w:type="character" w:customStyle="1" w:styleId="Zkladntext3Char">
    <w:name w:val="Základní text 3 Char"/>
    <w:basedOn w:val="Standardnpsmoodstavce"/>
    <w:link w:val="Zkladntext3"/>
    <w:uiPriority w:val="99"/>
    <w:semiHidden/>
    <w:rsid w:val="0003148D"/>
    <w:rPr>
      <w:sz w:val="16"/>
      <w:szCs w:val="16"/>
    </w:rPr>
  </w:style>
  <w:style w:type="paragraph" w:styleId="Zkladntext">
    <w:name w:val="Body Text"/>
    <w:basedOn w:val="Normln"/>
    <w:link w:val="ZkladntextChar"/>
    <w:uiPriority w:val="99"/>
    <w:semiHidden/>
    <w:unhideWhenUsed/>
    <w:rsid w:val="0003148D"/>
    <w:pPr>
      <w:spacing w:after="120"/>
    </w:pPr>
  </w:style>
  <w:style w:type="character" w:customStyle="1" w:styleId="ZkladntextChar">
    <w:name w:val="Základní text Char"/>
    <w:basedOn w:val="Standardnpsmoodstavce"/>
    <w:link w:val="Zkladntext"/>
    <w:uiPriority w:val="99"/>
    <w:semiHidden/>
    <w:rsid w:val="0003148D"/>
  </w:style>
  <w:style w:type="paragraph" w:styleId="Datum">
    <w:name w:val="Date"/>
    <w:basedOn w:val="Normln"/>
    <w:next w:val="Normln"/>
    <w:link w:val="DatumChar"/>
    <w:uiPriority w:val="99"/>
    <w:semiHidden/>
    <w:unhideWhenUsed/>
    <w:rsid w:val="0003148D"/>
  </w:style>
  <w:style w:type="character" w:customStyle="1" w:styleId="DatumChar">
    <w:name w:val="Datum Char"/>
    <w:basedOn w:val="Standardnpsmoodstavce"/>
    <w:link w:val="Datum"/>
    <w:uiPriority w:val="99"/>
    <w:semiHidden/>
    <w:rsid w:val="0003148D"/>
  </w:style>
  <w:style w:type="paragraph" w:styleId="Titulek">
    <w:name w:val="caption"/>
    <w:basedOn w:val="Normln"/>
    <w:next w:val="Normln"/>
    <w:uiPriority w:val="35"/>
    <w:unhideWhenUsed/>
    <w:qFormat/>
    <w:rsid w:val="0003148D"/>
    <w:pPr>
      <w:spacing w:line="240" w:lineRule="auto"/>
    </w:pPr>
    <w:rPr>
      <w:b/>
      <w:bCs/>
      <w:color w:val="4F81BD" w:themeColor="accent1"/>
      <w:szCs w:val="18"/>
    </w:rPr>
  </w:style>
  <w:style w:type="paragraph" w:styleId="Seznam">
    <w:name w:val="List"/>
    <w:basedOn w:val="Normln"/>
    <w:uiPriority w:val="99"/>
    <w:semiHidden/>
    <w:unhideWhenUsed/>
    <w:rsid w:val="0003148D"/>
    <w:pPr>
      <w:ind w:left="283" w:hanging="283"/>
      <w:contextualSpacing/>
    </w:pPr>
  </w:style>
  <w:style w:type="paragraph" w:styleId="Seznam2">
    <w:name w:val="List 2"/>
    <w:basedOn w:val="Normln"/>
    <w:uiPriority w:val="99"/>
    <w:semiHidden/>
    <w:unhideWhenUsed/>
    <w:rsid w:val="0003148D"/>
    <w:pPr>
      <w:ind w:left="566" w:hanging="283"/>
      <w:contextualSpacing/>
    </w:pPr>
  </w:style>
  <w:style w:type="paragraph" w:styleId="Seznam3">
    <w:name w:val="List 3"/>
    <w:basedOn w:val="Normln"/>
    <w:uiPriority w:val="99"/>
    <w:semiHidden/>
    <w:unhideWhenUsed/>
    <w:rsid w:val="0003148D"/>
    <w:pPr>
      <w:ind w:left="849" w:hanging="283"/>
      <w:contextualSpacing/>
    </w:pPr>
  </w:style>
  <w:style w:type="paragraph" w:styleId="Seznam4">
    <w:name w:val="List 4"/>
    <w:basedOn w:val="Normln"/>
    <w:uiPriority w:val="99"/>
    <w:semiHidden/>
    <w:unhideWhenUsed/>
    <w:rsid w:val="0003148D"/>
    <w:pPr>
      <w:ind w:left="1132" w:hanging="283"/>
      <w:contextualSpacing/>
    </w:pPr>
  </w:style>
  <w:style w:type="paragraph" w:styleId="Seznam5">
    <w:name w:val="List 5"/>
    <w:basedOn w:val="Normln"/>
    <w:uiPriority w:val="99"/>
    <w:semiHidden/>
    <w:unhideWhenUsed/>
    <w:rsid w:val="0003148D"/>
    <w:pPr>
      <w:ind w:left="1415" w:hanging="283"/>
      <w:contextualSpacing/>
    </w:pPr>
  </w:style>
  <w:style w:type="paragraph" w:styleId="Pokraovnseznamu">
    <w:name w:val="List Continue"/>
    <w:basedOn w:val="Normln"/>
    <w:uiPriority w:val="99"/>
    <w:semiHidden/>
    <w:unhideWhenUsed/>
    <w:rsid w:val="0003148D"/>
    <w:pPr>
      <w:spacing w:after="120"/>
      <w:ind w:left="283"/>
      <w:contextualSpacing/>
    </w:pPr>
  </w:style>
  <w:style w:type="paragraph" w:styleId="Pokraovnseznamu2">
    <w:name w:val="List Continue 2"/>
    <w:basedOn w:val="Normln"/>
    <w:uiPriority w:val="99"/>
    <w:semiHidden/>
    <w:unhideWhenUsed/>
    <w:rsid w:val="0003148D"/>
    <w:pPr>
      <w:spacing w:after="120"/>
      <w:ind w:left="566"/>
      <w:contextualSpacing/>
    </w:pPr>
  </w:style>
  <w:style w:type="paragraph" w:styleId="Pokraovnseznamu3">
    <w:name w:val="List Continue 3"/>
    <w:basedOn w:val="Normln"/>
    <w:uiPriority w:val="99"/>
    <w:semiHidden/>
    <w:unhideWhenUsed/>
    <w:rsid w:val="0003148D"/>
    <w:pPr>
      <w:spacing w:after="120"/>
      <w:ind w:left="849"/>
      <w:contextualSpacing/>
    </w:pPr>
  </w:style>
  <w:style w:type="paragraph" w:styleId="Pokraovnseznamu4">
    <w:name w:val="List Continue 4"/>
    <w:basedOn w:val="Normln"/>
    <w:uiPriority w:val="99"/>
    <w:semiHidden/>
    <w:unhideWhenUsed/>
    <w:rsid w:val="0003148D"/>
    <w:pPr>
      <w:spacing w:after="120"/>
      <w:ind w:left="1132"/>
      <w:contextualSpacing/>
    </w:pPr>
  </w:style>
  <w:style w:type="paragraph" w:styleId="Pokraovnseznamu5">
    <w:name w:val="List Continue 5"/>
    <w:basedOn w:val="Normln"/>
    <w:uiPriority w:val="99"/>
    <w:semiHidden/>
    <w:unhideWhenUsed/>
    <w:rsid w:val="0003148D"/>
    <w:pPr>
      <w:spacing w:after="120"/>
      <w:ind w:left="1415"/>
      <w:contextualSpacing/>
    </w:pPr>
  </w:style>
  <w:style w:type="paragraph" w:styleId="Podpis">
    <w:name w:val="Signature"/>
    <w:basedOn w:val="Normln"/>
    <w:link w:val="PodpisChar"/>
    <w:uiPriority w:val="99"/>
    <w:semiHidden/>
    <w:unhideWhenUsed/>
    <w:rsid w:val="0003148D"/>
    <w:pPr>
      <w:spacing w:line="240" w:lineRule="auto"/>
      <w:ind w:left="4252"/>
    </w:pPr>
  </w:style>
  <w:style w:type="character" w:customStyle="1" w:styleId="PodpisChar">
    <w:name w:val="Podpis Char"/>
    <w:basedOn w:val="Standardnpsmoodstavce"/>
    <w:link w:val="Podpis"/>
    <w:uiPriority w:val="99"/>
    <w:semiHidden/>
    <w:rsid w:val="0003148D"/>
  </w:style>
  <w:style w:type="paragraph" w:styleId="Podpise-mailu">
    <w:name w:val="E-mail Signature"/>
    <w:basedOn w:val="Normln"/>
    <w:link w:val="Podpise-mailuChar"/>
    <w:uiPriority w:val="99"/>
    <w:semiHidden/>
    <w:unhideWhenUsed/>
    <w:rsid w:val="0003148D"/>
    <w:pPr>
      <w:spacing w:line="240" w:lineRule="auto"/>
    </w:pPr>
  </w:style>
  <w:style w:type="character" w:customStyle="1" w:styleId="Podpise-mailuChar">
    <w:name w:val="Podpis e-mailu Char"/>
    <w:basedOn w:val="Standardnpsmoodstavce"/>
    <w:link w:val="Podpise-mailu"/>
    <w:uiPriority w:val="99"/>
    <w:semiHidden/>
    <w:rsid w:val="0003148D"/>
  </w:style>
  <w:style w:type="paragraph" w:styleId="Osloven">
    <w:name w:val="Salutation"/>
    <w:basedOn w:val="Normln"/>
    <w:next w:val="Normln"/>
    <w:link w:val="OslovenChar"/>
    <w:uiPriority w:val="99"/>
    <w:semiHidden/>
    <w:unhideWhenUsed/>
    <w:rsid w:val="0003148D"/>
  </w:style>
  <w:style w:type="character" w:customStyle="1" w:styleId="OslovenChar">
    <w:name w:val="Oslovení Char"/>
    <w:basedOn w:val="Standardnpsmoodstavce"/>
    <w:link w:val="Osloven"/>
    <w:uiPriority w:val="99"/>
    <w:semiHidden/>
    <w:rsid w:val="0003148D"/>
  </w:style>
  <w:style w:type="paragraph" w:styleId="Zvr">
    <w:name w:val="Closing"/>
    <w:basedOn w:val="Normln"/>
    <w:link w:val="ZvrChar"/>
    <w:uiPriority w:val="99"/>
    <w:semiHidden/>
    <w:unhideWhenUsed/>
    <w:rsid w:val="0003148D"/>
    <w:pPr>
      <w:spacing w:line="240" w:lineRule="auto"/>
      <w:ind w:left="4252"/>
    </w:pPr>
  </w:style>
  <w:style w:type="character" w:customStyle="1" w:styleId="ZvrChar">
    <w:name w:val="Závěr Char"/>
    <w:basedOn w:val="Standardnpsmoodstavce"/>
    <w:link w:val="Zvr"/>
    <w:uiPriority w:val="99"/>
    <w:semiHidden/>
    <w:rsid w:val="0003148D"/>
  </w:style>
  <w:style w:type="paragraph" w:styleId="Rejstk1">
    <w:name w:val="index 1"/>
    <w:basedOn w:val="Normln"/>
    <w:next w:val="Normln"/>
    <w:autoRedefine/>
    <w:uiPriority w:val="99"/>
    <w:semiHidden/>
    <w:unhideWhenUsed/>
    <w:rsid w:val="0003148D"/>
    <w:pPr>
      <w:spacing w:line="240" w:lineRule="auto"/>
      <w:ind w:left="220" w:hanging="220"/>
    </w:pPr>
  </w:style>
  <w:style w:type="paragraph" w:styleId="Rejstk2">
    <w:name w:val="index 2"/>
    <w:basedOn w:val="Normln"/>
    <w:next w:val="Normln"/>
    <w:autoRedefine/>
    <w:uiPriority w:val="99"/>
    <w:semiHidden/>
    <w:unhideWhenUsed/>
    <w:rsid w:val="0003148D"/>
    <w:pPr>
      <w:spacing w:line="240" w:lineRule="auto"/>
      <w:ind w:left="440" w:hanging="220"/>
    </w:pPr>
  </w:style>
  <w:style w:type="paragraph" w:styleId="Rejstk3">
    <w:name w:val="index 3"/>
    <w:basedOn w:val="Normln"/>
    <w:next w:val="Normln"/>
    <w:autoRedefine/>
    <w:uiPriority w:val="99"/>
    <w:semiHidden/>
    <w:unhideWhenUsed/>
    <w:rsid w:val="0003148D"/>
    <w:pPr>
      <w:spacing w:line="240" w:lineRule="auto"/>
      <w:ind w:left="660" w:hanging="220"/>
    </w:pPr>
  </w:style>
  <w:style w:type="paragraph" w:styleId="Rejstk4">
    <w:name w:val="index 4"/>
    <w:basedOn w:val="Normln"/>
    <w:next w:val="Normln"/>
    <w:autoRedefine/>
    <w:uiPriority w:val="99"/>
    <w:semiHidden/>
    <w:unhideWhenUsed/>
    <w:rsid w:val="0003148D"/>
    <w:pPr>
      <w:spacing w:line="240" w:lineRule="auto"/>
      <w:ind w:left="880" w:hanging="220"/>
    </w:pPr>
  </w:style>
  <w:style w:type="paragraph" w:styleId="Rejstk5">
    <w:name w:val="index 5"/>
    <w:basedOn w:val="Normln"/>
    <w:next w:val="Normln"/>
    <w:autoRedefine/>
    <w:uiPriority w:val="99"/>
    <w:semiHidden/>
    <w:unhideWhenUsed/>
    <w:rsid w:val="0003148D"/>
    <w:pPr>
      <w:spacing w:line="240" w:lineRule="auto"/>
      <w:ind w:left="1100" w:hanging="220"/>
    </w:pPr>
  </w:style>
  <w:style w:type="paragraph" w:styleId="Rejstk6">
    <w:name w:val="index 6"/>
    <w:basedOn w:val="Normln"/>
    <w:next w:val="Normln"/>
    <w:autoRedefine/>
    <w:uiPriority w:val="99"/>
    <w:semiHidden/>
    <w:unhideWhenUsed/>
    <w:rsid w:val="0003148D"/>
    <w:pPr>
      <w:spacing w:line="240" w:lineRule="auto"/>
      <w:ind w:left="1320" w:hanging="220"/>
    </w:pPr>
  </w:style>
  <w:style w:type="paragraph" w:styleId="Rejstk7">
    <w:name w:val="index 7"/>
    <w:basedOn w:val="Normln"/>
    <w:next w:val="Normln"/>
    <w:autoRedefine/>
    <w:uiPriority w:val="99"/>
    <w:semiHidden/>
    <w:unhideWhenUsed/>
    <w:rsid w:val="0003148D"/>
    <w:pPr>
      <w:spacing w:line="240" w:lineRule="auto"/>
      <w:ind w:left="1540" w:hanging="220"/>
    </w:pPr>
  </w:style>
  <w:style w:type="paragraph" w:styleId="Rejstk8">
    <w:name w:val="index 8"/>
    <w:basedOn w:val="Normln"/>
    <w:next w:val="Normln"/>
    <w:autoRedefine/>
    <w:uiPriority w:val="99"/>
    <w:semiHidden/>
    <w:unhideWhenUsed/>
    <w:rsid w:val="0003148D"/>
    <w:pPr>
      <w:spacing w:line="240" w:lineRule="auto"/>
      <w:ind w:left="1760" w:hanging="220"/>
    </w:pPr>
  </w:style>
  <w:style w:type="paragraph" w:styleId="Rejstk9">
    <w:name w:val="index 9"/>
    <w:basedOn w:val="Normln"/>
    <w:next w:val="Normln"/>
    <w:autoRedefine/>
    <w:uiPriority w:val="99"/>
    <w:semiHidden/>
    <w:unhideWhenUsed/>
    <w:rsid w:val="0003148D"/>
    <w:pPr>
      <w:spacing w:line="240" w:lineRule="auto"/>
      <w:ind w:left="1980" w:hanging="220"/>
    </w:pPr>
  </w:style>
  <w:style w:type="paragraph" w:styleId="Seznamobrzk">
    <w:name w:val="table of figures"/>
    <w:basedOn w:val="Normln"/>
    <w:next w:val="Normln"/>
    <w:uiPriority w:val="99"/>
    <w:semiHidden/>
    <w:unhideWhenUsed/>
    <w:rsid w:val="0003148D"/>
  </w:style>
  <w:style w:type="paragraph" w:styleId="Seznamcitac">
    <w:name w:val="table of authorities"/>
    <w:basedOn w:val="Normln"/>
    <w:next w:val="Normln"/>
    <w:uiPriority w:val="99"/>
    <w:semiHidden/>
    <w:unhideWhenUsed/>
    <w:rsid w:val="0003148D"/>
    <w:pPr>
      <w:ind w:left="220" w:hanging="220"/>
    </w:pPr>
  </w:style>
  <w:style w:type="paragraph" w:styleId="Adresanaoblku">
    <w:name w:val="envelope address"/>
    <w:basedOn w:val="Norml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aHTML">
    <w:name w:val="HTML Address"/>
    <w:basedOn w:val="Normln"/>
    <w:link w:val="AdresaHTMLChar"/>
    <w:uiPriority w:val="99"/>
    <w:semiHidden/>
    <w:unhideWhenUsed/>
    <w:rsid w:val="0003148D"/>
    <w:pPr>
      <w:spacing w:line="240" w:lineRule="auto"/>
    </w:pPr>
    <w:rPr>
      <w:i/>
      <w:iCs/>
    </w:rPr>
  </w:style>
  <w:style w:type="character" w:customStyle="1" w:styleId="AdresaHTMLChar">
    <w:name w:val="Adresa HTML Char"/>
    <w:basedOn w:val="Standardnpsmoodstavce"/>
    <w:link w:val="AdresaHTML"/>
    <w:uiPriority w:val="99"/>
    <w:semiHidden/>
    <w:rsid w:val="0003148D"/>
    <w:rPr>
      <w:i/>
      <w:iCs/>
    </w:rPr>
  </w:style>
  <w:style w:type="paragraph" w:styleId="Zptenadresanaoblku">
    <w:name w:val="envelope return"/>
    <w:basedOn w:val="Normln"/>
    <w:uiPriority w:val="99"/>
    <w:semiHidden/>
    <w:unhideWhenUsed/>
    <w:rsid w:val="0003148D"/>
    <w:pPr>
      <w:spacing w:line="240" w:lineRule="auto"/>
    </w:pPr>
    <w:rPr>
      <w:rFonts w:asciiTheme="majorHAnsi" w:eastAsiaTheme="majorEastAsia" w:hAnsiTheme="majorHAnsi" w:cstheme="majorBidi"/>
    </w:rPr>
  </w:style>
  <w:style w:type="paragraph" w:styleId="Zhlavzprvy">
    <w:name w:val="Message Header"/>
    <w:basedOn w:val="Normln"/>
    <w:link w:val="Zhlavzprvy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03148D"/>
    <w:rPr>
      <w:rFonts w:asciiTheme="majorHAnsi" w:eastAsiaTheme="majorEastAsia" w:hAnsiTheme="majorHAnsi" w:cstheme="majorBidi"/>
      <w:sz w:val="24"/>
      <w:szCs w:val="24"/>
      <w:shd w:val="pct20" w:color="auto" w:fill="auto"/>
    </w:rPr>
  </w:style>
  <w:style w:type="paragraph" w:styleId="Nadpispoznmky">
    <w:name w:val="Note Heading"/>
    <w:basedOn w:val="Normln"/>
    <w:next w:val="Normln"/>
    <w:link w:val="NadpispoznmkyChar"/>
    <w:uiPriority w:val="99"/>
    <w:semiHidden/>
    <w:unhideWhenUsed/>
    <w:rsid w:val="0003148D"/>
    <w:pPr>
      <w:spacing w:line="240" w:lineRule="auto"/>
    </w:pPr>
  </w:style>
  <w:style w:type="character" w:customStyle="1" w:styleId="NadpispoznmkyChar">
    <w:name w:val="Nadpis poznámky Char"/>
    <w:basedOn w:val="Standardnpsmoodstavce"/>
    <w:link w:val="Nadpispoznmky"/>
    <w:uiPriority w:val="99"/>
    <w:semiHidden/>
    <w:rsid w:val="0003148D"/>
  </w:style>
  <w:style w:type="paragraph" w:styleId="Rozloendokumentu">
    <w:name w:val="Document Map"/>
    <w:basedOn w:val="Normln"/>
    <w:link w:val="RozloendokumentuChar"/>
    <w:uiPriority w:val="99"/>
    <w:semiHidden/>
    <w:unhideWhenUsed/>
    <w:rsid w:val="0003148D"/>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3148D"/>
    <w:rPr>
      <w:rFonts w:ascii="Tahoma" w:hAnsi="Tahoma" w:cs="Tahoma"/>
      <w:sz w:val="16"/>
      <w:szCs w:val="16"/>
    </w:rPr>
  </w:style>
  <w:style w:type="paragraph" w:styleId="Normlnweb">
    <w:name w:val="Normal (Web)"/>
    <w:basedOn w:val="Normln"/>
    <w:uiPriority w:val="99"/>
    <w:semiHidden/>
    <w:unhideWhenUsed/>
    <w:rsid w:val="0003148D"/>
    <w:rPr>
      <w:sz w:val="24"/>
      <w:szCs w:val="24"/>
    </w:rPr>
  </w:style>
  <w:style w:type="paragraph" w:styleId="slovanseznam">
    <w:name w:val="List Number"/>
    <w:basedOn w:val="Normln"/>
    <w:uiPriority w:val="99"/>
    <w:semiHidden/>
    <w:unhideWhenUsed/>
    <w:rsid w:val="0003148D"/>
    <w:pPr>
      <w:numPr>
        <w:numId w:val="2"/>
      </w:numPr>
      <w:contextualSpacing/>
    </w:pPr>
  </w:style>
  <w:style w:type="paragraph" w:styleId="slovanseznam2">
    <w:name w:val="List Number 2"/>
    <w:basedOn w:val="Normln"/>
    <w:uiPriority w:val="99"/>
    <w:semiHidden/>
    <w:unhideWhenUsed/>
    <w:rsid w:val="0003148D"/>
    <w:pPr>
      <w:numPr>
        <w:numId w:val="3"/>
      </w:numPr>
      <w:contextualSpacing/>
    </w:pPr>
  </w:style>
  <w:style w:type="paragraph" w:styleId="slovanseznam3">
    <w:name w:val="List Number 3"/>
    <w:basedOn w:val="Normln"/>
    <w:uiPriority w:val="99"/>
    <w:semiHidden/>
    <w:unhideWhenUsed/>
    <w:rsid w:val="0003148D"/>
    <w:pPr>
      <w:numPr>
        <w:numId w:val="4"/>
      </w:numPr>
      <w:contextualSpacing/>
    </w:pPr>
  </w:style>
  <w:style w:type="paragraph" w:styleId="slovanseznam4">
    <w:name w:val="List Number 4"/>
    <w:basedOn w:val="Normln"/>
    <w:uiPriority w:val="99"/>
    <w:semiHidden/>
    <w:unhideWhenUsed/>
    <w:rsid w:val="0003148D"/>
    <w:pPr>
      <w:numPr>
        <w:numId w:val="5"/>
      </w:numPr>
      <w:contextualSpacing/>
    </w:pPr>
  </w:style>
  <w:style w:type="paragraph" w:styleId="slovanseznam5">
    <w:name w:val="List Number 5"/>
    <w:basedOn w:val="Normln"/>
    <w:uiPriority w:val="99"/>
    <w:semiHidden/>
    <w:unhideWhenUsed/>
    <w:rsid w:val="0003148D"/>
    <w:pPr>
      <w:numPr>
        <w:numId w:val="6"/>
      </w:numPr>
      <w:contextualSpacing/>
    </w:pPr>
  </w:style>
  <w:style w:type="paragraph" w:styleId="FormtovanvHTML">
    <w:name w:val="HTML Preformatted"/>
    <w:basedOn w:val="Normln"/>
    <w:link w:val="FormtovanvHTMLChar"/>
    <w:uiPriority w:val="99"/>
    <w:semiHidden/>
    <w:unhideWhenUsed/>
    <w:rsid w:val="0003148D"/>
    <w:pPr>
      <w:spacing w:line="240" w:lineRule="auto"/>
    </w:pPr>
    <w:rPr>
      <w:rFonts w:ascii="Consolas" w:hAnsi="Consolas" w:cs="Consolas"/>
    </w:rPr>
  </w:style>
  <w:style w:type="character" w:customStyle="1" w:styleId="FormtovanvHTMLChar">
    <w:name w:val="Formátovaný v HTML Char"/>
    <w:basedOn w:val="Standardnpsmoodstavce"/>
    <w:link w:val="FormtovanvHTML"/>
    <w:uiPriority w:val="99"/>
    <w:semiHidden/>
    <w:rsid w:val="0003148D"/>
    <w:rPr>
      <w:rFonts w:ascii="Consolas" w:hAnsi="Consolas" w:cs="Consolas"/>
      <w:sz w:val="20"/>
      <w:szCs w:val="20"/>
    </w:rPr>
  </w:style>
  <w:style w:type="paragraph" w:styleId="Zkladntext-prvnodsazen">
    <w:name w:val="Body Text First Indent"/>
    <w:basedOn w:val="Zkladntext"/>
    <w:link w:val="Zkladntext-prvnodsazenChar"/>
    <w:uiPriority w:val="99"/>
    <w:semiHidden/>
    <w:unhideWhenUsed/>
    <w:rsid w:val="0003148D"/>
    <w:pPr>
      <w:spacing w:after="200"/>
      <w:ind w:firstLine="360"/>
    </w:pPr>
  </w:style>
  <w:style w:type="character" w:customStyle="1" w:styleId="Zkladntext-prvnodsazenChar">
    <w:name w:val="Základní text - první odsazený Char"/>
    <w:basedOn w:val="ZkladntextChar"/>
    <w:link w:val="Zkladntext-prvnodsazen"/>
    <w:uiPriority w:val="99"/>
    <w:semiHidden/>
    <w:rsid w:val="0003148D"/>
  </w:style>
  <w:style w:type="paragraph" w:styleId="Zkladntextodsazen">
    <w:name w:val="Body Text Indent"/>
    <w:basedOn w:val="Normln"/>
    <w:link w:val="ZkladntextodsazenChar"/>
    <w:uiPriority w:val="99"/>
    <w:semiHidden/>
    <w:unhideWhenUsed/>
    <w:rsid w:val="0003148D"/>
    <w:pPr>
      <w:spacing w:after="120"/>
      <w:ind w:left="283"/>
    </w:pPr>
  </w:style>
  <w:style w:type="character" w:customStyle="1" w:styleId="ZkladntextodsazenChar">
    <w:name w:val="Základní text odsazený Char"/>
    <w:basedOn w:val="Standardnpsmoodstavce"/>
    <w:link w:val="Zkladntextodsazen"/>
    <w:uiPriority w:val="99"/>
    <w:semiHidden/>
    <w:rsid w:val="0003148D"/>
  </w:style>
  <w:style w:type="paragraph" w:styleId="Zkladntext-prvnodsazen2">
    <w:name w:val="Body Text First Indent 2"/>
    <w:basedOn w:val="Zkladntextodsazen"/>
    <w:link w:val="Zkladntext-prvnodsazen2Char"/>
    <w:uiPriority w:val="99"/>
    <w:semiHidden/>
    <w:unhideWhenUsed/>
    <w:rsid w:val="0003148D"/>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03148D"/>
  </w:style>
  <w:style w:type="paragraph" w:styleId="Seznamsodrkami">
    <w:name w:val="List Bullet"/>
    <w:basedOn w:val="Normln"/>
    <w:uiPriority w:val="99"/>
    <w:semiHidden/>
    <w:unhideWhenUsed/>
    <w:rsid w:val="0003148D"/>
    <w:pPr>
      <w:numPr>
        <w:numId w:val="7"/>
      </w:numPr>
      <w:contextualSpacing/>
    </w:pPr>
  </w:style>
  <w:style w:type="paragraph" w:styleId="Seznamsodrkami2">
    <w:name w:val="List Bullet 2"/>
    <w:basedOn w:val="Normln"/>
    <w:uiPriority w:val="99"/>
    <w:semiHidden/>
    <w:unhideWhenUsed/>
    <w:rsid w:val="0003148D"/>
    <w:pPr>
      <w:numPr>
        <w:numId w:val="8"/>
      </w:numPr>
      <w:contextualSpacing/>
    </w:pPr>
  </w:style>
  <w:style w:type="paragraph" w:styleId="Seznamsodrkami3">
    <w:name w:val="List Bullet 3"/>
    <w:basedOn w:val="Normln"/>
    <w:uiPriority w:val="99"/>
    <w:semiHidden/>
    <w:unhideWhenUsed/>
    <w:rsid w:val="0003148D"/>
    <w:pPr>
      <w:numPr>
        <w:numId w:val="9"/>
      </w:numPr>
      <w:contextualSpacing/>
    </w:pPr>
  </w:style>
  <w:style w:type="paragraph" w:styleId="Seznamsodrkami4">
    <w:name w:val="List Bullet 4"/>
    <w:basedOn w:val="Normln"/>
    <w:uiPriority w:val="99"/>
    <w:semiHidden/>
    <w:unhideWhenUsed/>
    <w:rsid w:val="0003148D"/>
    <w:pPr>
      <w:numPr>
        <w:numId w:val="10"/>
      </w:numPr>
      <w:contextualSpacing/>
    </w:pPr>
  </w:style>
  <w:style w:type="paragraph" w:styleId="Seznamsodrkami5">
    <w:name w:val="List Bullet 5"/>
    <w:basedOn w:val="Normln"/>
    <w:uiPriority w:val="99"/>
    <w:semiHidden/>
    <w:unhideWhenUsed/>
    <w:rsid w:val="0003148D"/>
    <w:pPr>
      <w:numPr>
        <w:numId w:val="11"/>
      </w:numPr>
      <w:contextualSpacing/>
    </w:pPr>
  </w:style>
  <w:style w:type="paragraph" w:styleId="Zkladntextodsazen2">
    <w:name w:val="Body Text Indent 2"/>
    <w:basedOn w:val="Normln"/>
    <w:link w:val="Zkladntextodsazen2Char"/>
    <w:uiPriority w:val="99"/>
    <w:semiHidden/>
    <w:unhideWhenUsed/>
    <w:rsid w:val="0003148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3148D"/>
  </w:style>
  <w:style w:type="paragraph" w:styleId="Zkladntextodsazen3">
    <w:name w:val="Body Text Indent 3"/>
    <w:basedOn w:val="Normln"/>
    <w:link w:val="Zkladntextodsazen3Char"/>
    <w:uiPriority w:val="99"/>
    <w:semiHidden/>
    <w:unhideWhenUsed/>
    <w:rsid w:val="0003148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3148D"/>
    <w:rPr>
      <w:sz w:val="16"/>
      <w:szCs w:val="16"/>
    </w:rPr>
  </w:style>
  <w:style w:type="paragraph" w:styleId="Normlnodsazen">
    <w:name w:val="Normal Indent"/>
    <w:basedOn w:val="Normln"/>
    <w:uiPriority w:val="99"/>
    <w:semiHidden/>
    <w:unhideWhenUsed/>
    <w:rsid w:val="0003148D"/>
    <w:pPr>
      <w:ind w:left="720"/>
    </w:pPr>
  </w:style>
  <w:style w:type="paragraph" w:styleId="Textkomente">
    <w:name w:val="annotation text"/>
    <w:basedOn w:val="Normln"/>
    <w:link w:val="TextkomenteChar"/>
    <w:uiPriority w:val="99"/>
    <w:unhideWhenUsed/>
    <w:rsid w:val="0003148D"/>
    <w:pPr>
      <w:spacing w:line="240" w:lineRule="auto"/>
    </w:pPr>
  </w:style>
  <w:style w:type="character" w:customStyle="1" w:styleId="TextkomenteChar">
    <w:name w:val="Text komentáře Char"/>
    <w:basedOn w:val="Standardnpsmoodstavce"/>
    <w:link w:val="Textkomente"/>
    <w:uiPriority w:val="99"/>
    <w:rsid w:val="0003148D"/>
    <w:rPr>
      <w:sz w:val="20"/>
      <w:szCs w:val="20"/>
    </w:rPr>
  </w:style>
  <w:style w:type="paragraph" w:styleId="Pedmtkomente">
    <w:name w:val="annotation subject"/>
    <w:basedOn w:val="Textkomente"/>
    <w:next w:val="Textkomente"/>
    <w:link w:val="PedmtkomenteChar"/>
    <w:uiPriority w:val="99"/>
    <w:semiHidden/>
    <w:unhideWhenUsed/>
    <w:rsid w:val="0003148D"/>
    <w:rPr>
      <w:b/>
      <w:bCs/>
    </w:rPr>
  </w:style>
  <w:style w:type="character" w:customStyle="1" w:styleId="PedmtkomenteChar">
    <w:name w:val="Předmět komentáře Char"/>
    <w:basedOn w:val="TextkomenteChar"/>
    <w:link w:val="Pedmtkomente"/>
    <w:uiPriority w:val="99"/>
    <w:semiHidden/>
    <w:rsid w:val="0003148D"/>
    <w:rPr>
      <w:b/>
      <w:bCs/>
      <w:sz w:val="20"/>
      <w:szCs w:val="20"/>
    </w:rPr>
  </w:style>
  <w:style w:type="paragraph" w:styleId="Obsah1">
    <w:name w:val="toc 1"/>
    <w:basedOn w:val="Normln"/>
    <w:next w:val="Normln"/>
    <w:autoRedefine/>
    <w:uiPriority w:val="39"/>
    <w:semiHidden/>
    <w:unhideWhenUsed/>
    <w:rsid w:val="0003148D"/>
    <w:pPr>
      <w:spacing w:after="100"/>
    </w:pPr>
  </w:style>
  <w:style w:type="paragraph" w:styleId="Obsah2">
    <w:name w:val="toc 2"/>
    <w:basedOn w:val="Normln"/>
    <w:next w:val="Normln"/>
    <w:autoRedefine/>
    <w:uiPriority w:val="39"/>
    <w:semiHidden/>
    <w:unhideWhenUsed/>
    <w:rsid w:val="0003148D"/>
    <w:pPr>
      <w:spacing w:after="100"/>
      <w:ind w:left="220"/>
    </w:pPr>
  </w:style>
  <w:style w:type="paragraph" w:styleId="Obsah3">
    <w:name w:val="toc 3"/>
    <w:basedOn w:val="Normln"/>
    <w:next w:val="Normln"/>
    <w:autoRedefine/>
    <w:uiPriority w:val="39"/>
    <w:semiHidden/>
    <w:unhideWhenUsed/>
    <w:rsid w:val="0003148D"/>
    <w:pPr>
      <w:spacing w:after="100"/>
      <w:ind w:left="440"/>
    </w:pPr>
  </w:style>
  <w:style w:type="paragraph" w:styleId="Obsah4">
    <w:name w:val="toc 4"/>
    <w:basedOn w:val="Normln"/>
    <w:next w:val="Normln"/>
    <w:autoRedefine/>
    <w:uiPriority w:val="39"/>
    <w:semiHidden/>
    <w:unhideWhenUsed/>
    <w:rsid w:val="0003148D"/>
    <w:pPr>
      <w:spacing w:after="100"/>
      <w:ind w:left="660"/>
    </w:pPr>
  </w:style>
  <w:style w:type="paragraph" w:styleId="Obsah5">
    <w:name w:val="toc 5"/>
    <w:basedOn w:val="Normln"/>
    <w:next w:val="Normln"/>
    <w:autoRedefine/>
    <w:uiPriority w:val="39"/>
    <w:semiHidden/>
    <w:unhideWhenUsed/>
    <w:rsid w:val="0003148D"/>
    <w:pPr>
      <w:spacing w:after="100"/>
      <w:ind w:left="880"/>
    </w:pPr>
  </w:style>
  <w:style w:type="paragraph" w:styleId="Obsah6">
    <w:name w:val="toc 6"/>
    <w:basedOn w:val="Normln"/>
    <w:next w:val="Normln"/>
    <w:autoRedefine/>
    <w:uiPriority w:val="39"/>
    <w:semiHidden/>
    <w:unhideWhenUsed/>
    <w:rsid w:val="0003148D"/>
    <w:pPr>
      <w:spacing w:after="100"/>
      <w:ind w:left="1100"/>
    </w:pPr>
  </w:style>
  <w:style w:type="paragraph" w:styleId="Obsah7">
    <w:name w:val="toc 7"/>
    <w:basedOn w:val="Normln"/>
    <w:next w:val="Normln"/>
    <w:autoRedefine/>
    <w:uiPriority w:val="39"/>
    <w:semiHidden/>
    <w:unhideWhenUsed/>
    <w:rsid w:val="0003148D"/>
    <w:pPr>
      <w:spacing w:after="100"/>
      <w:ind w:left="1320"/>
    </w:pPr>
  </w:style>
  <w:style w:type="paragraph" w:styleId="Obsah8">
    <w:name w:val="toc 8"/>
    <w:basedOn w:val="Normln"/>
    <w:next w:val="Normln"/>
    <w:autoRedefine/>
    <w:uiPriority w:val="39"/>
    <w:semiHidden/>
    <w:unhideWhenUsed/>
    <w:rsid w:val="0003148D"/>
    <w:pPr>
      <w:spacing w:after="100"/>
      <w:ind w:left="1540"/>
    </w:pPr>
  </w:style>
  <w:style w:type="paragraph" w:styleId="Obsah9">
    <w:name w:val="toc 9"/>
    <w:basedOn w:val="Normln"/>
    <w:next w:val="Normln"/>
    <w:autoRedefine/>
    <w:uiPriority w:val="39"/>
    <w:semiHidden/>
    <w:unhideWhenUsed/>
    <w:rsid w:val="0003148D"/>
    <w:pPr>
      <w:spacing w:after="100"/>
      <w:ind w:left="1760"/>
    </w:pPr>
  </w:style>
  <w:style w:type="paragraph" w:styleId="Textvbloku">
    <w:name w:val="Block Text"/>
    <w:basedOn w:val="Norml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makra">
    <w:name w:val="macro"/>
    <w:link w:val="Textmakra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makraChar">
    <w:name w:val="Text makra Char"/>
    <w:basedOn w:val="Standardnpsmoodstavce"/>
    <w:link w:val="Textmakra"/>
    <w:uiPriority w:val="99"/>
    <w:semiHidden/>
    <w:rsid w:val="0003148D"/>
    <w:rPr>
      <w:rFonts w:ascii="Consolas" w:hAnsi="Consolas" w:cs="Consolas"/>
      <w:sz w:val="20"/>
      <w:szCs w:val="20"/>
    </w:rPr>
  </w:style>
  <w:style w:type="paragraph" w:styleId="Prosttext">
    <w:name w:val="Plain Text"/>
    <w:basedOn w:val="Normln"/>
    <w:link w:val="ProsttextChar"/>
    <w:uiPriority w:val="99"/>
    <w:semiHidden/>
    <w:unhideWhenUsed/>
    <w:rsid w:val="0003148D"/>
    <w:pPr>
      <w:spacing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03148D"/>
    <w:rPr>
      <w:rFonts w:ascii="Consolas" w:hAnsi="Consolas" w:cs="Consolas"/>
      <w:sz w:val="21"/>
      <w:szCs w:val="21"/>
    </w:rPr>
  </w:style>
  <w:style w:type="paragraph" w:styleId="Textpoznpodarou">
    <w:name w:val="footnote text"/>
    <w:basedOn w:val="Normln"/>
    <w:link w:val="TextpoznpodarouChar"/>
    <w:uiPriority w:val="99"/>
    <w:semiHidden/>
    <w:unhideWhenUsed/>
    <w:rsid w:val="0003148D"/>
    <w:pPr>
      <w:spacing w:line="240" w:lineRule="auto"/>
    </w:pPr>
  </w:style>
  <w:style w:type="character" w:customStyle="1" w:styleId="TextpoznpodarouChar">
    <w:name w:val="Text pozn. pod čarou Char"/>
    <w:basedOn w:val="Standardnpsmoodstavce"/>
    <w:link w:val="Textpoznpodarou"/>
    <w:uiPriority w:val="99"/>
    <w:semiHidden/>
    <w:rsid w:val="0003148D"/>
    <w:rPr>
      <w:sz w:val="20"/>
      <w:szCs w:val="20"/>
    </w:rPr>
  </w:style>
  <w:style w:type="paragraph" w:styleId="Textvysvtlivek">
    <w:name w:val="endnote text"/>
    <w:basedOn w:val="Normln"/>
    <w:link w:val="TextvysvtlivekChar"/>
    <w:uiPriority w:val="99"/>
    <w:semiHidden/>
    <w:unhideWhenUsed/>
    <w:rsid w:val="0003148D"/>
    <w:pPr>
      <w:spacing w:line="240" w:lineRule="auto"/>
    </w:pPr>
  </w:style>
  <w:style w:type="character" w:customStyle="1" w:styleId="TextvysvtlivekChar">
    <w:name w:val="Text vysvětlivek Char"/>
    <w:basedOn w:val="Standardnpsmoodstavce"/>
    <w:link w:val="Textvysvtlivek"/>
    <w:uiPriority w:val="99"/>
    <w:semiHidden/>
    <w:rsid w:val="0003148D"/>
    <w:rPr>
      <w:sz w:val="20"/>
      <w:szCs w:val="20"/>
    </w:rPr>
  </w:style>
  <w:style w:type="character" w:customStyle="1" w:styleId="Nadpis1Char">
    <w:name w:val="Nadpis 1 Char"/>
    <w:basedOn w:val="Standardnpsmoodstavce"/>
    <w:link w:val="Nadpis1"/>
    <w:uiPriority w:val="9"/>
    <w:rsid w:val="004F5E36"/>
    <w:rPr>
      <w:rFonts w:ascii="Arial" w:eastAsia="Times New Roman" w:hAnsi="Arial" w:cs="Times New Roman"/>
      <w:b/>
      <w:sz w:val="20"/>
      <w:szCs w:val="20"/>
      <w:lang w:val="en-GB"/>
    </w:rPr>
  </w:style>
  <w:style w:type="character" w:customStyle="1" w:styleId="Nadpis2Char">
    <w:name w:val="Nadpis 2 Char"/>
    <w:basedOn w:val="Standardnpsmoodstavce"/>
    <w:link w:val="Nadpis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3148D"/>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3148D"/>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3148D"/>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3148D"/>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3148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148D"/>
    <w:rPr>
      <w:rFonts w:asciiTheme="majorHAnsi" w:eastAsiaTheme="majorEastAsia" w:hAnsiTheme="majorHAnsi" w:cstheme="majorBidi"/>
      <w:i/>
      <w:iCs/>
      <w:color w:val="404040" w:themeColor="text1" w:themeTint="BF"/>
      <w:sz w:val="20"/>
      <w:szCs w:val="20"/>
    </w:rPr>
  </w:style>
  <w:style w:type="paragraph" w:styleId="Hlavikarejstku">
    <w:name w:val="index heading"/>
    <w:basedOn w:val="Normln"/>
    <w:next w:val="Rejstk1"/>
    <w:uiPriority w:val="99"/>
    <w:semiHidden/>
    <w:unhideWhenUsed/>
    <w:rsid w:val="0003148D"/>
    <w:rPr>
      <w:rFonts w:asciiTheme="majorHAnsi" w:eastAsiaTheme="majorEastAsia" w:hAnsiTheme="majorHAnsi" w:cstheme="majorBidi"/>
      <w:b/>
      <w:bCs/>
    </w:rPr>
  </w:style>
  <w:style w:type="paragraph" w:styleId="Hlavikaobsahu">
    <w:name w:val="toa heading"/>
    <w:basedOn w:val="Normln"/>
    <w:next w:val="Normln"/>
    <w:uiPriority w:val="99"/>
    <w:semiHidden/>
    <w:unhideWhenUsed/>
    <w:rsid w:val="0003148D"/>
    <w:pPr>
      <w:spacing w:before="120"/>
    </w:pPr>
    <w:rPr>
      <w:rFonts w:asciiTheme="majorHAnsi" w:eastAsiaTheme="majorEastAsia" w:hAnsiTheme="majorHAnsi" w:cstheme="majorBidi"/>
      <w:b/>
      <w:bCs/>
      <w:sz w:val="24"/>
      <w:szCs w:val="24"/>
    </w:rPr>
  </w:style>
  <w:style w:type="paragraph" w:styleId="Nadpisobsahu">
    <w:name w:val="TOC Heading"/>
    <w:basedOn w:val="Nadpis1"/>
    <w:next w:val="Norml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npsmoodstavc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Zhlav">
    <w:name w:val="header"/>
    <w:basedOn w:val="Normln"/>
    <w:link w:val="ZhlavChar"/>
    <w:uiPriority w:val="99"/>
    <w:unhideWhenUsed/>
    <w:rsid w:val="005278B7"/>
    <w:pPr>
      <w:tabs>
        <w:tab w:val="clear" w:pos="7100"/>
        <w:tab w:val="center" w:pos="4819"/>
        <w:tab w:val="right" w:pos="9638"/>
      </w:tabs>
      <w:spacing w:line="240" w:lineRule="auto"/>
    </w:pPr>
  </w:style>
  <w:style w:type="character" w:customStyle="1" w:styleId="ZhlavChar">
    <w:name w:val="Záhlaví Char"/>
    <w:basedOn w:val="Standardnpsmoodstavce"/>
    <w:link w:val="Zhlav"/>
    <w:uiPriority w:val="99"/>
    <w:rsid w:val="005278B7"/>
    <w:rPr>
      <w:rFonts w:ascii="Arial" w:eastAsia="Times New Roman" w:hAnsi="Arial" w:cs="Times New Roman"/>
      <w:sz w:val="18"/>
      <w:szCs w:val="20"/>
      <w:lang w:val="en-GB"/>
    </w:rPr>
  </w:style>
  <w:style w:type="paragraph" w:styleId="Zpat">
    <w:name w:val="footer"/>
    <w:basedOn w:val="Normln"/>
    <w:link w:val="ZpatChar"/>
    <w:uiPriority w:val="99"/>
    <w:unhideWhenUsed/>
    <w:rsid w:val="005278B7"/>
    <w:pPr>
      <w:tabs>
        <w:tab w:val="clear" w:pos="7100"/>
        <w:tab w:val="center" w:pos="4819"/>
        <w:tab w:val="right" w:pos="9638"/>
      </w:tabs>
      <w:spacing w:line="240" w:lineRule="auto"/>
    </w:pPr>
  </w:style>
  <w:style w:type="character" w:customStyle="1" w:styleId="ZpatChar">
    <w:name w:val="Zápatí Char"/>
    <w:basedOn w:val="Standardnpsmoodstavce"/>
    <w:link w:val="Zpat"/>
    <w:uiPriority w:val="99"/>
    <w:rsid w:val="005278B7"/>
    <w:rPr>
      <w:rFonts w:ascii="Arial" w:eastAsia="Times New Roman" w:hAnsi="Arial" w:cs="Times New Roman"/>
      <w:sz w:val="18"/>
      <w:szCs w:val="20"/>
      <w:lang w:val="en-GB"/>
    </w:rPr>
  </w:style>
  <w:style w:type="table" w:styleId="Mkatabulky">
    <w:name w:val="Table Grid"/>
    <w:basedOn w:val="Normlntabulk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04C62"/>
    <w:rPr>
      <w:color w:val="0000FF" w:themeColor="hyperlink"/>
      <w:u w:val="single"/>
    </w:rPr>
  </w:style>
  <w:style w:type="character" w:customStyle="1" w:styleId="eudoraheader">
    <w:name w:val="eudoraheader"/>
    <w:basedOn w:val="Standardnpsmoodstavc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896A2E"/>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i/>
      <w:sz w:val="18"/>
      <w:szCs w:val="20"/>
      <w:lang w:val="en-US"/>
    </w:rPr>
  </w:style>
  <w:style w:type="paragraph" w:styleId="Odstavecseseznamem">
    <w:name w:val="List Paragraph"/>
    <w:basedOn w:val="Normln"/>
    <w:uiPriority w:val="34"/>
    <w:qFormat/>
    <w:rsid w:val="00280FAF"/>
    <w:pPr>
      <w:ind w:left="720"/>
      <w:contextualSpacing/>
    </w:pPr>
  </w:style>
  <w:style w:type="character" w:styleId="Zstupntext">
    <w:name w:val="Placeholder Text"/>
    <w:basedOn w:val="Standardnpsmoodstavce"/>
    <w:uiPriority w:val="99"/>
    <w:semiHidden/>
    <w:rsid w:val="00896A2E"/>
    <w:rPr>
      <w:color w:val="808080"/>
    </w:rPr>
  </w:style>
  <w:style w:type="character" w:customStyle="1" w:styleId="Nevyeenzmnka1">
    <w:name w:val="Nevyřešená zmínka1"/>
    <w:basedOn w:val="Standardnpsmoodstavce"/>
    <w:uiPriority w:val="99"/>
    <w:semiHidden/>
    <w:unhideWhenUsed/>
    <w:rsid w:val="005F5524"/>
    <w:rPr>
      <w:color w:val="605E5C"/>
      <w:shd w:val="clear" w:color="auto" w:fill="E1DFDD"/>
    </w:rPr>
  </w:style>
  <w:style w:type="table" w:customStyle="1" w:styleId="Mkatabulky8">
    <w:name w:val="Mřížka tabulky8"/>
    <w:basedOn w:val="Normlntabulka"/>
    <w:next w:val="Mkatabulky"/>
    <w:rsid w:val="004A6285"/>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dge">
    <w:name w:val="badge"/>
    <w:basedOn w:val="Standardnpsmoodstavce"/>
    <w:rsid w:val="00155B54"/>
  </w:style>
  <w:style w:type="paragraph" w:styleId="Revize">
    <w:name w:val="Revision"/>
    <w:hidden/>
    <w:uiPriority w:val="99"/>
    <w:semiHidden/>
    <w:rsid w:val="004042D0"/>
    <w:pPr>
      <w:spacing w:after="0" w:line="240" w:lineRule="auto"/>
    </w:pPr>
    <w:rPr>
      <w:rFonts w:ascii="Arial" w:eastAsia="Times New Roman" w:hAnsi="Arial" w:cs="Times New Roman"/>
      <w:sz w:val="18"/>
      <w:szCs w:val="20"/>
      <w:lang w:val="en-GB"/>
    </w:rPr>
  </w:style>
  <w:style w:type="paragraph" w:customStyle="1" w:styleId="cetreferencetext0">
    <w:name w:val="cetreferencetext"/>
    <w:basedOn w:val="Normln"/>
    <w:rsid w:val="00600A4C"/>
    <w:pPr>
      <w:tabs>
        <w:tab w:val="clear" w:pos="7100"/>
      </w:tabs>
      <w:spacing w:line="240" w:lineRule="auto"/>
      <w:jc w:val="left"/>
    </w:pPr>
    <w:rPr>
      <w:rFonts w:ascii="Calibri" w:eastAsiaTheme="minorHAnsi" w:hAnsi="Calibri" w:cs="Calibri"/>
      <w:sz w:val="22"/>
      <w:szCs w:val="22"/>
      <w:lang w:val="cs-CZ" w:eastAsia="cs-CZ"/>
    </w:rPr>
  </w:style>
  <w:style w:type="character" w:customStyle="1" w:styleId="contentpasted0">
    <w:name w:val="contentpasted0"/>
    <w:basedOn w:val="Standardnpsmoodstavce"/>
    <w:rsid w:val="00600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3442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773">
      <w:bodyDiv w:val="1"/>
      <w:marLeft w:val="0"/>
      <w:marRight w:val="0"/>
      <w:marTop w:val="0"/>
      <w:marBottom w:val="0"/>
      <w:divBdr>
        <w:top w:val="none" w:sz="0" w:space="0" w:color="auto"/>
        <w:left w:val="none" w:sz="0" w:space="0" w:color="auto"/>
        <w:bottom w:val="none" w:sz="0" w:space="0" w:color="auto"/>
        <w:right w:val="none" w:sz="0" w:space="0" w:color="auto"/>
      </w:divBdr>
    </w:div>
    <w:div w:id="1307052240">
      <w:bodyDiv w:val="1"/>
      <w:marLeft w:val="0"/>
      <w:marRight w:val="0"/>
      <w:marTop w:val="0"/>
      <w:marBottom w:val="0"/>
      <w:divBdr>
        <w:top w:val="none" w:sz="0" w:space="0" w:color="auto"/>
        <w:left w:val="none" w:sz="0" w:space="0" w:color="auto"/>
        <w:bottom w:val="none" w:sz="0" w:space="0" w:color="auto"/>
        <w:right w:val="none" w:sz="0" w:space="0" w:color="auto"/>
      </w:divBdr>
    </w:div>
    <w:div w:id="131383048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11366-0CBA-48C0-B516-363426582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3595</Words>
  <Characters>21215</Characters>
  <Application>Microsoft Office Word</Application>
  <DocSecurity>0</DocSecurity>
  <Lines>176</Lines>
  <Paragraphs>49</Paragraphs>
  <ScaleCrop>false</ScaleCrop>
  <HeadingPairs>
    <vt:vector size="6" baseType="variant">
      <vt:variant>
        <vt:lpstr>Název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Slaný Jan</cp:lastModifiedBy>
  <cp:revision>49</cp:revision>
  <cp:lastPrinted>2015-05-12T18:31:00Z</cp:lastPrinted>
  <dcterms:created xsi:type="dcterms:W3CDTF">2023-04-11T14:55:00Z</dcterms:created>
  <dcterms:modified xsi:type="dcterms:W3CDTF">2023-04-12T12:45:00Z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