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4.png" ContentType="image/png"/>
  <Override PartName="/word/media/image3.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8782" w:type="dxa"/>
        <w:jc w:val="center"/>
        <w:tblInd w:w="0" w:type="dxa"/>
        <w:tblLayout w:type="fixed"/>
        <w:tblCellMar>
          <w:top w:w="0" w:type="dxa"/>
          <w:left w:w="108" w:type="dxa"/>
          <w:bottom w:w="0" w:type="dxa"/>
          <w:right w:w="108" w:type="dxa"/>
        </w:tblCellMar>
        <w:tblLook w:val="01e0" w:noHBand="0" w:noVBand="0" w:firstColumn="1" w:lastRow="1" w:lastColumn="1" w:firstRow="1"/>
      </w:tblPr>
      <w:tblGrid>
        <w:gridCol w:w="6940"/>
        <w:gridCol w:w="1841"/>
      </w:tblGrid>
      <w:tr>
        <w:trPr>
          <w:trHeight w:val="791" w:hRule="atLeast"/>
        </w:trPr>
        <w:tc>
          <w:tcPr>
            <w:tcW w:w="6940" w:type="dxa"/>
            <w:vMerge w:val="restart"/>
            <w:tcBorders>
              <w:right w:val="single" w:sz="4" w:space="0" w:color="000000"/>
            </w:tcBorders>
          </w:tcPr>
          <w:p>
            <w:pPr>
              <w:pStyle w:val="Normal"/>
              <w:widowControl w:val="false"/>
              <w:tabs>
                <w:tab w:val="left" w:pos="-108" w:leader="none"/>
                <w:tab w:val="right" w:pos="7100" w:leader="none"/>
              </w:tabs>
              <w:ind w:hanging="0" w:left="-108"/>
              <w:jc w:val="left"/>
              <w:rPr>
                <w:rFonts w:cs="Arial"/>
                <w:b/>
                <w:bCs/>
                <w:i/>
                <w:i/>
                <w:iCs/>
                <w:color w:val="000066"/>
                <w:sz w:val="12"/>
                <w:szCs w:val="12"/>
                <w:lang w:eastAsia="it-IT"/>
              </w:rPr>
            </w:pPr>
            <w:r>
              <w:rPr/>
              <w:drawing>
                <wp:inline distT="0" distB="0" distL="0" distR="0">
                  <wp:extent cx="640080" cy="373380"/>
                  <wp:effectExtent l="0" t="0" r="0" b="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etlogo"/>
                          <pic:cNvPicPr>
                            <a:picLocks noChangeAspect="1" noChangeArrowheads="1"/>
                          </pic:cNvPicPr>
                        </pic:nvPicPr>
                        <pic:blipFill>
                          <a:blip r:embed="rId2"/>
                          <a:stretch>
                            <a:fillRect/>
                          </a:stretch>
                        </pic:blipFill>
                        <pic:spPr bwMode="auto">
                          <a:xfrm>
                            <a:off x="0" y="0"/>
                            <a:ext cx="640080" cy="373380"/>
                          </a:xfrm>
                          <a:prstGeom prst="rect">
                            <a:avLst/>
                          </a:prstGeom>
                        </pic:spPr>
                      </pic:pic>
                    </a:graphicData>
                  </a:graphic>
                </wp:inline>
              </w:drawing>
            </w:r>
            <w:r>
              <w:rPr>
                <w:rFonts w:cs="AdvP6960" w:ascii="AdvP6960" w:hAnsi="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pPr>
              <w:pStyle w:val="Normal"/>
              <w:widowControl w:val="false"/>
              <w:tabs>
                <w:tab w:val="left" w:pos="-108" w:leader="none"/>
                <w:tab w:val="right" w:pos="7100" w:leader="none"/>
              </w:tabs>
              <w:ind w:hanging="0" w:left="-108"/>
              <w:rPr>
                <w:rFonts w:cs="Arial"/>
                <w:b/>
                <w:bCs/>
                <w:i/>
                <w:i/>
                <w:iCs/>
                <w:color w:val="000066"/>
                <w:sz w:val="22"/>
                <w:szCs w:val="22"/>
                <w:lang w:eastAsia="it-IT"/>
              </w:rPr>
            </w:pPr>
            <w:r>
              <w:rPr>
                <w:rFonts w:cs="Arial"/>
                <w:b/>
                <w:bCs/>
                <w:i/>
                <w:iCs/>
                <w:color w:val="000066"/>
                <w:sz w:val="22"/>
                <w:szCs w:val="22"/>
                <w:lang w:eastAsia="it-IT"/>
              </w:rPr>
              <w:t>VOL.    , 2024</w:t>
            </w:r>
          </w:p>
        </w:tc>
        <w:tc>
          <w:tcPr>
            <w:tcW w:w="1841" w:type="dxa"/>
            <w:tcBorders>
              <w:left w:val="single" w:sz="4" w:space="0" w:color="000000"/>
              <w:right w:val="single" w:sz="4" w:space="0" w:color="000000"/>
            </w:tcBorders>
          </w:tcPr>
          <w:p>
            <w:pPr>
              <w:pStyle w:val="Normal"/>
              <w:widowControl w:val="false"/>
              <w:spacing w:lineRule="atLeast" w:line="140"/>
              <w:jc w:val="right"/>
              <w:rPr>
                <w:rFonts w:cs="Arial"/>
                <w:sz w:val="14"/>
                <w:szCs w:val="14"/>
              </w:rPr>
            </w:pPr>
            <w:r>
              <w:rPr>
                <w:rFonts w:cs="Arial"/>
                <w:sz w:val="14"/>
                <w:szCs w:val="14"/>
              </w:rPr>
              <w:t>A publication of</w:t>
            </w:r>
          </w:p>
          <w:p>
            <w:pPr>
              <w:pStyle w:val="Normal"/>
              <w:widowControl w:val="false"/>
              <w:jc w:val="right"/>
              <w:rPr/>
            </w:pPr>
            <w:r>
              <w:rPr/>
              <w:drawing>
                <wp:inline distT="0" distB="0" distL="0" distR="0">
                  <wp:extent cx="670560" cy="358140"/>
                  <wp:effectExtent l="0" t="0" r="0" b="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aidiclogo_grande"/>
                          <pic:cNvPicPr>
                            <a:picLocks noChangeAspect="1" noChangeArrowheads="1"/>
                          </pic:cNvPicPr>
                        </pic:nvPicPr>
                        <pic:blipFill>
                          <a:blip r:embed="rId3"/>
                          <a:stretch>
                            <a:fillRect/>
                          </a:stretch>
                        </pic:blipFill>
                        <pic:spPr bwMode="auto">
                          <a:xfrm>
                            <a:off x="0" y="0"/>
                            <a:ext cx="670560" cy="358140"/>
                          </a:xfrm>
                          <a:prstGeom prst="rect">
                            <a:avLst/>
                          </a:prstGeom>
                        </pic:spPr>
                      </pic:pic>
                    </a:graphicData>
                  </a:graphic>
                </wp:inline>
              </w:drawing>
            </w:r>
          </w:p>
        </w:tc>
      </w:tr>
      <w:tr>
        <w:trPr>
          <w:trHeight w:val="450" w:hRule="atLeast"/>
        </w:trPr>
        <w:tc>
          <w:tcPr>
            <w:tcW w:w="6940" w:type="dxa"/>
            <w:vMerge w:val="continue"/>
            <w:tcBorders>
              <w:right w:val="single" w:sz="4" w:space="0" w:color="000000"/>
            </w:tcBorders>
          </w:tcPr>
          <w:p>
            <w:pPr>
              <w:pStyle w:val="Normal"/>
              <w:widowControl w:val="false"/>
              <w:tabs>
                <w:tab w:val="left" w:pos="-108" w:leader="none"/>
                <w:tab w:val="right" w:pos="7100" w:leader="none"/>
              </w:tabs>
              <w:rPr/>
            </w:pPr>
            <w:r>
              <w:rPr/>
            </w:r>
          </w:p>
        </w:tc>
        <w:tc>
          <w:tcPr>
            <w:tcW w:w="1841" w:type="dxa"/>
            <w:tcBorders>
              <w:left w:val="single" w:sz="4" w:space="0" w:color="000000"/>
              <w:right w:val="single" w:sz="4" w:space="0" w:color="000000"/>
            </w:tcBorders>
          </w:tcPr>
          <w:p>
            <w:pPr>
              <w:pStyle w:val="Normal"/>
              <w:widowControl w:val="false"/>
              <w:spacing w:lineRule="atLeast" w:line="140"/>
              <w:jc w:val="right"/>
              <w:rPr>
                <w:rFonts w:cs="Arial"/>
                <w:sz w:val="14"/>
                <w:szCs w:val="14"/>
              </w:rPr>
            </w:pPr>
            <w:r>
              <w:rPr>
                <w:rFonts w:cs="Arial"/>
                <w:sz w:val="14"/>
                <w:szCs w:val="14"/>
              </w:rPr>
              <w:t>The Italian Association</w:t>
            </w:r>
          </w:p>
          <w:p>
            <w:pPr>
              <w:pStyle w:val="Normal"/>
              <w:widowControl w:val="false"/>
              <w:spacing w:lineRule="atLeast" w:line="140"/>
              <w:jc w:val="right"/>
              <w:rPr>
                <w:rFonts w:cs="Arial"/>
                <w:sz w:val="14"/>
                <w:szCs w:val="14"/>
              </w:rPr>
            </w:pPr>
            <w:r>
              <w:rPr>
                <w:rFonts w:cs="Arial"/>
                <w:sz w:val="14"/>
                <w:szCs w:val="14"/>
              </w:rPr>
              <w:t>of Chemical Engineering</w:t>
            </w:r>
          </w:p>
          <w:p>
            <w:pPr>
              <w:pStyle w:val="Normal"/>
              <w:widowControl w:val="false"/>
              <w:spacing w:lineRule="atLeast" w:line="140"/>
              <w:jc w:val="right"/>
              <w:rPr>
                <w:rFonts w:cs="Arial"/>
                <w:sz w:val="13"/>
                <w:szCs w:val="13"/>
              </w:rPr>
            </w:pPr>
            <w:r>
              <w:rPr>
                <w:rFonts w:cs="Arial"/>
                <w:sz w:val="13"/>
                <w:szCs w:val="13"/>
              </w:rPr>
              <w:t>Online at www.cetjournal.it</w:t>
            </w:r>
          </w:p>
        </w:tc>
      </w:tr>
      <w:tr>
        <w:trPr>
          <w:trHeight w:val="68" w:hRule="atLeast"/>
        </w:trPr>
        <w:tc>
          <w:tcPr>
            <w:tcW w:w="8781" w:type="dxa"/>
            <w:gridSpan w:val="2"/>
            <w:tcBorders>
              <w:bottom w:val="single" w:sz="4" w:space="0" w:color="000000"/>
            </w:tcBorders>
          </w:tcPr>
          <w:p>
            <w:pPr>
              <w:pStyle w:val="Normal"/>
              <w:widowControl w:val="false"/>
              <w:numPr>
                <w:ilvl w:val="0"/>
                <w:numId w:val="0"/>
              </w:numPr>
              <w:ind w:hanging="0" w:left="-107"/>
              <w:outlineLvl w:val="2"/>
              <w:rPr>
                <w:rFonts w:ascii="Tahoma" w:hAnsi="Tahoma" w:cs="Tahoma"/>
                <w:bCs/>
                <w:color w:val="000000"/>
                <w:sz w:val="14"/>
                <w:szCs w:val="14"/>
                <w:lang w:eastAsia="it-IT"/>
              </w:rPr>
            </w:pPr>
            <w:r>
              <w:rPr>
                <w:rFonts w:cs="Tahoma" w:ascii="Tahoma" w:hAnsi="Tahoma"/>
                <w:iCs/>
                <w:color w:val="333333"/>
                <w:sz w:val="14"/>
                <w:szCs w:val="14"/>
                <w:lang w:eastAsia="it-IT"/>
              </w:rPr>
              <w:t>Guest Editors:</w:t>
            </w:r>
          </w:p>
          <w:p>
            <w:pPr>
              <w:pStyle w:val="Normal"/>
              <w:widowControl w:val="false"/>
              <w:tabs>
                <w:tab w:val="left" w:pos="-108" w:leader="none"/>
                <w:tab w:val="right" w:pos="7100" w:leader="none"/>
              </w:tabs>
              <w:spacing w:lineRule="atLeast" w:line="140"/>
              <w:ind w:hanging="0" w:left="-107"/>
              <w:jc w:val="left"/>
              <w:rPr/>
            </w:pPr>
            <w:r>
              <w:rPr>
                <w:rFonts w:cs="Tahoma" w:ascii="Tahoma" w:hAnsi="Tahoma"/>
                <w:iCs/>
                <w:color w:val="333333"/>
                <w:sz w:val="14"/>
                <w:szCs w:val="14"/>
                <w:lang w:eastAsia="it-IT"/>
              </w:rPr>
              <w:t>Copyright © 2023, AIDIC Servizi S.r.l.</w:t>
              <w:br/>
            </w:r>
            <w:r>
              <w:rPr>
                <w:rFonts w:cs="Tahoma" w:ascii="Tahoma" w:hAnsi="Tahoma"/>
                <w:b/>
                <w:iCs/>
                <w:color w:val="000000"/>
                <w:sz w:val="14"/>
                <w:szCs w:val="14"/>
                <w:lang w:eastAsia="it-IT"/>
              </w:rPr>
              <w:t>ISBN</w:t>
            </w:r>
            <w:r>
              <w:rPr>
                <w:rFonts w:cs="Tahoma" w:ascii="Tahoma" w:hAnsi="Tahoma"/>
                <w:iCs/>
                <w:color w:val="000000"/>
                <w:sz w:val="14"/>
                <w:szCs w:val="14"/>
                <w:lang w:eastAsia="it-IT"/>
              </w:rPr>
              <w:t xml:space="preserve"> </w:t>
            </w:r>
            <w:r>
              <w:rPr>
                <w:rFonts w:cs="Tahoma" w:ascii="Tahoma" w:hAnsi="Tahoma"/>
                <w:sz w:val="14"/>
                <w:szCs w:val="14"/>
              </w:rPr>
              <w:t>979-12-81206-XX-X</w:t>
            </w:r>
            <w:r>
              <w:rPr>
                <w:rFonts w:cs="Tahoma" w:ascii="Tahoma" w:hAnsi="Tahoma"/>
                <w:iCs/>
                <w:color w:val="333333"/>
                <w:sz w:val="14"/>
                <w:szCs w:val="14"/>
                <w:lang w:eastAsia="it-IT"/>
              </w:rPr>
              <w:t xml:space="preserve">; </w:t>
            </w:r>
            <w:r>
              <w:rPr>
                <w:rFonts w:cs="Tahoma" w:ascii="Tahoma" w:hAnsi="Tahoma"/>
                <w:b/>
                <w:iCs/>
                <w:color w:val="333333"/>
                <w:sz w:val="14"/>
                <w:szCs w:val="14"/>
                <w:lang w:eastAsia="it-IT"/>
              </w:rPr>
              <w:t>ISSN</w:t>
            </w:r>
            <w:r>
              <w:rPr>
                <w:rFonts w:cs="Tahoma" w:ascii="Tahoma" w:hAnsi="Tahoma"/>
                <w:iCs/>
                <w:color w:val="333333"/>
                <w:sz w:val="14"/>
                <w:szCs w:val="14"/>
                <w:lang w:eastAsia="it-IT"/>
              </w:rPr>
              <w:t xml:space="preserve"> 2283-9216</w:t>
            </w:r>
          </w:p>
        </w:tc>
      </w:tr>
    </w:tbl>
    <w:p>
      <w:pPr>
        <w:pStyle w:val="CETTitle"/>
        <w:rPr/>
      </w:pPr>
      <w:r>
        <w:rPr/>
        <w:t>Sensitivity analysis of odour exposure from dispersion modelling exercises with different peak-to-mean ratio</w:t>
      </w:r>
    </w:p>
    <w:p>
      <w:pPr>
        <w:pStyle w:val="CETAuthors"/>
        <w:rPr/>
      </w:pPr>
      <w:r>
        <w:rPr>
          <w:rFonts w:eastAsia="Times New Roman" w:cs="Times New Roman"/>
          <w:sz w:val="24"/>
          <w:szCs w:val="20"/>
          <w:lang w:val="en-GB"/>
        </w:rPr>
        <w:t>Massimo Bressan</w:t>
      </w:r>
      <w:r>
        <w:rPr>
          <w:vertAlign w:val="superscript"/>
        </w:rPr>
        <w:t>*</w:t>
      </w:r>
      <w:r>
        <w:rPr/>
        <w:t>, Alberto Dalla Fontana, Barbara Intini, Rodolfo Bassan, Ugo Pretto, Loris Tomiato</w:t>
      </w:r>
    </w:p>
    <w:p>
      <w:pPr>
        <w:pStyle w:val="CETAddress"/>
        <w:rPr/>
      </w:pPr>
      <w:r>
        <w:rPr/>
        <w:t>ARPAV, Unità Organizzativa Qualità dell'Aria, UMAVO, Via Santa Barbara 5/a - 31100 Treviso, Italy</w:t>
      </w:r>
    </w:p>
    <w:p>
      <w:pPr>
        <w:pStyle w:val="CETemail"/>
        <w:rPr/>
      </w:pPr>
      <w:r>
        <w:rPr/>
        <w:t>*massimo.bressan@arpa.veneto.it</w:t>
      </w:r>
    </w:p>
    <w:p>
      <w:pPr>
        <w:pStyle w:val="CETBodytext"/>
        <w:rPr>
          <w:shd w:fill="auto" w:val="clear"/>
        </w:rPr>
      </w:pPr>
      <w:r>
        <w:rPr>
          <w:b w:val="false"/>
          <w:bCs w:val="false"/>
          <w:shd w:fill="auto" w:val="clear"/>
          <w:lang w:val="en-GB"/>
        </w:rPr>
        <w:t xml:space="preserve">The odour impact assessment </w:t>
      </w:r>
      <w:r>
        <w:rPr>
          <w:rFonts w:eastAsia="Times New Roman" w:cs="Times New Roman"/>
          <w:b w:val="false"/>
          <w:bCs w:val="false"/>
          <w:color w:val="000000"/>
          <w:kern w:val="0"/>
          <w:sz w:val="18"/>
          <w:szCs w:val="20"/>
          <w:shd w:fill="auto" w:val="clear"/>
          <w:lang w:val="en-GB" w:eastAsia="en-US" w:bidi="ar-SA"/>
        </w:rPr>
        <w:t>of</w:t>
      </w:r>
      <w:r>
        <w:rPr>
          <w:b w:val="false"/>
          <w:bCs w:val="false"/>
          <w:shd w:fill="auto" w:val="clear"/>
          <w:lang w:val="en-GB"/>
        </w:rPr>
        <w:t xml:space="preserve"> an anonymized case study revealed occasionally conflicting results </w:t>
      </w:r>
      <w:r>
        <w:rPr>
          <w:rFonts w:eastAsia="Times New Roman" w:cs="Times New Roman"/>
          <w:b w:val="false"/>
          <w:bCs w:val="false"/>
          <w:color w:val="000000"/>
          <w:kern w:val="0"/>
          <w:sz w:val="18"/>
          <w:szCs w:val="20"/>
          <w:shd w:fill="auto" w:val="clear"/>
          <w:lang w:val="en-GB" w:eastAsia="en-US" w:bidi="ar-SA"/>
        </w:rPr>
        <w:t>when</w:t>
      </w:r>
      <w:r>
        <w:rPr>
          <w:b w:val="false"/>
          <w:bCs w:val="false"/>
          <w:shd w:fill="auto" w:val="clear"/>
          <w:lang w:val="en-GB"/>
        </w:rPr>
        <w:t xml:space="preserve"> utilizing two model systems, CALPUFF and LAPMOD, with different peak-to-mean ratio (PMR) configurations.  Implementing a dynamic PMR with a shorter peak time showed more </w:t>
      </w:r>
      <w:r>
        <w:rPr>
          <w:rFonts w:eastAsia="Times New Roman" w:cs="Times New Roman"/>
          <w:b w:val="false"/>
          <w:bCs w:val="false"/>
          <w:color w:val="000000"/>
          <w:kern w:val="0"/>
          <w:sz w:val="18"/>
          <w:szCs w:val="20"/>
          <w:shd w:fill="auto" w:val="clear"/>
          <w:lang w:val="en-GB" w:eastAsia="en-US" w:bidi="ar-SA"/>
        </w:rPr>
        <w:t>conservative</w:t>
      </w:r>
      <w:r>
        <w:rPr>
          <w:b w:val="false"/>
          <w:bCs w:val="false"/>
          <w:shd w:fill="auto" w:val="clear"/>
          <w:lang w:val="en-GB"/>
        </w:rPr>
        <w:t xml:space="preserve"> evaluations in the near-field but resulted in </w:t>
      </w:r>
      <w:r>
        <w:rPr>
          <w:rFonts w:eastAsia="Times New Roman" w:cs="Times New Roman"/>
          <w:b w:val="false"/>
          <w:bCs w:val="false"/>
          <w:color w:val="000000"/>
          <w:kern w:val="0"/>
          <w:sz w:val="18"/>
          <w:szCs w:val="20"/>
          <w:shd w:fill="auto" w:val="clear"/>
          <w:lang w:val="en-GB" w:eastAsia="en-US" w:bidi="ar-SA"/>
        </w:rPr>
        <w:t>opposite</w:t>
      </w:r>
      <w:r>
        <w:rPr>
          <w:b w:val="false"/>
          <w:bCs w:val="false"/>
          <w:shd w:fill="auto" w:val="clear"/>
          <w:lang w:val="en-GB"/>
        </w:rPr>
        <w:t xml:space="preserve"> outcomes in the far-field. The choice of m</w:t>
      </w:r>
      <w:r>
        <w:rPr>
          <w:shd w:fill="auto" w:val="clear"/>
          <w:lang w:val="en-GB"/>
        </w:rPr>
        <w:t xml:space="preserve">odel and the </w:t>
      </w:r>
      <w:r>
        <w:rPr>
          <w:rFonts w:eastAsia="Times New Roman" w:cs="Times New Roman"/>
          <w:color w:val="000000"/>
          <w:kern w:val="0"/>
          <w:sz w:val="18"/>
          <w:szCs w:val="20"/>
          <w:shd w:fill="auto" w:val="clear"/>
          <w:lang w:val="en-GB" w:eastAsia="en-US" w:bidi="ar-SA"/>
        </w:rPr>
        <w:t xml:space="preserve">approach employed to </w:t>
      </w:r>
      <w:r>
        <w:rPr>
          <w:shd w:fill="auto" w:val="clear"/>
          <w:lang w:val="en-GB"/>
        </w:rPr>
        <w:t xml:space="preserve">estimate PMR </w:t>
      </w:r>
      <w:r>
        <w:rPr>
          <w:rFonts w:eastAsia="Times New Roman" w:cs="Times New Roman"/>
          <w:color w:val="000000"/>
          <w:kern w:val="0"/>
          <w:sz w:val="18"/>
          <w:szCs w:val="20"/>
          <w:shd w:fill="auto" w:val="clear"/>
          <w:lang w:val="en-GB" w:eastAsia="en-US" w:bidi="ar-SA"/>
        </w:rPr>
        <w:t>significantly</w:t>
      </w:r>
      <w:r>
        <w:rPr>
          <w:shd w:fill="auto" w:val="clear"/>
          <w:lang w:val="en-GB"/>
        </w:rPr>
        <w:t xml:space="preserve"> </w:t>
      </w:r>
      <w:r>
        <w:rPr>
          <w:rFonts w:eastAsia="Times New Roman" w:cs="Times New Roman"/>
          <w:color w:val="000000"/>
          <w:kern w:val="0"/>
          <w:sz w:val="18"/>
          <w:szCs w:val="20"/>
          <w:shd w:fill="auto" w:val="clear"/>
          <w:lang w:val="en-GB" w:eastAsia="en-US" w:bidi="ar-SA"/>
        </w:rPr>
        <w:t>affected</w:t>
      </w:r>
      <w:r>
        <w:rPr>
          <w:shd w:fill="auto" w:val="clear"/>
          <w:lang w:val="en-GB"/>
        </w:rPr>
        <w:t xml:space="preserve"> the determination of separation distances and the protection level, </w:t>
      </w:r>
      <w:r>
        <w:rPr>
          <w:rFonts w:eastAsia="Times New Roman" w:cs="Times New Roman"/>
          <w:color w:val="000000"/>
          <w:kern w:val="0"/>
          <w:sz w:val="18"/>
          <w:szCs w:val="20"/>
          <w:shd w:fill="auto" w:val="clear"/>
          <w:lang w:val="en-GB" w:eastAsia="en-US" w:bidi="ar-SA"/>
        </w:rPr>
        <w:t>highlighting the potential risk for inconsistent conclusions, particularly within regulatory contexts.</w:t>
      </w:r>
      <w:r>
        <w:rPr>
          <w:shd w:fill="auto" w:val="clear"/>
          <w:lang w:val="en-GB"/>
        </w:rPr>
        <w:t xml:space="preserve"> Increased awareness is crucial for both practitioners and regulators </w:t>
      </w:r>
      <w:r>
        <w:rPr>
          <w:rFonts w:eastAsia="Times New Roman" w:cs="Times New Roman"/>
          <w:color w:val="000000"/>
          <w:kern w:val="0"/>
          <w:sz w:val="18"/>
          <w:szCs w:val="20"/>
          <w:shd w:fill="auto" w:val="clear"/>
          <w:lang w:val="en-GB" w:eastAsia="en-US" w:bidi="ar-SA"/>
        </w:rPr>
        <w:t>on</w:t>
      </w:r>
      <w:r>
        <w:rPr>
          <w:shd w:fill="auto" w:val="clear"/>
          <w:lang w:val="en-GB"/>
        </w:rPr>
        <w:t xml:space="preserve"> the consequences of a specific model </w:t>
      </w:r>
      <w:r>
        <w:rPr>
          <w:rFonts w:eastAsia="Times New Roman" w:cs="Times New Roman"/>
          <w:color w:val="000000"/>
          <w:kern w:val="0"/>
          <w:sz w:val="18"/>
          <w:szCs w:val="20"/>
          <w:shd w:fill="auto" w:val="clear"/>
          <w:lang w:val="en-GB" w:eastAsia="en-US" w:bidi="ar-SA"/>
        </w:rPr>
        <w:t>configuration</w:t>
      </w:r>
      <w:r>
        <w:rPr>
          <w:shd w:fill="auto" w:val="clear"/>
          <w:lang w:val="en-GB"/>
        </w:rPr>
        <w:t xml:space="preserve"> in odour impact assessments. Achieving consistency in modelling exercises and ensuring an adequate level of protection for </w:t>
      </w:r>
      <w:r>
        <w:rPr>
          <w:rFonts w:eastAsia="Times New Roman" w:cs="Times New Roman"/>
          <w:color w:val="000000"/>
          <w:kern w:val="0"/>
          <w:sz w:val="18"/>
          <w:szCs w:val="20"/>
          <w:shd w:fill="auto" w:val="clear"/>
          <w:lang w:val="en-GB" w:eastAsia="en-US" w:bidi="ar-SA"/>
        </w:rPr>
        <w:t>sensible</w:t>
      </w:r>
      <w:r>
        <w:rPr>
          <w:shd w:fill="auto" w:val="clear"/>
          <w:lang w:val="en-GB"/>
        </w:rPr>
        <w:t xml:space="preserve"> receptors remains challenging, highlighting the importance of a strong commitment to reproducibility for effectively </w:t>
      </w:r>
      <w:r>
        <w:rPr>
          <w:rFonts w:eastAsia="Times New Roman" w:cs="Times New Roman"/>
          <w:color w:val="000000"/>
          <w:kern w:val="0"/>
          <w:sz w:val="18"/>
          <w:szCs w:val="20"/>
          <w:shd w:fill="auto" w:val="clear"/>
          <w:lang w:val="en-GB" w:eastAsia="en-US" w:bidi="ar-SA"/>
        </w:rPr>
        <w:t>quantify</w:t>
      </w:r>
      <w:r>
        <w:rPr>
          <w:shd w:fill="auto" w:val="clear"/>
          <w:lang w:val="en-GB"/>
        </w:rPr>
        <w:t xml:space="preserve"> uncertainties in odour impact assessments.</w:t>
      </w:r>
    </w:p>
    <w:p>
      <w:pPr>
        <w:pStyle w:val="CETHeading1"/>
        <w:numPr>
          <w:ilvl w:val="1"/>
          <w:numId w:val="1"/>
        </w:numPr>
        <w:rPr>
          <w:shd w:fill="auto" w:val="clear"/>
        </w:rPr>
      </w:pPr>
      <w:r>
        <w:rPr>
          <w:shd w:fill="auto" w:val="clear"/>
          <w:lang w:val="en-GB"/>
        </w:rPr>
        <w:t>Rationale, scope and motivation</w:t>
      </w:r>
    </w:p>
    <w:p>
      <w:pPr>
        <w:pStyle w:val="CETBodytext"/>
        <w:rPr>
          <w:lang w:val="en-GB"/>
        </w:rPr>
      </w:pPr>
      <w:r>
        <w:rPr>
          <w:lang w:val="en-GB"/>
        </w:rPr>
        <w:t xml:space="preserve">The </w:t>
      </w:r>
      <w:r>
        <w:rPr>
          <w:rFonts w:eastAsia="Times New Roman" w:cs="Times New Roman"/>
          <w:color w:val="auto"/>
          <w:kern w:val="0"/>
          <w:sz w:val="18"/>
          <w:szCs w:val="20"/>
          <w:lang w:val="en-GB" w:eastAsia="en-US" w:bidi="ar-SA"/>
        </w:rPr>
        <w:t>paramount importance</w:t>
      </w:r>
      <w:r>
        <w:rPr>
          <w:lang w:val="en-GB"/>
        </w:rPr>
        <w:t xml:space="preserve"> of modelling in the process of odour assessment has been recently </w:t>
      </w:r>
      <w:r>
        <w:rPr>
          <w:rFonts w:eastAsia="Times New Roman" w:cs="Times New Roman"/>
          <w:color w:val="auto"/>
          <w:kern w:val="0"/>
          <w:sz w:val="18"/>
          <w:szCs w:val="20"/>
          <w:lang w:val="en-GB" w:eastAsia="en-US" w:bidi="ar-SA"/>
        </w:rPr>
        <w:t>emphasized</w:t>
      </w:r>
      <w:r>
        <w:rPr>
          <w:lang w:val="en-GB"/>
        </w:rPr>
        <w:t xml:space="preserve"> by international experts (Amigo &amp; Olores org, 2023) and, in Italy, by the enactment of a new regulation by the Ministry of Environment (2023). </w:t>
      </w:r>
      <w:r>
        <w:rPr>
          <w:shd w:fill="auto" w:val="clear"/>
          <w:lang w:val="en-GB"/>
        </w:rPr>
        <w:t xml:space="preserve">However, there exists </w:t>
      </w:r>
      <w:r>
        <w:rPr>
          <w:rFonts w:eastAsia="Times New Roman" w:cs="Times New Roman"/>
          <w:color w:val="000000"/>
          <w:kern w:val="0"/>
          <w:sz w:val="18"/>
          <w:szCs w:val="20"/>
          <w:shd w:fill="auto" w:val="clear"/>
          <w:lang w:val="en-GB" w:eastAsia="en-US" w:bidi="ar-SA"/>
        </w:rPr>
        <w:t>little agreement</w:t>
      </w:r>
      <w:r>
        <w:rPr>
          <w:shd w:fill="auto" w:val="clear"/>
          <w:lang w:val="en-GB"/>
        </w:rPr>
        <w:t xml:space="preserve">, not only among practitioners but also </w:t>
      </w:r>
      <w:r>
        <w:rPr>
          <w:rFonts w:eastAsia="Times New Roman" w:cs="Times New Roman"/>
          <w:color w:val="000000"/>
          <w:kern w:val="0"/>
          <w:sz w:val="18"/>
          <w:szCs w:val="20"/>
          <w:shd w:fill="auto" w:val="clear"/>
          <w:lang w:val="en-GB" w:eastAsia="en-US" w:bidi="ar-SA"/>
        </w:rPr>
        <w:t>by</w:t>
      </w:r>
      <w:r>
        <w:rPr>
          <w:shd w:fill="auto" w:val="clear"/>
          <w:lang w:val="en-GB"/>
        </w:rPr>
        <w:t xml:space="preserve"> local regulatory authorities, regarding the selection of the dispersion models and their optimal fine-tuning.</w:t>
      </w:r>
    </w:p>
    <w:p>
      <w:pPr>
        <w:pStyle w:val="CETBodytext"/>
        <w:rPr>
          <w:shd w:fill="auto" w:val="clear"/>
        </w:rPr>
      </w:pPr>
      <w:r>
        <w:rPr>
          <w:rFonts w:eastAsia="Times New Roman" w:cs="Times New Roman"/>
          <w:color w:val="000000"/>
          <w:kern w:val="0"/>
          <w:sz w:val="18"/>
          <w:szCs w:val="20"/>
          <w:shd w:fill="auto" w:val="clear"/>
          <w:lang w:val="en-GB" w:eastAsia="en-US" w:bidi="ar-SA"/>
        </w:rPr>
        <w:t>A</w:t>
      </w:r>
      <w:r>
        <w:rPr>
          <w:shd w:fill="auto" w:val="clear"/>
          <w:lang w:val="en-GB"/>
        </w:rPr>
        <w:t xml:space="preserve"> critical and still partly unresolved issue is determining the most effective approach to </w:t>
      </w:r>
      <w:r>
        <w:rPr>
          <w:rFonts w:eastAsia="Times New Roman" w:cs="Times New Roman"/>
          <w:color w:val="000000"/>
          <w:kern w:val="0"/>
          <w:sz w:val="18"/>
          <w:szCs w:val="20"/>
          <w:shd w:fill="auto" w:val="clear"/>
          <w:lang w:val="en-GB" w:eastAsia="en-US" w:bidi="ar-SA"/>
        </w:rPr>
        <w:t>estimate</w:t>
      </w:r>
      <w:r>
        <w:rPr>
          <w:shd w:fill="auto" w:val="clear"/>
          <w:lang w:val="en-GB"/>
        </w:rPr>
        <w:t xml:space="preserve"> the short-term peak odour concentrations. Recent literature and evidence-based experience suggest that, aside from a handful of promising approaches still in active development, tridimensional Lagrangian puff and particle models are emerging as the preferred choice from an operational standpoint for tackling the challenges of the odour exposure assessment (Amigo &amp; Olores org, 2023). </w:t>
      </w:r>
      <w:r>
        <w:rPr>
          <w:rFonts w:eastAsia="Times New Roman" w:cs="Times New Roman"/>
          <w:sz w:val="18"/>
          <w:szCs w:val="20"/>
          <w:shd w:fill="auto" w:val="clear"/>
          <w:lang w:val="en-GB"/>
        </w:rPr>
        <w:t xml:space="preserve">Atmospheric dispersion modelling applications within permitting procedures are typically dealing with the compliance of air quality standards over 1 h. </w:t>
      </w:r>
    </w:p>
    <w:p>
      <w:pPr>
        <w:pStyle w:val="CETBodytext"/>
        <w:rPr>
          <w:shd w:fill="auto" w:val="clear"/>
        </w:rPr>
      </w:pPr>
      <w:r>
        <w:rPr>
          <w:rFonts w:eastAsia="Times New Roman" w:cs="Times New Roman"/>
          <w:sz w:val="18"/>
          <w:szCs w:val="20"/>
          <w:shd w:fill="auto" w:val="clear"/>
          <w:lang w:val="en-GB"/>
        </w:rPr>
        <w:t xml:space="preserve">On the other hand, odour nuisances at receptors occur with a frequency relatively high as human breath, lasting an average of 1 s but conventionally assumed </w:t>
      </w:r>
      <w:r>
        <w:rPr>
          <w:rFonts w:eastAsia="Times New Roman" w:cs="Times New Roman"/>
          <w:color w:val="000000"/>
          <w:kern w:val="0"/>
          <w:sz w:val="18"/>
          <w:szCs w:val="20"/>
          <w:shd w:fill="auto" w:val="clear"/>
          <w:lang w:val="en-GB" w:eastAsia="en-US" w:bidi="ar-SA"/>
        </w:rPr>
        <w:t>of</w:t>
      </w:r>
      <w:r>
        <w:rPr>
          <w:rFonts w:eastAsia="Times New Roman" w:cs="Times New Roman"/>
          <w:sz w:val="18"/>
          <w:szCs w:val="20"/>
          <w:shd w:fill="auto" w:val="clear"/>
          <w:lang w:val="en-GB"/>
        </w:rPr>
        <w:t xml:space="preserve"> 5 s. Odour impact assessment needs the accurate reconstruction of short-term concentrations (Capelli et al., 2013) and this entails conceiving a method to estimate odour fluctuations or applying a statistical </w:t>
      </w:r>
      <w:r>
        <w:rPr>
          <w:rFonts w:eastAsia="Times New Roman" w:cs="Times New Roman"/>
          <w:color w:val="000000"/>
          <w:kern w:val="0"/>
          <w:sz w:val="18"/>
          <w:szCs w:val="20"/>
          <w:shd w:fill="auto" w:val="clear"/>
          <w:lang w:val="en-GB" w:eastAsia="en-US" w:bidi="ar-SA"/>
        </w:rPr>
        <w:t>scaling</w:t>
      </w:r>
      <w:r>
        <w:rPr>
          <w:rFonts w:eastAsia="Times New Roman" w:cs="Times New Roman"/>
          <w:sz w:val="18"/>
          <w:szCs w:val="20"/>
          <w:shd w:fill="auto" w:val="clear"/>
          <w:lang w:val="en-GB"/>
        </w:rPr>
        <w:t xml:space="preserve"> factor to obtain the odour peak value. </w:t>
      </w:r>
    </w:p>
    <w:p>
      <w:pPr>
        <w:pStyle w:val="CETBodytext"/>
        <w:rPr/>
      </w:pPr>
      <w:r>
        <w:rPr>
          <w:rFonts w:eastAsia="Times New Roman" w:cs="Times New Roman"/>
          <w:sz w:val="18"/>
          <w:szCs w:val="20"/>
          <w:shd w:fill="auto" w:val="clear"/>
          <w:lang w:val="en-GB"/>
        </w:rPr>
        <w:t xml:space="preserve">Within this operational framework, </w:t>
      </w:r>
      <w:r>
        <w:rPr>
          <w:rFonts w:eastAsia="Times New Roman" w:cs="Times New Roman"/>
          <w:color w:val="000000"/>
          <w:kern w:val="0"/>
          <w:sz w:val="18"/>
          <w:szCs w:val="20"/>
          <w:shd w:fill="auto" w:val="clear"/>
          <w:lang w:val="en-GB" w:eastAsia="en-US" w:bidi="ar-SA"/>
        </w:rPr>
        <w:t xml:space="preserve">the </w:t>
      </w:r>
      <w:r>
        <w:rPr>
          <w:rFonts w:eastAsia="Times New Roman" w:cs="Times New Roman"/>
          <w:sz w:val="18"/>
          <w:szCs w:val="20"/>
          <w:shd w:fill="auto" w:val="clear"/>
          <w:lang w:val="en-GB"/>
        </w:rPr>
        <w:t>primary objective of the present study is not novel (Invernizzi et al., 2020, Brancher et al., 2020) but aims to offer additional insights into the variability of results from modelling exercises implementing different PMRs</w:t>
      </w:r>
      <w:r>
        <w:rPr>
          <w:rFonts w:eastAsia="Times New Roman" w:cs="Times New Roman"/>
          <w:b w:val="false"/>
          <w:bCs w:val="false"/>
          <w:sz w:val="18"/>
          <w:szCs w:val="20"/>
          <w:shd w:fill="auto" w:val="clear"/>
          <w:lang w:val="en-GB"/>
        </w:rPr>
        <w:t>.</w:t>
      </w:r>
      <w:r>
        <w:rPr>
          <w:rFonts w:eastAsia="Times New Roman" w:cs="Times New Roman"/>
          <w:sz w:val="18"/>
          <w:szCs w:val="20"/>
          <w:shd w:fill="auto" w:val="clear"/>
          <w:lang w:val="en-GB"/>
        </w:rPr>
        <w:t xml:space="preserve"> </w:t>
      </w:r>
      <w:r>
        <w:rPr>
          <w:rFonts w:eastAsia="Times New Roman" w:cs="Times New Roman"/>
          <w:i w:val="false"/>
          <w:iCs w:val="false"/>
          <w:color w:val="000000"/>
          <w:kern w:val="0"/>
          <w:sz w:val="18"/>
          <w:szCs w:val="20"/>
          <w:shd w:fill="auto" w:val="clear"/>
          <w:lang w:val="en-US" w:eastAsia="en-US" w:bidi="ar-SA"/>
        </w:rPr>
        <w:t>The adoption of a static PMR equal to 2.3, as first defined by the Lombardy Region (2012), represents in Italy a widely accepted operational approach within practitioners as it is, moreover, often explicitly requested by regulatory authorities. It was originally conceived as a clear-cut solution aimed at ensuring consistency and simplicity but, as it will be shown in this study, it can lead to potential biases in assessing odor impact at specific receptors.</w:t>
      </w:r>
    </w:p>
    <w:p>
      <w:pPr>
        <w:pStyle w:val="CETHeading1"/>
        <w:numPr>
          <w:ilvl w:val="1"/>
          <w:numId w:val="1"/>
        </w:numPr>
        <w:rPr>
          <w:rFonts w:ascii="Arial" w:hAnsi="Arial" w:eastAsia="Times New Roman" w:cs="Times New Roman"/>
          <w:b/>
          <w:sz w:val="20"/>
          <w:szCs w:val="20"/>
          <w:lang w:val="en-US"/>
        </w:rPr>
      </w:pPr>
      <w:r>
        <w:rPr>
          <w:rFonts w:eastAsia="Times New Roman" w:cs="Times New Roman"/>
          <w:b/>
          <w:sz w:val="20"/>
          <w:szCs w:val="20"/>
          <w:lang w:val="en-US"/>
        </w:rPr>
        <w:t>The study plot, materials and methods</w:t>
      </w:r>
    </w:p>
    <w:p>
      <w:pPr>
        <w:pStyle w:val="CETBodytext"/>
        <w:rPr/>
      </w:pPr>
      <w:r>
        <w:rPr/>
        <w:t xml:space="preserve">In an anonymized case study featuring an elevated point source with a continuous and constant emission rate, </w:t>
      </w:r>
      <w:r>
        <w:rPr>
          <w:rFonts w:eastAsia="Times New Roman" w:cs="Times New Roman"/>
          <w:color w:val="auto"/>
          <w:kern w:val="0"/>
          <w:sz w:val="18"/>
          <w:szCs w:val="20"/>
          <w:lang w:val="en-US" w:eastAsia="en-US" w:bidi="ar-SA"/>
        </w:rPr>
        <w:t>located</w:t>
      </w:r>
      <w:r>
        <w:rPr/>
        <w:t xml:space="preserve"> within a moderately complex domain, two model systems were employed: CALPUFF, a Lagrangian puff model (Scire et al., 2001), and LAPMOD, a Lagrangian particle model (Bellasio et al., 2017). Both model systems utilized three-dimensional wind and temperature fields, along with the full array of two-dimensional micro-meteorological fields generated by the CALMET pre-processor (Scire et al., 2000). </w:t>
      </w:r>
    </w:p>
    <w:p>
      <w:pPr>
        <w:pStyle w:val="CETBodytext"/>
        <w:rPr/>
      </w:pPr>
      <w:r>
        <w:rPr/>
        <w:t xml:space="preserve">A meteorological domain of 10 km by 10 km (mesh size 250 m), and a sampling domain of 5 km by 5 km (mesh size 50 m), were considered. Additionally, a transect of 25 discrete receptors positioned at a height of 2 m above ground level was deployed, evenly spaced at intervals of 100 m in both the x and y directions, along the SW transport direction (225 °N), opposite to the prevailing winds. </w:t>
      </w:r>
    </w:p>
    <w:p>
      <w:pPr>
        <w:pStyle w:val="CETBodytext"/>
        <w:rPr/>
      </w:pPr>
      <w:r>
        <w:rPr>
          <w:rFonts w:eastAsia="Times New Roman" w:cs="Times New Roman"/>
          <w:color w:val="auto"/>
          <w:kern w:val="0"/>
          <w:sz w:val="18"/>
          <w:szCs w:val="20"/>
          <w:lang w:val="en-US" w:eastAsia="en-US" w:bidi="ar-SA"/>
        </w:rPr>
        <w:t>All</w:t>
      </w:r>
      <w:r>
        <w:rPr/>
        <w:t xml:space="preserve"> model </w:t>
      </w:r>
      <w:r>
        <w:rPr>
          <w:rFonts w:eastAsia="Times New Roman" w:cs="Times New Roman"/>
          <w:color w:val="auto"/>
          <w:kern w:val="0"/>
          <w:sz w:val="18"/>
          <w:szCs w:val="20"/>
          <w:lang w:val="en-US" w:eastAsia="en-US" w:bidi="ar-SA"/>
        </w:rPr>
        <w:t>simulations</w:t>
      </w:r>
      <w:r>
        <w:rPr/>
        <w:t xml:space="preserve"> </w:t>
      </w:r>
      <w:r>
        <w:rPr>
          <w:rFonts w:eastAsia="Times New Roman" w:cs="Times New Roman"/>
          <w:color w:val="auto"/>
          <w:kern w:val="0"/>
          <w:sz w:val="18"/>
          <w:szCs w:val="20"/>
          <w:lang w:val="en-US" w:eastAsia="en-US" w:bidi="ar-SA"/>
        </w:rPr>
        <w:t>considered</w:t>
      </w:r>
      <w:r>
        <w:rPr/>
        <w:t xml:space="preserve"> the activity over </w:t>
      </w:r>
      <w:r>
        <w:rPr>
          <w:rFonts w:eastAsia="Times New Roman" w:cs="Times New Roman"/>
          <w:color w:val="auto"/>
          <w:kern w:val="0"/>
          <w:sz w:val="18"/>
          <w:szCs w:val="20"/>
          <w:lang w:val="en-US" w:eastAsia="en-US" w:bidi="ar-SA"/>
        </w:rPr>
        <w:t>a whole</w:t>
      </w:r>
      <w:r>
        <w:rPr/>
        <w:t xml:space="preserve"> year of a buoyant point source with a stack height of 22.5 m and a diameter of 1 m, temperature and exit velocity of effluents at 50 °C and 13 m/s respectively, </w:t>
      </w:r>
      <w:r>
        <w:rPr>
          <w:rFonts w:eastAsia="Times New Roman" w:cs="Times New Roman"/>
          <w:color w:val="auto"/>
          <w:kern w:val="0"/>
          <w:sz w:val="18"/>
          <w:szCs w:val="20"/>
          <w:lang w:val="en-US" w:eastAsia="en-US" w:bidi="ar-SA"/>
        </w:rPr>
        <w:t>and</w:t>
      </w:r>
      <w:r>
        <w:rPr/>
        <w:t xml:space="preserve"> a continuous stationary odour flow rate of 24,000 uo</w:t>
      </w:r>
      <w:r>
        <w:rPr>
          <w:vertAlign w:val="subscript"/>
        </w:rPr>
        <w:t>E</w:t>
      </w:r>
      <w:r>
        <w:rPr/>
        <w:t xml:space="preserve">/s. </w:t>
      </w:r>
    </w:p>
    <w:p>
      <w:pPr>
        <w:pStyle w:val="CETBodytext"/>
        <w:rPr>
          <w:shd w:fill="auto" w:val="clear"/>
        </w:rPr>
      </w:pPr>
      <w:r>
        <w:rPr>
          <w:rFonts w:eastAsia="Times New Roman" w:cs="Times New Roman"/>
          <w:i w:val="false"/>
          <w:iCs w:val="false"/>
          <w:color w:val="000000"/>
          <w:kern w:val="0"/>
          <w:sz w:val="18"/>
          <w:szCs w:val="20"/>
          <w:shd w:fill="auto" w:val="clear"/>
          <w:lang w:val="en-US" w:eastAsia="en-US" w:bidi="ar-SA"/>
        </w:rPr>
        <w:t xml:space="preserve">Both CALPUFF and LAPMOD were run in different configurations by varying the methods and parameters to estimate the PMRs. </w:t>
      </w:r>
    </w:p>
    <w:p>
      <w:pPr>
        <w:pStyle w:val="CETBodytext"/>
        <w:rPr/>
      </w:pPr>
      <w:r>
        <w:rPr>
          <w:rFonts w:eastAsia="Times New Roman" w:cs="Times New Roman"/>
          <w:i w:val="false"/>
          <w:iCs w:val="false"/>
          <w:color w:val="000000"/>
          <w:kern w:val="0"/>
          <w:sz w:val="18"/>
          <w:szCs w:val="20"/>
          <w:shd w:fill="auto" w:val="clear"/>
          <w:lang w:val="en-US" w:eastAsia="en-US" w:bidi="ar-SA"/>
        </w:rPr>
        <w:t>CALPUFF (v. 5.8.5) was utilized with all default parameters, except for the method to compute dispersion coefficients, which relied on micro-meteorological variables (MDISP = 2). Since it does not offer specific methods to evaluate sub-hourly peak odour concentrations, aside from applying a uniform and constant post-processing scaling factor to 1 h model output, it was used as reference for the static PMR = 2.3 scheme. Throughout the text, tables, and figures, the CALPUFF run will be shortly referenced with the label "s_2.3".</w:t>
      </w:r>
    </w:p>
    <w:p>
      <w:pPr>
        <w:pStyle w:val="CETBodytext"/>
        <w:rPr/>
      </w:pPr>
      <w:r>
        <w:rPr/>
        <w:t xml:space="preserve">The optimal </w:t>
      </w:r>
      <w:r>
        <w:rPr>
          <w:rFonts w:eastAsia="Times New Roman" w:cs="Times New Roman"/>
          <w:color w:val="auto"/>
          <w:kern w:val="0"/>
          <w:sz w:val="18"/>
          <w:szCs w:val="20"/>
          <w:lang w:val="en-US" w:eastAsia="en-US" w:bidi="ar-SA"/>
        </w:rPr>
        <w:t>setup</w:t>
      </w:r>
      <w:r>
        <w:rPr/>
        <w:t xml:space="preserve"> for LAPMOD (v. 20230331) was determined by a comprehensive sensitivity analysis of results from a previous case study (ARPAV, 2023) and then varied across six different configurations with  alternative PMR estimation. </w:t>
      </w:r>
    </w:p>
    <w:p>
      <w:pPr>
        <w:pStyle w:val="CETBodytext"/>
        <w:rPr/>
      </w:pPr>
      <w:r>
        <w:rPr/>
        <w:t xml:space="preserve">LAPMOD runs (configurations and corresponding outputs) will be </w:t>
      </w:r>
      <w:r>
        <w:rPr/>
        <w:t>throughout the text</w:t>
      </w:r>
      <w:r>
        <w:rPr/>
        <w:t xml:space="preserve"> referenced </w:t>
      </w:r>
      <w:r>
        <w:rPr>
          <w:rFonts w:eastAsia="Times New Roman" w:cs="Times New Roman"/>
          <w:color w:val="auto"/>
          <w:kern w:val="0"/>
          <w:sz w:val="18"/>
          <w:szCs w:val="20"/>
          <w:lang w:val="en-US" w:eastAsia="en-US" w:bidi="ar-SA"/>
        </w:rPr>
        <w:t>with:</w:t>
      </w:r>
      <w:r>
        <w:rPr/>
        <w:t xml:space="preserve"> </w:t>
      </w:r>
    </w:p>
    <w:p>
      <w:pPr>
        <w:pStyle w:val="CETListbullets"/>
        <w:numPr>
          <w:ilvl w:val="0"/>
          <w:numId w:val="15"/>
        </w:numPr>
        <w:rPr/>
      </w:pPr>
      <w:r>
        <w:rPr/>
        <w:t>"s_avg_2.3": this configuration utilize</w:t>
      </w:r>
      <w:r>
        <w:rPr>
          <w:rFonts w:eastAsia="Times New Roman" w:cs="Times New Roman"/>
          <w:color w:val="auto"/>
          <w:kern w:val="0"/>
          <w:sz w:val="18"/>
          <w:szCs w:val="20"/>
          <w:lang w:val="en-US" w:eastAsia="en-US" w:bidi="ar-SA"/>
        </w:rPr>
        <w:t xml:space="preserve">d </w:t>
      </w:r>
      <w:r>
        <w:rPr/>
        <w:t>static PMR, a scaling factor of value 2.3 applied to the mean of 1 h odour concentration from 6 sub-hourly samples at 10 min intervals (with sampling frequency set by the user</w:t>
      </w:r>
      <w:r>
        <w:rPr>
          <w:shd w:fill="auto" w:val="clear"/>
        </w:rPr>
        <w:t xml:space="preserve">); it closely mirrors the CALPUFF "s_2.3" run as in fact, both of them, involve the application of a static PMR (i.e. </w:t>
      </w:r>
      <w:r>
        <w:rPr>
          <w:rFonts w:eastAsia="Times New Roman" w:cs="Times New Roman"/>
          <w:color w:val="000000"/>
          <w:kern w:val="0"/>
          <w:sz w:val="18"/>
          <w:szCs w:val="20"/>
          <w:shd w:fill="auto" w:val="clear"/>
          <w:lang w:val="en-GB" w:eastAsia="en-US" w:bidi="ar-SA"/>
        </w:rPr>
        <w:t xml:space="preserve">a scaling </w:t>
      </w:r>
      <w:r>
        <w:rPr>
          <w:shd w:fill="auto" w:val="clear"/>
        </w:rPr>
        <w:t xml:space="preserve">factor 2.3 applied to </w:t>
      </w:r>
      <w:r>
        <w:rPr>
          <w:rFonts w:eastAsia="Times New Roman" w:cs="Times New Roman"/>
          <w:color w:val="000000"/>
          <w:kern w:val="0"/>
          <w:sz w:val="18"/>
          <w:szCs w:val="20"/>
          <w:shd w:fill="auto" w:val="clear"/>
          <w:lang w:val="en-GB" w:eastAsia="en-US" w:bidi="ar-SA"/>
        </w:rPr>
        <w:t>1 h</w:t>
      </w:r>
      <w:r>
        <w:rPr>
          <w:shd w:fill="auto" w:val="clear"/>
        </w:rPr>
        <w:t xml:space="preserve"> model output);</w:t>
      </w:r>
    </w:p>
    <w:p>
      <w:pPr>
        <w:pStyle w:val="CETListbullets"/>
        <w:numPr>
          <w:ilvl w:val="0"/>
          <w:numId w:val="15"/>
        </w:numPr>
        <w:rPr/>
      </w:pPr>
      <w:r>
        <w:rPr/>
        <w:t xml:space="preserve">"s_max_1.6": similarly, this </w:t>
      </w:r>
      <w:r>
        <w:rPr>
          <w:lang w:val="en-US"/>
        </w:rPr>
        <w:t>configuration</w:t>
      </w:r>
      <w:r>
        <w:rPr/>
        <w:t xml:space="preserve"> employed static PMR but with a constant of 1.6 applied to the maximum value of odour concentrations from 6 sub-hourly samples (as above);</w:t>
      </w:r>
    </w:p>
    <w:p>
      <w:pPr>
        <w:pStyle w:val="CETListbullets"/>
        <w:numPr>
          <w:ilvl w:val="0"/>
          <w:numId w:val="15"/>
        </w:numPr>
        <w:rPr/>
      </w:pPr>
      <w:r>
        <w:rPr/>
        <w:t xml:space="preserve">"d_avg_5s": in this configuration, dynamic PMR was employed with a user-defined peak time of 5 s determining a </w:t>
      </w:r>
      <w:r>
        <w:rPr>
          <w:rFonts w:eastAsia="Times New Roman" w:cs="Times New Roman"/>
          <w:color w:val="auto"/>
          <w:kern w:val="0"/>
          <w:sz w:val="18"/>
          <w:szCs w:val="20"/>
          <w:lang w:val="en-GB" w:eastAsia="en-US" w:bidi="ar-SA"/>
        </w:rPr>
        <w:t>scaling</w:t>
      </w:r>
      <w:r>
        <w:rPr/>
        <w:t xml:space="preserve"> factor internally calculated by the model and applied to the mean of 6 concentration sub-samples (10 min) within each hour of simulation;</w:t>
      </w:r>
    </w:p>
    <w:p>
      <w:pPr>
        <w:pStyle w:val="CETListbullets"/>
        <w:numPr>
          <w:ilvl w:val="0"/>
          <w:numId w:val="15"/>
        </w:numPr>
        <w:rPr/>
      </w:pPr>
      <w:r>
        <w:rPr/>
        <w:t xml:space="preserve">"d_max_5s": this configuration also utilizes dynamic PMR with user-defined peak time of 5 s; however, in this case, the </w:t>
      </w:r>
      <w:r>
        <w:rPr>
          <w:rFonts w:eastAsia="Times New Roman" w:cs="Times New Roman"/>
          <w:color w:val="auto"/>
          <w:kern w:val="0"/>
          <w:sz w:val="18"/>
          <w:szCs w:val="20"/>
          <w:lang w:val="en-GB" w:eastAsia="en-US" w:bidi="ar-SA"/>
        </w:rPr>
        <w:t>scaling</w:t>
      </w:r>
      <w:r>
        <w:rPr/>
        <w:t xml:space="preserve"> factor was applied to the maximum value of odour concentrations from 6 sub-hourly samples within each hour of simulation;</w:t>
      </w:r>
    </w:p>
    <w:p>
      <w:pPr>
        <w:pStyle w:val="CETListbullets"/>
        <w:numPr>
          <w:ilvl w:val="0"/>
          <w:numId w:val="15"/>
        </w:numPr>
        <w:rPr/>
      </w:pPr>
      <w:r>
        <w:rPr/>
        <w:t xml:space="preserve">"d_avg_60s": this configuration </w:t>
      </w:r>
      <w:r>
        <w:rPr>
          <w:rFonts w:eastAsia="Times New Roman" w:cs="Times New Roman"/>
          <w:color w:val="auto"/>
          <w:kern w:val="0"/>
          <w:sz w:val="18"/>
          <w:szCs w:val="20"/>
          <w:lang w:val="en-GB" w:eastAsia="en-US" w:bidi="ar-SA"/>
        </w:rPr>
        <w:t>used</w:t>
      </w:r>
      <w:r>
        <w:rPr/>
        <w:t xml:space="preserve"> a dynamic PMR but with a user-defined peak time of 60 s, applied to the mean odour concentration of 6 sub-hourly samples.</w:t>
      </w:r>
    </w:p>
    <w:p>
      <w:pPr>
        <w:pStyle w:val="CETListbullets"/>
        <w:numPr>
          <w:ilvl w:val="0"/>
          <w:numId w:val="15"/>
        </w:numPr>
        <w:rPr/>
      </w:pPr>
      <w:r>
        <w:rPr/>
        <w:t>“</w:t>
      </w:r>
      <w:r>
        <w:rPr/>
        <w:t>d_max_60s”: a dynamic PMR with a user defined peak time of 60 s but applied to the maximum value of odour concentrations from 6 sub-hourly samples.</w:t>
      </w:r>
    </w:p>
    <w:p>
      <w:pPr>
        <w:pStyle w:val="CETBodytext"/>
        <w:rPr/>
      </w:pPr>
      <w:r>
        <w:rPr/>
        <w:t xml:space="preserve">In LAPMOD configurations 3 to 6 </w:t>
      </w:r>
      <w:r>
        <w:rPr>
          <w:rFonts w:eastAsia="Times New Roman" w:cs="Times New Roman"/>
          <w:color w:val="auto"/>
          <w:kern w:val="0"/>
          <w:sz w:val="18"/>
          <w:szCs w:val="20"/>
          <w:lang w:val="en-US" w:eastAsia="en-US" w:bidi="ar-SA"/>
        </w:rPr>
        <w:t>the</w:t>
      </w:r>
      <w:r>
        <w:rPr/>
        <w:t xml:space="preserve"> dynamic PMR was internally calculated by the model. </w:t>
      </w:r>
    </w:p>
    <w:p>
      <w:pPr>
        <w:pStyle w:val="CETBodytext"/>
        <w:rPr/>
      </w:pPr>
      <w:r>
        <w:rPr/>
        <w:t xml:space="preserve">The initial PMR, at the time of particle emissions, was determined </w:t>
      </w:r>
      <w:r>
        <w:rPr>
          <w:rFonts w:eastAsia="Times New Roman" w:cs="Times New Roman"/>
          <w:color w:val="auto"/>
          <w:kern w:val="0"/>
          <w:sz w:val="18"/>
          <w:szCs w:val="20"/>
          <w:lang w:val="en-US" w:eastAsia="en-US" w:bidi="ar-SA"/>
        </w:rPr>
        <w:t>by</w:t>
      </w:r>
      <w:r>
        <w:rPr/>
        <w:t xml:space="preserve"> Smith's power law (1973) with </w:t>
      </w:r>
      <w:r>
        <w:rPr>
          <w:rFonts w:eastAsia="Times New Roman" w:cs="Times New Roman"/>
          <w:color w:val="auto"/>
          <w:kern w:val="0"/>
          <w:sz w:val="18"/>
          <w:szCs w:val="20"/>
          <w:lang w:val="en-US" w:eastAsia="en-US" w:bidi="ar-SA"/>
        </w:rPr>
        <w:t>an</w:t>
      </w:r>
      <w:r>
        <w:rPr/>
        <w:t xml:space="preserve"> exponent </w:t>
      </w:r>
      <w:r>
        <w:rPr>
          <w:i/>
          <w:iCs/>
        </w:rPr>
        <w:t>u</w:t>
      </w:r>
      <w:r>
        <w:rPr/>
        <w:t xml:space="preserve">, as in Eq(1), depending on atmospheric stability and following the scheme by Schauberger et al. (2012). </w:t>
      </w:r>
    </w:p>
    <w:p>
      <w:pPr>
        <w:pStyle w:val="CETBodytext"/>
        <w:spacing w:lineRule="auto" w:line="240"/>
        <w:rPr/>
      </w:pPr>
      <w:r>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7985"/>
        <w:gridCol w:w="801"/>
      </w:tblGrid>
      <w:tr>
        <w:trPr>
          <w:trHeight w:val="511" w:hRule="atLeast"/>
        </w:trPr>
        <w:tc>
          <w:tcPr>
            <w:tcW w:w="7985" w:type="dxa"/>
            <w:tcBorders/>
            <w:shd w:color="auto" w:fill="auto" w:val="clear"/>
            <w:vAlign w:val="center"/>
          </w:tcPr>
          <w:p>
            <w:pPr>
              <w:pStyle w:val="CETEquation"/>
              <w:widowControl w:val="false"/>
              <w:spacing w:lineRule="auto" w:line="240" w:before="0" w:after="0"/>
              <w:jc w:val="left"/>
              <w:rPr/>
            </w:pPr>
            <w:r>
              <w:rPr/>
            </w:r>
            <m:oMathPara xmlns:m="http://schemas.openxmlformats.org/officeDocument/2006/math">
              <m:oMathParaPr>
                <m:jc m:val="left"/>
              </m:oMathParaPr>
              <m:oMath>
                <m:f>
                  <m:num>
                    <m:sSub>
                      <m:e>
                        <m:r>
                          <w:rPr>
                            <w:rFonts w:ascii="Cambria Math" w:hAnsi="Cambria Math"/>
                          </w:rPr>
                          <m:t xml:space="preserve">C</m:t>
                        </m:r>
                      </m:e>
                      <m:sub>
                        <m:r>
                          <w:rPr>
                            <w:rFonts w:ascii="Cambria Math" w:hAnsi="Cambria Math"/>
                          </w:rPr>
                          <m:t xml:space="preserve">p</m:t>
                        </m:r>
                      </m:sub>
                    </m:sSub>
                  </m:num>
                  <m:den>
                    <m:sSub>
                      <m:e>
                        <m:r>
                          <w:rPr>
                            <w:rFonts w:ascii="Cambria Math" w:hAnsi="Cambria Math"/>
                          </w:rPr>
                          <m:t xml:space="preserve">C</m:t>
                        </m:r>
                      </m:e>
                      <m:sub>
                        <m:r>
                          <w:rPr>
                            <w:rFonts w:ascii="Cambria Math" w:hAnsi="Cambria Math"/>
                          </w:rPr>
                          <m:t xml:space="preserve">m</m:t>
                        </m:r>
                      </m:sub>
                    </m:sSub>
                  </m:den>
                </m:f>
                <m:r>
                  <w:rPr>
                    <w:rFonts w:ascii="Cambria Math" w:hAnsi="Cambria Math"/>
                  </w:rPr>
                  <m:t xml:space="preserve">=</m:t>
                </m:r>
                <m:sSup>
                  <m:e>
                    <m:d>
                      <m:dPr>
                        <m:begChr m:val="("/>
                        <m:endChr m:val=")"/>
                      </m:dPr>
                      <m:e>
                        <m:f>
                          <m:num>
                            <m:sSub>
                              <m:e>
                                <m:r>
                                  <w:rPr>
                                    <w:rFonts w:ascii="Cambria Math" w:hAnsi="Cambria Math"/>
                                  </w:rPr>
                                  <m:t xml:space="preserve">t</m:t>
                                </m:r>
                              </m:e>
                              <m:sub>
                                <m:r>
                                  <w:rPr>
                                    <w:rFonts w:ascii="Cambria Math" w:hAnsi="Cambria Math"/>
                                  </w:rPr>
                                  <m:t xml:space="preserve">m</m:t>
                                </m:r>
                              </m:sub>
                            </m:sSub>
                          </m:num>
                          <m:den>
                            <m:sSub>
                              <m:e>
                                <m:r>
                                  <w:rPr>
                                    <w:rFonts w:ascii="Cambria Math" w:hAnsi="Cambria Math"/>
                                  </w:rPr>
                                  <m:t xml:space="preserve">t</m:t>
                                </m:r>
                              </m:e>
                              <m:sub>
                                <m:r>
                                  <w:rPr>
                                    <w:rFonts w:ascii="Cambria Math" w:hAnsi="Cambria Math"/>
                                  </w:rPr>
                                  <m:t xml:space="preserve">p</m:t>
                                </m:r>
                              </m:sub>
                            </m:sSub>
                          </m:den>
                        </m:f>
                      </m:e>
                    </m:d>
                  </m:e>
                  <m:sup>
                    <m:r>
                      <w:rPr>
                        <w:rFonts w:ascii="Cambria Math" w:hAnsi="Cambria Math"/>
                      </w:rPr>
                      <m:t xml:space="preserve">u</m:t>
                    </m:r>
                  </m:sup>
                </m:sSup>
              </m:oMath>
            </m:oMathPara>
          </w:p>
        </w:tc>
        <w:tc>
          <w:tcPr>
            <w:tcW w:w="801" w:type="dxa"/>
            <w:tcBorders/>
            <w:shd w:color="auto" w:fill="auto" w:val="clear"/>
            <w:vAlign w:val="center"/>
          </w:tcPr>
          <w:p>
            <w:pPr>
              <w:pStyle w:val="CETEquation"/>
              <w:widowControl w:val="false"/>
              <w:spacing w:before="120" w:after="120"/>
              <w:jc w:val="right"/>
              <w:rPr/>
            </w:pPr>
            <w:r>
              <w:rPr/>
              <w:t>(1)</w:t>
            </w:r>
          </w:p>
        </w:tc>
      </w:tr>
    </w:tbl>
    <w:p>
      <w:pPr>
        <w:pStyle w:val="CETBodytext"/>
        <w:spacing w:lineRule="auto" w:line="240"/>
        <w:rPr/>
      </w:pPr>
      <w:r>
        <w:rPr/>
      </w:r>
    </w:p>
    <w:p>
      <w:pPr>
        <w:pStyle w:val="CETBodytext"/>
        <w:rPr/>
      </w:pPr>
      <w:r>
        <w:rPr/>
        <w:t>Subsequent d</w:t>
      </w:r>
      <w:r>
        <w:rPr>
          <w:rFonts w:eastAsia="Times New Roman" w:cs="Times New Roman"/>
          <w:color w:val="auto"/>
          <w:kern w:val="0"/>
          <w:sz w:val="18"/>
          <w:szCs w:val="20"/>
          <w:lang w:val="en-US" w:eastAsia="en-US" w:bidi="ar-SA"/>
        </w:rPr>
        <w:t>ownwind</w:t>
      </w:r>
      <w:r>
        <w:rPr/>
        <w:t xml:space="preserve"> PMR, at each time step of particle movement, was computed </w:t>
      </w:r>
      <w:r>
        <w:rPr>
          <w:rFonts w:eastAsia="Times New Roman" w:cs="Times New Roman"/>
          <w:color w:val="auto"/>
          <w:kern w:val="0"/>
          <w:sz w:val="18"/>
          <w:szCs w:val="20"/>
          <w:lang w:val="en-US" w:eastAsia="en-US" w:bidi="ar-SA"/>
        </w:rPr>
        <w:t>through the</w:t>
      </w:r>
      <w:r>
        <w:rPr/>
        <w:t xml:space="preserve"> exponential attenuation by Milne &amp; Mason (1991) that depends on the ratio of travel time over Lagrangian time.</w:t>
      </w:r>
    </w:p>
    <w:p>
      <w:pPr>
        <w:pStyle w:val="CETBodytext"/>
        <w:rPr/>
      </w:pPr>
      <w:r>
        <w:rPr/>
        <w:t>In LAPMOD "s_max_1.6", t</w:t>
      </w:r>
      <w:r>
        <w:rPr>
          <w:rFonts w:eastAsia="Times New Roman" w:cs="Times New Roman"/>
          <w:color w:val="auto"/>
          <w:kern w:val="0"/>
          <w:sz w:val="18"/>
          <w:szCs w:val="20"/>
          <w:lang w:val="en-US" w:eastAsia="en-US" w:bidi="ar-SA"/>
        </w:rPr>
        <w:t xml:space="preserve">he </w:t>
      </w:r>
      <w:r>
        <w:rPr/>
        <w:t xml:space="preserve">static PMR of value 1.6 was chosen to compensate for the selection of the maximum value rather than the mean from the 6 sub-hourly concentration samples, and therefore referring to an averaging time </w:t>
      </w:r>
      <w:r>
        <w:rPr>
          <w:i/>
          <w:iCs/>
          <w:shd w:fill="auto" w:val="clear"/>
        </w:rPr>
        <w:t>t</w:t>
      </w:r>
      <w:r>
        <w:rPr>
          <w:i/>
          <w:iCs/>
          <w:shd w:fill="auto" w:val="clear"/>
          <w:vertAlign w:val="subscript"/>
        </w:rPr>
        <w:t>m</w:t>
      </w:r>
      <w:r>
        <w:rPr>
          <w:shd w:fill="auto" w:val="clear"/>
        </w:rPr>
        <w:t xml:space="preserve"> = </w:t>
      </w:r>
      <w:r>
        <w:rPr/>
        <w:t>600 s, instead of 3600 s (1 h). Th</w:t>
      </w:r>
      <w:r>
        <w:rPr>
          <w:shd w:fill="auto" w:val="clear"/>
        </w:rPr>
        <w:t xml:space="preserve">e peak time </w:t>
      </w:r>
      <w:r>
        <w:rPr>
          <w:i/>
          <w:iCs/>
          <w:shd w:fill="auto" w:val="clear"/>
        </w:rPr>
        <w:t>t</w:t>
      </w:r>
      <w:r>
        <w:rPr>
          <w:i/>
          <w:iCs/>
          <w:shd w:fill="auto" w:val="clear"/>
          <w:vertAlign w:val="subscript"/>
        </w:rPr>
        <w:t>p</w:t>
      </w:r>
      <w:r>
        <w:rPr>
          <w:shd w:fill="auto" w:val="clear"/>
        </w:rPr>
        <w:t xml:space="preserve"> is a user-defined parameter available just for the dynamic PMR configurations </w:t>
      </w:r>
      <w:r>
        <w:rPr>
          <w:rFonts w:eastAsia="Times New Roman" w:cs="Times New Roman"/>
          <w:color w:val="000000"/>
          <w:kern w:val="0"/>
          <w:sz w:val="18"/>
          <w:szCs w:val="20"/>
          <w:shd w:fill="auto" w:val="clear"/>
          <w:lang w:val="en-US" w:eastAsia="en-US" w:bidi="ar-SA"/>
        </w:rPr>
        <w:t>that</w:t>
      </w:r>
      <w:r>
        <w:rPr>
          <w:shd w:fill="auto" w:val="clear"/>
        </w:rPr>
        <w:t xml:space="preserve"> defines the average time to which the peak odour concentration </w:t>
      </w:r>
      <w:r>
        <w:rPr>
          <w:i/>
          <w:iCs/>
          <w:shd w:fill="auto" w:val="clear"/>
        </w:rPr>
        <w:t>C</w:t>
      </w:r>
      <w:r>
        <w:rPr>
          <w:i/>
          <w:iCs/>
          <w:shd w:fill="auto" w:val="clear"/>
          <w:vertAlign w:val="subscript"/>
        </w:rPr>
        <w:t>p</w:t>
      </w:r>
      <w:r>
        <w:rPr>
          <w:shd w:fill="auto" w:val="clear"/>
        </w:rPr>
        <w:t xml:space="preserve"> is referred. A peak time of </w:t>
      </w:r>
      <w:r>
        <w:rPr>
          <w:i/>
          <w:iCs/>
          <w:shd w:fill="auto" w:val="clear"/>
        </w:rPr>
        <w:t>t</w:t>
      </w:r>
      <w:r>
        <w:rPr>
          <w:i/>
          <w:iCs/>
          <w:shd w:fill="auto" w:val="clear"/>
          <w:vertAlign w:val="subscript"/>
        </w:rPr>
        <w:t>p</w:t>
      </w:r>
      <w:r>
        <w:rPr>
          <w:shd w:fill="auto" w:val="clear"/>
        </w:rPr>
        <w:t xml:space="preserve"> = 5 s, as in LAPMOD "d_avg_5s" and "d_max_5s," was selected to accommodate for the time lapse conventionally associated with a human breath (5 s). </w:t>
      </w:r>
    </w:p>
    <w:p>
      <w:pPr>
        <w:pStyle w:val="CETBodytext"/>
        <w:rPr>
          <w:shd w:fill="auto" w:val="clear"/>
        </w:rPr>
      </w:pPr>
      <w:r>
        <w:rPr>
          <w:shd w:fill="auto" w:val="clear"/>
        </w:rPr>
        <w:t xml:space="preserve">By setting the final result of Smith's power law, </w:t>
      </w:r>
      <w:r>
        <w:rPr>
          <w:i/>
          <w:iCs/>
          <w:shd w:fill="auto" w:val="clear"/>
        </w:rPr>
        <w:t>C</w:t>
      </w:r>
      <w:r>
        <w:rPr>
          <w:i/>
          <w:iCs/>
          <w:shd w:fill="auto" w:val="clear"/>
          <w:vertAlign w:val="subscript"/>
        </w:rPr>
        <w:t>p</w:t>
      </w:r>
      <w:r>
        <w:rPr>
          <w:i/>
          <w:iCs/>
          <w:shd w:fill="auto" w:val="clear"/>
        </w:rPr>
        <w:t>/C</w:t>
      </w:r>
      <w:r>
        <w:rPr>
          <w:i/>
          <w:iCs/>
          <w:shd w:fill="auto" w:val="clear"/>
          <w:vertAlign w:val="subscript"/>
        </w:rPr>
        <w:t>m</w:t>
      </w:r>
      <w:r>
        <w:rPr>
          <w:shd w:fill="auto" w:val="clear"/>
          <w:vertAlign w:val="subscript"/>
        </w:rPr>
        <w:t xml:space="preserve"> </w:t>
      </w:r>
      <w:r>
        <w:rPr>
          <w:position w:val="0"/>
          <w:sz w:val="18"/>
          <w:sz w:val="18"/>
          <w:shd w:fill="auto" w:val="clear"/>
          <w:vertAlign w:val="baseline"/>
        </w:rPr>
        <w:t>=</w:t>
      </w:r>
      <w:r>
        <w:rPr>
          <w:shd w:fill="auto" w:val="clear"/>
          <w:vertAlign w:val="subscript"/>
        </w:rPr>
        <w:t xml:space="preserve"> </w:t>
      </w:r>
      <w:r>
        <w:rPr>
          <w:shd w:fill="auto" w:val="clear"/>
        </w:rPr>
        <w:t xml:space="preserve">2.3 and further incorporating an average time of </w:t>
      </w:r>
      <w:r>
        <w:rPr>
          <w:i/>
          <w:iCs/>
          <w:shd w:fill="auto" w:val="clear"/>
        </w:rPr>
        <w:t>t</w:t>
      </w:r>
      <w:r>
        <w:rPr>
          <w:i/>
          <w:iCs/>
          <w:shd w:fill="auto" w:val="clear"/>
          <w:vertAlign w:val="subscript"/>
        </w:rPr>
        <w:t>m</w:t>
      </w:r>
      <w:r>
        <w:rPr>
          <w:shd w:fill="auto" w:val="clear"/>
        </w:rPr>
        <w:t xml:space="preserve"> = 3600 s (1 hour) and the empirical constant value </w:t>
      </w:r>
      <w:r>
        <w:rPr>
          <w:i/>
          <w:iCs/>
          <w:shd w:fill="auto" w:val="clear"/>
        </w:rPr>
        <w:t>u</w:t>
      </w:r>
      <w:r>
        <w:rPr>
          <w:shd w:fill="auto" w:val="clear"/>
        </w:rPr>
        <w:t xml:space="preserve"> = 0.2 (as suggested in the CALPUFF user manual), it implied a peak time </w:t>
      </w:r>
      <w:r>
        <w:rPr>
          <w:i/>
          <w:iCs/>
          <w:shd w:fill="auto" w:val="clear"/>
        </w:rPr>
        <w:t>t</w:t>
      </w:r>
      <w:r>
        <w:rPr>
          <w:i/>
          <w:iCs/>
          <w:shd w:fill="auto" w:val="clear"/>
          <w:vertAlign w:val="subscript"/>
        </w:rPr>
        <w:t>p</w:t>
      </w:r>
      <w:r>
        <w:rPr>
          <w:shd w:fill="auto" w:val="clear"/>
        </w:rPr>
        <w:t xml:space="preserve"> = 60 s. This concept drove the definition of LAPMOD "d_avg_60s" and "d_max_60s" configurations, where the resulting values </w:t>
      </w:r>
      <w:r>
        <w:rPr>
          <w:rFonts w:eastAsia="Times New Roman" w:cs="Times New Roman"/>
          <w:color w:val="000000"/>
          <w:kern w:val="0"/>
          <w:sz w:val="18"/>
          <w:szCs w:val="20"/>
          <w:shd w:fill="auto" w:val="clear"/>
          <w:lang w:val="en-US" w:eastAsia="en-US" w:bidi="ar-SA"/>
        </w:rPr>
        <w:t>were</w:t>
      </w:r>
      <w:r>
        <w:rPr>
          <w:shd w:fill="auto" w:val="clear"/>
        </w:rPr>
        <w:t xml:space="preserve"> expected to align more closely with "s_avg_2.3" and "s_max_1.6" compared to configurations with a peak time </w:t>
      </w:r>
      <w:r>
        <w:rPr>
          <w:i/>
          <w:iCs/>
          <w:shd w:fill="auto" w:val="clear"/>
        </w:rPr>
        <w:t>t</w:t>
      </w:r>
      <w:r>
        <w:rPr>
          <w:i/>
          <w:iCs/>
          <w:shd w:fill="auto" w:val="clear"/>
          <w:vertAlign w:val="subscript"/>
        </w:rPr>
        <w:t>p</w:t>
      </w:r>
      <w:r>
        <w:rPr>
          <w:shd w:fill="auto" w:val="clear"/>
        </w:rPr>
        <w:t xml:space="preserve"> = 5 s.</w:t>
      </w:r>
    </w:p>
    <w:p>
      <w:pPr>
        <w:pStyle w:val="CETHeading1"/>
        <w:numPr>
          <w:ilvl w:val="1"/>
          <w:numId w:val="1"/>
        </w:numPr>
        <w:rPr>
          <w:rFonts w:ascii="Arial" w:hAnsi="Arial" w:eastAsia="Times New Roman" w:cs="Times New Roman"/>
          <w:b/>
          <w:color w:val="auto"/>
          <w:kern w:val="0"/>
          <w:sz w:val="20"/>
          <w:szCs w:val="20"/>
          <w:lang w:val="en-GB" w:eastAsia="en-US" w:bidi="ar-SA"/>
        </w:rPr>
      </w:pPr>
      <w:r>
        <w:rPr>
          <w:rFonts w:eastAsia="Times New Roman" w:cs="Times New Roman"/>
          <w:b/>
          <w:color w:val="auto"/>
          <w:kern w:val="0"/>
          <w:sz w:val="20"/>
          <w:szCs w:val="20"/>
          <w:lang w:val="en-GB" w:eastAsia="en-US" w:bidi="ar-SA"/>
        </w:rPr>
        <w:t>Results</w:t>
      </w:r>
    </w:p>
    <w:p>
      <w:pPr>
        <w:pStyle w:val="CETBodytext"/>
        <w:rPr>
          <w:lang w:val="en-GB"/>
        </w:rPr>
      </w:pPr>
      <w:r>
        <w:rPr>
          <w:lang w:val="en-GB"/>
        </w:rPr>
        <w:t>Figure 1 displays the contour maps for the 98</w:t>
      </w:r>
      <w:r>
        <w:rPr>
          <w:vertAlign w:val="superscript"/>
          <w:lang w:val="en-GB"/>
        </w:rPr>
        <w:t>th</w:t>
      </w:r>
      <w:r>
        <w:rPr>
          <w:lang w:val="en-GB"/>
        </w:rPr>
        <w:t xml:space="preserve"> percentile and maximum values of annual peak odour </w:t>
      </w:r>
      <w:r>
        <w:rPr>
          <w:rFonts w:eastAsia="Times New Roman" w:cs="Times New Roman"/>
          <w:color w:val="auto"/>
          <w:kern w:val="0"/>
          <w:sz w:val="18"/>
          <w:szCs w:val="20"/>
          <w:lang w:val="en-GB" w:eastAsia="en-US" w:bidi="ar-SA"/>
        </w:rPr>
        <w:t>units</w:t>
      </w:r>
      <w:r>
        <w:rPr>
          <w:lang w:val="en-GB"/>
        </w:rPr>
        <w:t xml:space="preserve"> calculated by the alternative model configurations under study. When considering the odour levels equal to 1 or 2 ou</w:t>
      </w:r>
      <w:r>
        <w:rPr>
          <w:vertAlign w:val="subscript"/>
          <w:lang w:val="en-GB"/>
        </w:rPr>
        <w:t>E</w:t>
      </w:r>
      <w:r>
        <w:rPr>
          <w:lang w:val="en-GB"/>
        </w:rPr>
        <w:t>/m</w:t>
      </w:r>
      <w:r>
        <w:rPr>
          <w:vertAlign w:val="superscript"/>
          <w:lang w:val="en-GB"/>
        </w:rPr>
        <w:t>3</w:t>
      </w:r>
      <w:r>
        <w:rPr>
          <w:lang w:val="en-GB"/>
        </w:rPr>
        <w:t xml:space="preserve">, it is evident that CALPUFF configuration "s_2.3" delineates </w:t>
      </w:r>
      <w:r>
        <w:rPr>
          <w:rFonts w:eastAsia="Times New Roman" w:cs="Times New Roman"/>
          <w:color w:val="auto"/>
          <w:kern w:val="0"/>
          <w:sz w:val="18"/>
          <w:szCs w:val="20"/>
          <w:lang w:val="en-GB" w:eastAsia="en-US" w:bidi="ar-SA"/>
        </w:rPr>
        <w:t>the</w:t>
      </w:r>
      <w:r>
        <w:rPr>
          <w:lang w:val="en-GB"/>
        </w:rPr>
        <w:t xml:space="preserve"> smaller area within the model domain compared to LAPMOD configuration "s_avg_2.3.". This distinctive </w:t>
      </w:r>
      <w:r>
        <w:rPr>
          <w:rFonts w:eastAsia="Times New Roman" w:cs="Times New Roman"/>
          <w:color w:val="auto"/>
          <w:kern w:val="0"/>
          <w:sz w:val="18"/>
          <w:szCs w:val="20"/>
          <w:lang w:val="en-GB" w:eastAsia="en-US" w:bidi="ar-SA"/>
        </w:rPr>
        <w:t>feature</w:t>
      </w:r>
      <w:r>
        <w:rPr>
          <w:lang w:val="en-GB"/>
        </w:rPr>
        <w:t xml:space="preserve"> holds true for all LAPMOD configurations. </w:t>
      </w:r>
      <w:r>
        <w:rPr>
          <w:shd w:fill="auto" w:val="clear"/>
          <w:lang w:val="en-GB"/>
        </w:rPr>
        <w:t xml:space="preserve">The higher levels of peak odour </w:t>
      </w:r>
      <w:r>
        <w:rPr>
          <w:rFonts w:eastAsia="Times New Roman" w:cs="Times New Roman"/>
          <w:color w:val="000000"/>
          <w:kern w:val="0"/>
          <w:sz w:val="18"/>
          <w:szCs w:val="20"/>
          <w:shd w:fill="auto" w:val="clear"/>
          <w:lang w:val="en-GB" w:eastAsia="en-US" w:bidi="ar-SA"/>
        </w:rPr>
        <w:t>units (</w:t>
      </w:r>
      <w:r>
        <w:rPr>
          <w:rStyle w:val="CETCaptionCarattere"/>
          <w:rFonts w:eastAsia="Times New Roman" w:cs="Times New Roman"/>
          <w:i/>
          <w:color w:val="000000"/>
          <w:kern w:val="0"/>
          <w:sz w:val="18"/>
          <w:szCs w:val="20"/>
          <w:shd w:fill="auto" w:val="clear"/>
          <w:lang w:val="en-GB" w:eastAsia="en-US" w:bidi="ar-SA"/>
        </w:rPr>
        <w:t>uo</w:t>
      </w:r>
      <w:r>
        <w:rPr>
          <w:rStyle w:val="CETCaptionCarattere"/>
          <w:rFonts w:eastAsia="Times New Roman" w:cs="Times New Roman"/>
          <w:i/>
          <w:color w:val="000000"/>
          <w:kern w:val="0"/>
          <w:sz w:val="18"/>
          <w:szCs w:val="20"/>
          <w:shd w:fill="auto" w:val="clear"/>
          <w:vertAlign w:val="subscript"/>
          <w:lang w:val="en-GB" w:eastAsia="en-US" w:bidi="ar-SA"/>
        </w:rPr>
        <w:t>E</w:t>
      </w:r>
      <w:r>
        <w:rPr>
          <w:rStyle w:val="CETCaptionCarattere"/>
          <w:rFonts w:eastAsia="Times New Roman" w:cs="Times New Roman"/>
          <w:i/>
          <w:color w:val="000000"/>
          <w:kern w:val="0"/>
          <w:sz w:val="18"/>
          <w:szCs w:val="20"/>
          <w:shd w:fill="auto" w:val="clear"/>
          <w:lang w:val="en-GB" w:eastAsia="en-US" w:bidi="ar-SA"/>
        </w:rPr>
        <w:t>/m</w:t>
      </w:r>
      <w:r>
        <w:rPr>
          <w:rStyle w:val="CETCaptionCarattere"/>
          <w:rFonts w:eastAsia="Times New Roman" w:cs="Times New Roman"/>
          <w:i/>
          <w:color w:val="000000"/>
          <w:kern w:val="0"/>
          <w:sz w:val="18"/>
          <w:szCs w:val="20"/>
          <w:shd w:fill="auto" w:val="clear"/>
          <w:vertAlign w:val="superscript"/>
          <w:lang w:val="en-GB" w:eastAsia="en-US" w:bidi="ar-SA"/>
        </w:rPr>
        <w:t>3</w:t>
      </w:r>
      <w:r>
        <w:rPr>
          <w:rFonts w:eastAsia="Times New Roman" w:cs="Times New Roman"/>
          <w:color w:val="000000"/>
          <w:kern w:val="0"/>
          <w:sz w:val="18"/>
          <w:szCs w:val="20"/>
          <w:shd w:fill="auto" w:val="clear"/>
          <w:lang w:val="en-GB" w:eastAsia="en-US" w:bidi="ar-SA"/>
        </w:rPr>
        <w:t>)</w:t>
      </w:r>
      <w:r>
        <w:rPr>
          <w:shd w:fill="auto" w:val="clear"/>
          <w:lang w:val="en-GB"/>
        </w:rPr>
        <w:t xml:space="preserve"> were estimated by LAPMOD configurations </w:t>
      </w:r>
      <w:r>
        <w:rPr>
          <w:rFonts w:eastAsia="Times New Roman" w:cs="Times New Roman"/>
          <w:color w:val="000000"/>
          <w:kern w:val="0"/>
          <w:sz w:val="18"/>
          <w:szCs w:val="20"/>
          <w:shd w:fill="auto" w:val="clear"/>
          <w:lang w:val="en-GB" w:eastAsia="en-US" w:bidi="ar-SA"/>
        </w:rPr>
        <w:t>with</w:t>
      </w:r>
      <w:r>
        <w:rPr>
          <w:shd w:fill="auto" w:val="clear"/>
          <w:lang w:val="en-GB"/>
        </w:rPr>
        <w:t xml:space="preserve"> </w:t>
      </w:r>
      <w:r>
        <w:rPr>
          <w:rFonts w:eastAsia="Times New Roman" w:cs="Times New Roman"/>
          <w:color w:val="000000"/>
          <w:kern w:val="0"/>
          <w:sz w:val="18"/>
          <w:szCs w:val="20"/>
          <w:shd w:fill="auto" w:val="clear"/>
          <w:lang w:val="en-GB" w:eastAsia="en-US" w:bidi="ar-SA"/>
        </w:rPr>
        <w:t xml:space="preserve"> </w:t>
      </w:r>
      <w:r>
        <w:rPr>
          <w:shd w:fill="auto" w:val="clear"/>
          <w:lang w:val="en-GB"/>
        </w:rPr>
        <w:t xml:space="preserve">a peak time of 5 s ("d_avg_5s", "d_max_5s"). Interestingly, but consistently with the model's algorithm, peak odour concentrations estimated by LAPMOD configurations using the maximum value of sub-hourly samples were significantly lower compared to those using the average, for a given peak time. </w:t>
      </w:r>
    </w:p>
    <w:p>
      <w:pPr>
        <w:pStyle w:val="CETBodytext"/>
        <w:rPr>
          <w:shd w:fill="auto" w:val="clear"/>
        </w:rPr>
      </w:pPr>
      <w:r>
        <w:rPr>
          <w:rFonts w:eastAsia="Times New Roman" w:cs="Times New Roman"/>
          <w:color w:val="auto"/>
          <w:kern w:val="0"/>
          <w:sz w:val="18"/>
          <w:szCs w:val="20"/>
          <w:lang w:val="en-GB" w:eastAsia="en-US" w:bidi="ar-SA"/>
        </w:rPr>
        <w:t>I</w:t>
      </w:r>
      <w:r>
        <w:rPr>
          <w:lang w:val="en-GB"/>
        </w:rPr>
        <w:t xml:space="preserve">n LAPMOD configurations </w:t>
      </w:r>
      <w:r>
        <w:rPr>
          <w:rFonts w:eastAsia="Times New Roman" w:cs="Times New Roman"/>
          <w:color w:val="auto"/>
          <w:kern w:val="0"/>
          <w:sz w:val="18"/>
          <w:szCs w:val="20"/>
          <w:lang w:val="en-GB" w:eastAsia="en-US" w:bidi="ar-SA"/>
        </w:rPr>
        <w:t>with</w:t>
      </w:r>
      <w:r>
        <w:rPr>
          <w:lang w:val="en-GB"/>
        </w:rPr>
        <w:t xml:space="preserve"> dynamic PMR, the higher the peak time the lower the peak odour concentrations, approaching asymptotically the values of static PMR ("s_avg_2.3") at higher distances from the source. Another significant observation from the cross-comparison of the contour maps in Figure 1 is that LAPMOD "s_max_1.6", "d_max_5s", and "d_max_60s" exhibit, to </w:t>
      </w:r>
      <w:r>
        <w:rPr>
          <w:rFonts w:eastAsia="Times New Roman" w:cs="Times New Roman"/>
          <w:color w:val="auto"/>
          <w:kern w:val="0"/>
          <w:sz w:val="18"/>
          <w:szCs w:val="20"/>
          <w:lang w:val="en-GB" w:eastAsia="en-US" w:bidi="ar-SA"/>
        </w:rPr>
        <w:t>a different</w:t>
      </w:r>
      <w:r>
        <w:rPr>
          <w:lang w:val="en-GB"/>
        </w:rPr>
        <w:t xml:space="preserve"> extents, some distinct hot spots of peak odour concentrations which seem to replicate the intermittent and short-range localization </w:t>
      </w:r>
      <w:r>
        <w:rPr>
          <w:rFonts w:eastAsia="Times New Roman" w:cs="Times New Roman"/>
          <w:color w:val="auto"/>
          <w:kern w:val="0"/>
          <w:sz w:val="18"/>
          <w:szCs w:val="20"/>
          <w:lang w:val="en-GB" w:eastAsia="en-US" w:bidi="ar-SA"/>
        </w:rPr>
        <w:t>features</w:t>
      </w:r>
      <w:r>
        <w:rPr>
          <w:lang w:val="en-GB"/>
        </w:rPr>
        <w:t xml:space="preserve"> of the ambient odour phenomenology.</w:t>
      </w:r>
    </w:p>
    <w:p>
      <w:pPr>
        <w:pStyle w:val="CETBodytext"/>
        <w:rPr>
          <w:lang w:val="en-GB"/>
        </w:rPr>
      </w:pPr>
      <w:r>
        <w:rPr/>
        <w:t>At the 25 discrete receptors positioned downwind along the southwest transect, several metrics were calculated: the 98</w:t>
      </w:r>
      <w:r>
        <w:rPr>
          <w:vertAlign w:val="superscript"/>
        </w:rPr>
        <w:t>th</w:t>
      </w:r>
      <w:r>
        <w:rPr/>
        <w:t xml:space="preserve"> percentile and the maximum value of the peak odour </w:t>
      </w:r>
      <w:r>
        <w:rPr>
          <w:rFonts w:eastAsia="Times New Roman" w:cs="Times New Roman"/>
          <w:color w:val="auto"/>
          <w:kern w:val="0"/>
          <w:sz w:val="18"/>
          <w:szCs w:val="20"/>
          <w:lang w:val="en-US" w:eastAsia="en-US" w:bidi="ar-SA"/>
        </w:rPr>
        <w:t>units [uo</w:t>
      </w:r>
      <w:r>
        <w:rPr>
          <w:rFonts w:eastAsia="Times New Roman" w:cs="Times New Roman"/>
          <w:color w:val="auto"/>
          <w:kern w:val="0"/>
          <w:sz w:val="18"/>
          <w:szCs w:val="20"/>
          <w:vertAlign w:val="subscript"/>
          <w:lang w:val="en-US" w:eastAsia="en-US" w:bidi="ar-SA"/>
        </w:rPr>
        <w:t>E</w:t>
      </w:r>
      <w:r>
        <w:rPr>
          <w:rFonts w:eastAsia="Times New Roman" w:cs="Times New Roman"/>
          <w:color w:val="auto"/>
          <w:kern w:val="0"/>
          <w:sz w:val="18"/>
          <w:szCs w:val="20"/>
          <w:lang w:val="en-US" w:eastAsia="en-US" w:bidi="ar-SA"/>
        </w:rPr>
        <w:t>/m</w:t>
      </w:r>
      <w:r>
        <w:rPr>
          <w:rFonts w:eastAsia="Times New Roman" w:cs="Times New Roman"/>
          <w:color w:val="auto"/>
          <w:kern w:val="0"/>
          <w:sz w:val="18"/>
          <w:szCs w:val="20"/>
          <w:vertAlign w:val="superscript"/>
          <w:lang w:val="en-US" w:eastAsia="en-US" w:bidi="ar-SA"/>
        </w:rPr>
        <w:t>3</w:t>
      </w:r>
      <w:r>
        <w:rPr>
          <w:rFonts w:eastAsia="Times New Roman" w:cs="Times New Roman"/>
          <w:color w:val="auto"/>
          <w:kern w:val="0"/>
          <w:sz w:val="18"/>
          <w:szCs w:val="20"/>
          <w:lang w:val="en-US" w:eastAsia="en-US" w:bidi="ar-SA"/>
        </w:rPr>
        <w:t>]</w:t>
      </w:r>
      <w:r>
        <w:rPr/>
        <w:t>, the total number of exceedances for the threshold level of 1 uo</w:t>
      </w:r>
      <w:r>
        <w:rPr>
          <w:vertAlign w:val="subscript"/>
        </w:rPr>
        <w:t>E</w:t>
      </w:r>
      <w:r>
        <w:rPr/>
        <w:t>/m</w:t>
      </w:r>
      <w:r>
        <w:rPr>
          <w:vertAlign w:val="superscript"/>
        </w:rPr>
        <w:t>3</w:t>
      </w:r>
      <w:r>
        <w:rPr/>
        <w:t xml:space="preserve">, the number of episodes with consecutive exceedances, and the maximum duration of the episodes (in hours). </w:t>
      </w:r>
    </w:p>
    <w:p>
      <w:pPr>
        <w:pStyle w:val="CETBodytext"/>
        <w:rPr>
          <w:lang w:val="en-GB"/>
        </w:rPr>
      </w:pPr>
      <w:r>
        <w:rPr/>
        <w:t xml:space="preserve">Table 1 presents, for the sake of brevity, these metrics just for the most impacted discrete receptor R1, located about 141 meters from source, downwind the SW transport direction (225 °N). </w:t>
      </w:r>
      <w:r>
        <w:rPr>
          <w:rFonts w:eastAsia="Times New Roman" w:cs="Times New Roman"/>
          <w:color w:val="auto"/>
          <w:kern w:val="0"/>
          <w:sz w:val="18"/>
          <w:szCs w:val="20"/>
          <w:lang w:val="en-US" w:eastAsia="en-US" w:bidi="ar-SA"/>
        </w:rPr>
        <w:t>S</w:t>
      </w:r>
      <w:r>
        <w:rPr/>
        <w:t xml:space="preserve">ignificant differences </w:t>
      </w:r>
      <w:r>
        <w:rPr>
          <w:rFonts w:eastAsia="Times New Roman" w:cs="Times New Roman"/>
          <w:color w:val="auto"/>
          <w:kern w:val="0"/>
          <w:sz w:val="18"/>
          <w:szCs w:val="20"/>
          <w:lang w:val="en-US" w:eastAsia="en-US" w:bidi="ar-SA"/>
        </w:rPr>
        <w:t>were</w:t>
      </w:r>
      <w:r>
        <w:rPr/>
        <w:t xml:space="preserve"> evident in the magnitude of peak odour </w:t>
      </w:r>
      <w:r>
        <w:rPr>
          <w:rFonts w:eastAsia="Times New Roman" w:cs="Times New Roman"/>
          <w:color w:val="auto"/>
          <w:kern w:val="0"/>
          <w:sz w:val="18"/>
          <w:szCs w:val="20"/>
          <w:lang w:val="en-US" w:eastAsia="en-US" w:bidi="ar-SA"/>
        </w:rPr>
        <w:t>unit</w:t>
      </w:r>
      <w:r>
        <w:rPr/>
        <w:t>s (</w:t>
      </w:r>
      <w:r>
        <w:rPr>
          <w:rStyle w:val="CETCaptionCarattere"/>
          <w:rFonts w:eastAsia="Times New Roman" w:cs="Times New Roman"/>
          <w:i/>
          <w:color w:val="000000"/>
          <w:kern w:val="0"/>
          <w:sz w:val="18"/>
          <w:szCs w:val="20"/>
          <w:shd w:fill="auto" w:val="clear"/>
          <w:lang w:val="en-GB" w:eastAsia="en-US" w:bidi="ar-SA"/>
        </w:rPr>
        <w:t>uo</w:t>
      </w:r>
      <w:r>
        <w:rPr>
          <w:rStyle w:val="CETCaptionCarattere"/>
          <w:rFonts w:eastAsia="Times New Roman" w:cs="Times New Roman"/>
          <w:i/>
          <w:color w:val="000000"/>
          <w:kern w:val="0"/>
          <w:sz w:val="18"/>
          <w:szCs w:val="20"/>
          <w:shd w:fill="auto" w:val="clear"/>
          <w:vertAlign w:val="subscript"/>
          <w:lang w:val="en-GB" w:eastAsia="en-US" w:bidi="ar-SA"/>
        </w:rPr>
        <w:t>E</w:t>
      </w:r>
      <w:r>
        <w:rPr>
          <w:rStyle w:val="CETCaptionCarattere"/>
          <w:rFonts w:eastAsia="Times New Roman" w:cs="Times New Roman"/>
          <w:i/>
          <w:color w:val="000000"/>
          <w:kern w:val="0"/>
          <w:sz w:val="18"/>
          <w:szCs w:val="20"/>
          <w:shd w:fill="auto" w:val="clear"/>
          <w:lang w:val="en-GB" w:eastAsia="en-US" w:bidi="ar-SA"/>
        </w:rPr>
        <w:t>/m</w:t>
      </w:r>
      <w:r>
        <w:rPr>
          <w:rStyle w:val="CETCaptionCarattere"/>
          <w:rFonts w:eastAsia="Times New Roman" w:cs="Times New Roman"/>
          <w:i/>
          <w:color w:val="000000"/>
          <w:kern w:val="0"/>
          <w:sz w:val="18"/>
          <w:szCs w:val="20"/>
          <w:shd w:fill="auto" w:val="clear"/>
          <w:vertAlign w:val="superscript"/>
          <w:lang w:val="en-GB" w:eastAsia="en-US" w:bidi="ar-SA"/>
        </w:rPr>
        <w:t>3</w:t>
      </w:r>
      <w:r>
        <w:rPr>
          <w:rStyle w:val="CETCaptionCarattere"/>
          <w:rFonts w:eastAsia="Times New Roman" w:cs="Times New Roman"/>
          <w:i w:val="false"/>
          <w:iCs w:val="false"/>
          <w:color w:val="000000"/>
          <w:kern w:val="0"/>
          <w:position w:val="0"/>
          <w:sz w:val="18"/>
          <w:sz w:val="18"/>
          <w:szCs w:val="20"/>
          <w:shd w:fill="auto" w:val="clear"/>
          <w:vertAlign w:val="baseline"/>
          <w:lang w:val="en-GB" w:eastAsia="en-US" w:bidi="ar-SA"/>
        </w:rPr>
        <w:t>)</w:t>
      </w:r>
      <w:r>
        <w:rPr/>
        <w:t xml:space="preserve">, with the highest level observed for a peak time of 5 s (LAPMOD “d_avg_5s”), and the lowest for CALPUFF static “s_2.3”. Here, it is also worth noting again, the counter-intuitive feature that model configurations with average sampling </w:t>
      </w:r>
      <w:r>
        <w:rPr>
          <w:rFonts w:eastAsia="Times New Roman" w:cs="Times New Roman"/>
          <w:color w:val="auto"/>
          <w:kern w:val="0"/>
          <w:sz w:val="18"/>
          <w:szCs w:val="20"/>
          <w:lang w:val="en-US" w:eastAsia="en-US" w:bidi="ar-SA"/>
        </w:rPr>
        <w:t>returned</w:t>
      </w:r>
      <w:r>
        <w:rPr/>
        <w:t xml:space="preserve"> higher peak odour </w:t>
      </w:r>
      <w:r>
        <w:rPr>
          <w:rFonts w:eastAsia="Times New Roman" w:cs="Times New Roman"/>
          <w:color w:val="auto"/>
          <w:kern w:val="0"/>
          <w:sz w:val="18"/>
          <w:szCs w:val="20"/>
          <w:lang w:val="en-US" w:eastAsia="en-US" w:bidi="ar-SA"/>
        </w:rPr>
        <w:t>concentrations</w:t>
      </w:r>
      <w:r>
        <w:rPr/>
        <w:t xml:space="preserve"> than max sampling (for details </w:t>
      </w:r>
      <w:r>
        <w:rPr>
          <w:rFonts w:eastAsia="Times New Roman" w:cs="Times New Roman"/>
          <w:color w:val="auto"/>
          <w:kern w:val="0"/>
          <w:sz w:val="18"/>
          <w:szCs w:val="20"/>
          <w:lang w:val="en-US" w:eastAsia="en-US" w:bidi="ar-SA"/>
        </w:rPr>
        <w:t>refer to</w:t>
      </w:r>
      <w:r>
        <w:rPr/>
        <w:t xml:space="preserve"> LAPMOD user manual).</w:t>
      </w:r>
    </w:p>
    <w:p>
      <w:pPr>
        <w:pStyle w:val="CETTabletitle"/>
        <w:rPr/>
      </w:pPr>
      <w:r>
        <w:rPr/>
        <w:t>Table 1: Statistics for the discrete receptor R1 along SW direction (225 °N) at 141 m distance from the source.</w:t>
      </w:r>
    </w:p>
    <w:tbl>
      <w:tblPr>
        <w:tblW w:w="8330" w:type="dxa"/>
        <w:jc w:val="left"/>
        <w:tblInd w:w="0" w:type="dxa"/>
        <w:tblLayout w:type="fixed"/>
        <w:tblCellMar>
          <w:top w:w="0" w:type="dxa"/>
          <w:left w:w="0" w:type="dxa"/>
          <w:bottom w:w="0" w:type="dxa"/>
          <w:right w:w="0" w:type="dxa"/>
        </w:tblCellMar>
        <w:tblLook w:val="00a0" w:noHBand="0" w:noVBand="0" w:firstColumn="1" w:lastRow="0" w:lastColumn="0" w:firstRow="1"/>
      </w:tblPr>
      <w:tblGrid>
        <w:gridCol w:w="1190"/>
        <w:gridCol w:w="1189"/>
        <w:gridCol w:w="1191"/>
        <w:gridCol w:w="1189"/>
        <w:gridCol w:w="1191"/>
        <w:gridCol w:w="1189"/>
        <w:gridCol w:w="1190"/>
      </w:tblGrid>
      <w:tr>
        <w:trPr>
          <w:trHeight w:val="283" w:hRule="atLeast"/>
        </w:trPr>
        <w:tc>
          <w:tcPr>
            <w:tcW w:w="1190" w:type="dxa"/>
            <w:tcBorders>
              <w:top w:val="single" w:sz="12" w:space="0" w:color="008000"/>
              <w:bottom w:val="single" w:sz="6" w:space="0" w:color="008000"/>
            </w:tcBorders>
            <w:shd w:color="auto" w:fill="FFFFFF" w:val="clear"/>
            <w:vAlign w:val="center"/>
          </w:tcPr>
          <w:p>
            <w:pPr>
              <w:pStyle w:val="CETBodytext"/>
              <w:widowControl w:val="false"/>
              <w:jc w:val="center"/>
              <w:rPr>
                <w:lang w:val="en-GB"/>
              </w:rPr>
            </w:pPr>
            <w:r>
              <w:rPr>
                <w:rFonts w:eastAsia="Times New Roman" w:cs="Times New Roman"/>
                <w:color w:val="auto"/>
                <w:kern w:val="0"/>
                <w:sz w:val="18"/>
                <w:szCs w:val="20"/>
                <w:lang w:val="en-GB" w:eastAsia="en-US" w:bidi="ar-SA"/>
              </w:rPr>
              <w:t>Model system</w:t>
            </w:r>
          </w:p>
        </w:tc>
        <w:tc>
          <w:tcPr>
            <w:tcW w:w="1189" w:type="dxa"/>
            <w:tcBorders>
              <w:top w:val="single" w:sz="12" w:space="0" w:color="008000"/>
              <w:bottom w:val="single" w:sz="6" w:space="0" w:color="008000"/>
            </w:tcBorders>
            <w:shd w:color="auto" w:fill="FFFFFF" w:val="clear"/>
            <w:vAlign w:val="center"/>
          </w:tcPr>
          <w:p>
            <w:pPr>
              <w:pStyle w:val="CETBodytext"/>
              <w:widowControl w:val="false"/>
              <w:jc w:val="center"/>
              <w:rPr>
                <w:lang w:val="en-GB"/>
              </w:rPr>
            </w:pPr>
            <w:r>
              <w:rPr>
                <w:rFonts w:eastAsia="Times New Roman" w:cs="Times New Roman"/>
                <w:color w:val="auto"/>
                <w:kern w:val="0"/>
                <w:sz w:val="18"/>
                <w:szCs w:val="20"/>
                <w:lang w:val="en-GB" w:eastAsia="en-US" w:bidi="ar-SA"/>
              </w:rPr>
              <w:t>Label run</w:t>
            </w:r>
          </w:p>
        </w:tc>
        <w:tc>
          <w:tcPr>
            <w:tcW w:w="1191" w:type="dxa"/>
            <w:tcBorders>
              <w:top w:val="single" w:sz="12" w:space="0" w:color="008000"/>
              <w:bottom w:val="single" w:sz="6" w:space="0" w:color="008000"/>
            </w:tcBorders>
            <w:shd w:color="auto" w:fill="FFFFFF" w:val="clear"/>
            <w:vAlign w:val="center"/>
          </w:tcPr>
          <w:p>
            <w:pPr>
              <w:pStyle w:val="CETBodytext"/>
              <w:widowControl w:val="false"/>
              <w:ind w:hanging="0" w:right="-1"/>
              <w:jc w:val="center"/>
              <w:rPr>
                <w:rFonts w:cs="Arial"/>
                <w:szCs w:val="18"/>
                <w:lang w:val="en-GB"/>
              </w:rPr>
            </w:pPr>
            <w:r>
              <w:rPr>
                <w:rFonts w:cs="Arial"/>
                <w:szCs w:val="18"/>
                <w:lang w:val="en-GB"/>
              </w:rPr>
              <w:t>Max</w:t>
            </w:r>
          </w:p>
          <w:p>
            <w:pPr>
              <w:pStyle w:val="CETBodytext"/>
              <w:widowControl w:val="false"/>
              <w:ind w:hanging="0" w:right="-1"/>
              <w:jc w:val="center"/>
              <w:rPr>
                <w:rFonts w:cs="Arial"/>
                <w:szCs w:val="18"/>
                <w:lang w:val="en-GB"/>
              </w:rPr>
            </w:pPr>
            <w:r>
              <w:rPr>
                <w:rFonts w:cs="Arial"/>
                <w:szCs w:val="18"/>
                <w:lang w:val="en-GB"/>
              </w:rPr>
              <w:t>[uo</w:t>
            </w:r>
            <w:r>
              <w:rPr>
                <w:rFonts w:cs="Arial"/>
                <w:szCs w:val="18"/>
                <w:vertAlign w:val="subscript"/>
                <w:lang w:val="en-GB"/>
              </w:rPr>
              <w:t>E</w:t>
            </w:r>
            <w:r>
              <w:rPr>
                <w:rFonts w:cs="Arial"/>
                <w:szCs w:val="18"/>
                <w:lang w:val="en-GB"/>
              </w:rPr>
              <w:t>/m</w:t>
            </w:r>
            <w:r>
              <w:rPr>
                <w:rFonts w:cs="Arial"/>
                <w:szCs w:val="18"/>
                <w:vertAlign w:val="superscript"/>
                <w:lang w:val="en-GB"/>
              </w:rPr>
              <w:t>3</w:t>
            </w:r>
            <w:r>
              <w:rPr>
                <w:rFonts w:cs="Arial"/>
                <w:szCs w:val="18"/>
                <w:lang w:val="en-GB"/>
              </w:rPr>
              <w:t>]</w:t>
            </w:r>
          </w:p>
        </w:tc>
        <w:tc>
          <w:tcPr>
            <w:tcW w:w="1189" w:type="dxa"/>
            <w:tcBorders>
              <w:top w:val="single" w:sz="12" w:space="0" w:color="008000"/>
              <w:bottom w:val="single" w:sz="6" w:space="0" w:color="008000"/>
            </w:tcBorders>
            <w:shd w:color="auto" w:fill="FFFFFF" w:val="clear"/>
            <w:vAlign w:val="center"/>
          </w:tcPr>
          <w:p>
            <w:pPr>
              <w:pStyle w:val="CETBodytext"/>
              <w:widowControl w:val="false"/>
              <w:ind w:hanging="0" w:right="-1"/>
              <w:jc w:val="center"/>
              <w:rPr>
                <w:rFonts w:cs="Arial"/>
                <w:szCs w:val="18"/>
                <w:lang w:val="en-GB"/>
              </w:rPr>
            </w:pPr>
            <w:r>
              <w:rPr>
                <w:rFonts w:cs="Arial"/>
                <w:szCs w:val="18"/>
                <w:lang w:val="en-GB"/>
              </w:rPr>
              <w:t>98</w:t>
            </w:r>
            <w:r>
              <w:rPr>
                <w:rFonts w:cs="Arial"/>
                <w:szCs w:val="18"/>
                <w:vertAlign w:val="superscript"/>
                <w:lang w:val="en-GB"/>
              </w:rPr>
              <w:t>th</w:t>
            </w:r>
            <w:r>
              <w:rPr>
                <w:rFonts w:cs="Arial"/>
                <w:szCs w:val="18"/>
                <w:lang w:val="en-GB"/>
              </w:rPr>
              <w:t xml:space="preserve"> percentile</w:t>
            </w:r>
          </w:p>
          <w:p>
            <w:pPr>
              <w:pStyle w:val="CETBodytext"/>
              <w:widowControl w:val="false"/>
              <w:ind w:hanging="0" w:right="-1"/>
              <w:jc w:val="center"/>
              <w:rPr>
                <w:rFonts w:cs="Arial"/>
                <w:szCs w:val="18"/>
                <w:lang w:val="en-GB"/>
              </w:rPr>
            </w:pPr>
            <w:r>
              <w:rPr>
                <w:rFonts w:cs="Arial"/>
                <w:szCs w:val="18"/>
                <w:lang w:val="en-GB"/>
              </w:rPr>
              <w:t>[uo</w:t>
            </w:r>
            <w:r>
              <w:rPr>
                <w:rFonts w:cs="Arial"/>
                <w:szCs w:val="18"/>
                <w:vertAlign w:val="subscript"/>
                <w:lang w:val="en-GB"/>
              </w:rPr>
              <w:t>E</w:t>
            </w:r>
            <w:r>
              <w:rPr>
                <w:rFonts w:cs="Arial"/>
                <w:szCs w:val="18"/>
                <w:lang w:val="en-GB"/>
              </w:rPr>
              <w:t>/m</w:t>
            </w:r>
            <w:r>
              <w:rPr>
                <w:rFonts w:cs="Arial"/>
                <w:szCs w:val="18"/>
                <w:vertAlign w:val="superscript"/>
                <w:lang w:val="en-GB"/>
              </w:rPr>
              <w:t>3</w:t>
            </w:r>
            <w:r>
              <w:rPr>
                <w:rFonts w:cs="Arial"/>
                <w:szCs w:val="18"/>
                <w:lang w:val="en-GB"/>
              </w:rPr>
              <w:t>]</w:t>
            </w:r>
          </w:p>
        </w:tc>
        <w:tc>
          <w:tcPr>
            <w:tcW w:w="1191" w:type="dxa"/>
            <w:tcBorders>
              <w:top w:val="single" w:sz="12" w:space="0" w:color="008000"/>
              <w:bottom w:val="single" w:sz="6" w:space="0" w:color="008000"/>
            </w:tcBorders>
            <w:shd w:color="auto" w:fill="FFFFFF" w:val="clear"/>
            <w:vAlign w:val="center"/>
          </w:tcPr>
          <w:p>
            <w:pPr>
              <w:pStyle w:val="CETBodytext"/>
              <w:widowControl w:val="false"/>
              <w:ind w:hanging="0" w:right="-1"/>
              <w:jc w:val="center"/>
              <w:rPr>
                <w:rFonts w:cs="Arial"/>
                <w:szCs w:val="18"/>
                <w:lang w:val="en-GB"/>
              </w:rPr>
            </w:pPr>
            <w:r>
              <w:rPr>
                <w:rFonts w:cs="Arial"/>
                <w:szCs w:val="18"/>
                <w:lang w:val="en-GB"/>
              </w:rPr>
              <w:t>N. Exc. 1 h</w:t>
            </w:r>
          </w:p>
          <w:p>
            <w:pPr>
              <w:pStyle w:val="CETBodytext"/>
              <w:widowControl w:val="false"/>
              <w:ind w:hanging="0" w:right="-1"/>
              <w:jc w:val="center"/>
              <w:rPr>
                <w:rFonts w:cs="Arial"/>
                <w:szCs w:val="18"/>
                <w:lang w:val="en-GB"/>
              </w:rPr>
            </w:pPr>
            <w:r>
              <w:rPr>
                <w:rFonts w:cs="Arial"/>
                <w:szCs w:val="18"/>
                <w:lang w:val="en-GB"/>
              </w:rPr>
              <w:t>-</w:t>
            </w:r>
          </w:p>
        </w:tc>
        <w:tc>
          <w:tcPr>
            <w:tcW w:w="1189" w:type="dxa"/>
            <w:tcBorders>
              <w:top w:val="single" w:sz="12" w:space="0" w:color="008000"/>
              <w:bottom w:val="single" w:sz="6" w:space="0" w:color="008000"/>
            </w:tcBorders>
            <w:shd w:color="auto" w:fill="FFFFFF" w:val="clear"/>
            <w:vAlign w:val="center"/>
          </w:tcPr>
          <w:p>
            <w:pPr>
              <w:pStyle w:val="CETBodytext"/>
              <w:widowControl w:val="false"/>
              <w:ind w:hanging="0" w:right="-1"/>
              <w:jc w:val="center"/>
              <w:rPr>
                <w:rFonts w:cs="Arial"/>
                <w:szCs w:val="18"/>
                <w:lang w:val="en-GB"/>
              </w:rPr>
            </w:pPr>
            <w:r>
              <w:rPr>
                <w:rFonts w:cs="Arial"/>
                <w:szCs w:val="18"/>
                <w:lang w:val="en-GB"/>
              </w:rPr>
              <w:t>N. Episodes</w:t>
            </w:r>
          </w:p>
          <w:p>
            <w:pPr>
              <w:pStyle w:val="CETBodytext"/>
              <w:widowControl w:val="false"/>
              <w:ind w:hanging="0" w:right="-1"/>
              <w:jc w:val="center"/>
              <w:rPr>
                <w:rFonts w:cs="Arial"/>
                <w:szCs w:val="18"/>
                <w:lang w:val="en-GB"/>
              </w:rPr>
            </w:pPr>
            <w:r>
              <w:rPr>
                <w:rFonts w:cs="Arial"/>
                <w:szCs w:val="18"/>
                <w:lang w:val="en-GB"/>
              </w:rPr>
              <w:t>-</w:t>
            </w:r>
          </w:p>
        </w:tc>
        <w:tc>
          <w:tcPr>
            <w:tcW w:w="1190" w:type="dxa"/>
            <w:tcBorders>
              <w:top w:val="single" w:sz="12" w:space="0" w:color="008000"/>
              <w:bottom w:val="single" w:sz="6" w:space="0" w:color="008000"/>
            </w:tcBorders>
            <w:shd w:color="auto" w:fill="FFFFFF" w:val="clear"/>
            <w:vAlign w:val="center"/>
          </w:tcPr>
          <w:p>
            <w:pPr>
              <w:pStyle w:val="CETBodytext"/>
              <w:widowControl w:val="false"/>
              <w:ind w:hanging="0" w:right="-1"/>
              <w:jc w:val="center"/>
              <w:rPr>
                <w:rFonts w:cs="Arial"/>
                <w:szCs w:val="18"/>
                <w:lang w:val="en-GB"/>
              </w:rPr>
            </w:pPr>
            <w:r>
              <w:rPr>
                <w:rFonts w:eastAsia="Times New Roman" w:cs="Arial"/>
                <w:color w:val="auto"/>
                <w:kern w:val="0"/>
                <w:sz w:val="18"/>
                <w:szCs w:val="18"/>
                <w:lang w:val="en-GB" w:eastAsia="en-US" w:bidi="ar-SA"/>
              </w:rPr>
              <w:t xml:space="preserve">Max dur. </w:t>
            </w:r>
            <w:r>
              <w:rPr>
                <w:rFonts w:cs="Arial"/>
                <w:szCs w:val="18"/>
                <w:lang w:val="en-GB"/>
              </w:rPr>
              <w:t>Epis. [</w:t>
            </w:r>
            <w:r>
              <w:rPr>
                <w:rFonts w:eastAsia="Times New Roman" w:cs="Arial"/>
                <w:color w:val="auto"/>
                <w:kern w:val="0"/>
                <w:sz w:val="18"/>
                <w:szCs w:val="18"/>
                <w:lang w:val="en-GB" w:eastAsia="en-US" w:bidi="ar-SA"/>
              </w:rPr>
              <w:t>h]</w:t>
            </w:r>
          </w:p>
        </w:tc>
      </w:tr>
      <w:tr>
        <w:trPr/>
        <w:tc>
          <w:tcPr>
            <w:tcW w:w="1190" w:type="dxa"/>
            <w:tcBorders/>
            <w:shd w:color="auto" w:fill="FFFFFF" w:val="clear"/>
            <w:vAlign w:val="center"/>
          </w:tcPr>
          <w:p>
            <w:pPr>
              <w:pStyle w:val="CETBodytext"/>
              <w:widowControl w:val="false"/>
              <w:jc w:val="left"/>
              <w:rPr>
                <w:lang w:val="en-GB"/>
              </w:rPr>
            </w:pPr>
            <w:r>
              <w:rPr>
                <w:lang w:val="en-GB"/>
              </w:rPr>
              <w:t>CALPUFF</w:t>
            </w:r>
          </w:p>
        </w:tc>
        <w:tc>
          <w:tcPr>
            <w:tcW w:w="1189" w:type="dxa"/>
            <w:tcBorders/>
            <w:shd w:color="auto" w:fill="FFFFFF" w:val="clear"/>
          </w:tcPr>
          <w:p>
            <w:pPr>
              <w:pStyle w:val="Contenutotabella"/>
              <w:widowControl w:val="false"/>
              <w:jc w:val="left"/>
              <w:rPr/>
            </w:pPr>
            <w:r>
              <w:rPr/>
              <w:t>s_2.3</w:t>
            </w:r>
          </w:p>
        </w:tc>
        <w:tc>
          <w:tcPr>
            <w:tcW w:w="1191" w:type="dxa"/>
            <w:tcBorders/>
            <w:shd w:color="auto" w:fill="FFFFFF" w:val="clear"/>
          </w:tcPr>
          <w:p>
            <w:pPr>
              <w:pStyle w:val="Contenutotabella"/>
              <w:widowControl w:val="false"/>
              <w:jc w:val="center"/>
              <w:rPr/>
            </w:pPr>
            <w:r>
              <w:rPr/>
              <w:t>5.3</w:t>
            </w:r>
          </w:p>
        </w:tc>
        <w:tc>
          <w:tcPr>
            <w:tcW w:w="1189" w:type="dxa"/>
            <w:tcBorders/>
            <w:shd w:color="auto" w:fill="FFFFFF" w:val="clear"/>
          </w:tcPr>
          <w:p>
            <w:pPr>
              <w:pStyle w:val="Contenutotabella"/>
              <w:widowControl w:val="false"/>
              <w:jc w:val="center"/>
              <w:rPr/>
            </w:pPr>
            <w:r>
              <w:rPr/>
              <w:t>1.8</w:t>
            </w:r>
          </w:p>
        </w:tc>
        <w:tc>
          <w:tcPr>
            <w:tcW w:w="1191" w:type="dxa"/>
            <w:tcBorders/>
            <w:shd w:color="auto" w:fill="FFFFFF" w:val="clear"/>
          </w:tcPr>
          <w:p>
            <w:pPr>
              <w:pStyle w:val="Contenutotabella"/>
              <w:widowControl w:val="false"/>
              <w:jc w:val="center"/>
              <w:rPr/>
            </w:pPr>
            <w:r>
              <w:rPr/>
              <w:t>596</w:t>
            </w:r>
          </w:p>
        </w:tc>
        <w:tc>
          <w:tcPr>
            <w:tcW w:w="1189" w:type="dxa"/>
            <w:tcBorders/>
            <w:shd w:color="auto" w:fill="FFFFFF" w:val="clear"/>
          </w:tcPr>
          <w:p>
            <w:pPr>
              <w:pStyle w:val="Contenutotabella"/>
              <w:widowControl w:val="false"/>
              <w:jc w:val="center"/>
              <w:rPr/>
            </w:pPr>
            <w:r>
              <w:rPr/>
              <w:t>330</w:t>
            </w:r>
          </w:p>
        </w:tc>
        <w:tc>
          <w:tcPr>
            <w:tcW w:w="1190" w:type="dxa"/>
            <w:tcBorders/>
            <w:shd w:color="auto" w:fill="FFFFFF" w:val="clear"/>
          </w:tcPr>
          <w:p>
            <w:pPr>
              <w:pStyle w:val="Contenutotabella"/>
              <w:widowControl w:val="false"/>
              <w:jc w:val="center"/>
              <w:rPr/>
            </w:pPr>
            <w:r>
              <w:rPr/>
              <w:t>8</w:t>
            </w:r>
          </w:p>
        </w:tc>
      </w:tr>
      <w:tr>
        <w:trPr/>
        <w:tc>
          <w:tcPr>
            <w:tcW w:w="1190" w:type="dxa"/>
            <w:vMerge w:val="restart"/>
            <w:tcBorders>
              <w:bottom w:val="single" w:sz="12" w:space="0" w:color="008000"/>
            </w:tcBorders>
            <w:shd w:color="auto" w:fill="FFFFFF" w:val="clear"/>
            <w:vAlign w:val="center"/>
          </w:tcPr>
          <w:p>
            <w:pPr>
              <w:pStyle w:val="CETBodytext"/>
              <w:widowControl w:val="false"/>
              <w:jc w:val="left"/>
              <w:rPr>
                <w:lang w:val="en-GB"/>
              </w:rPr>
            </w:pPr>
            <w:r>
              <w:rPr>
                <w:lang w:val="en-GB"/>
              </w:rPr>
              <w:t>LAPMOD</w:t>
            </w:r>
          </w:p>
        </w:tc>
        <w:tc>
          <w:tcPr>
            <w:tcW w:w="1189" w:type="dxa"/>
            <w:tcBorders/>
            <w:shd w:color="auto" w:fill="FFFFFF" w:val="clear"/>
          </w:tcPr>
          <w:p>
            <w:pPr>
              <w:pStyle w:val="Contenutotabella"/>
              <w:widowControl w:val="false"/>
              <w:jc w:val="left"/>
              <w:rPr/>
            </w:pPr>
            <w:r>
              <w:rPr/>
              <w:t>s_avg_2.3</w:t>
            </w:r>
          </w:p>
        </w:tc>
        <w:tc>
          <w:tcPr>
            <w:tcW w:w="1191" w:type="dxa"/>
            <w:tcBorders/>
            <w:shd w:color="auto" w:fill="FFFFFF" w:val="clear"/>
          </w:tcPr>
          <w:p>
            <w:pPr>
              <w:pStyle w:val="Contenutotabella"/>
              <w:widowControl w:val="false"/>
              <w:jc w:val="center"/>
              <w:rPr/>
            </w:pPr>
            <w:r>
              <w:rPr/>
              <w:t>5.4</w:t>
            </w:r>
          </w:p>
        </w:tc>
        <w:tc>
          <w:tcPr>
            <w:tcW w:w="1189" w:type="dxa"/>
            <w:tcBorders/>
            <w:shd w:color="auto" w:fill="FFFFFF" w:val="clear"/>
          </w:tcPr>
          <w:p>
            <w:pPr>
              <w:pStyle w:val="Contenutotabella"/>
              <w:widowControl w:val="false"/>
              <w:jc w:val="center"/>
              <w:rPr/>
            </w:pPr>
            <w:r>
              <w:rPr/>
              <w:t>2.2</w:t>
            </w:r>
          </w:p>
        </w:tc>
        <w:tc>
          <w:tcPr>
            <w:tcW w:w="1191" w:type="dxa"/>
            <w:tcBorders/>
            <w:shd w:color="auto" w:fill="FFFFFF" w:val="clear"/>
          </w:tcPr>
          <w:p>
            <w:pPr>
              <w:pStyle w:val="Contenutotabella"/>
              <w:widowControl w:val="false"/>
              <w:jc w:val="center"/>
              <w:rPr/>
            </w:pPr>
            <w:r>
              <w:rPr/>
              <w:t>1663</w:t>
            </w:r>
          </w:p>
        </w:tc>
        <w:tc>
          <w:tcPr>
            <w:tcW w:w="1189" w:type="dxa"/>
            <w:tcBorders/>
            <w:shd w:color="auto" w:fill="FFFFFF" w:val="clear"/>
          </w:tcPr>
          <w:p>
            <w:pPr>
              <w:pStyle w:val="Contenutotabella"/>
              <w:widowControl w:val="false"/>
              <w:jc w:val="center"/>
              <w:rPr/>
            </w:pPr>
            <w:r>
              <w:rPr/>
              <w:t>811</w:t>
            </w:r>
          </w:p>
        </w:tc>
        <w:tc>
          <w:tcPr>
            <w:tcW w:w="1190" w:type="dxa"/>
            <w:tcBorders/>
            <w:shd w:color="auto" w:fill="FFFFFF" w:val="clear"/>
          </w:tcPr>
          <w:p>
            <w:pPr>
              <w:pStyle w:val="Contenutotabella"/>
              <w:widowControl w:val="false"/>
              <w:jc w:val="center"/>
              <w:rPr/>
            </w:pPr>
            <w:r>
              <w:rPr/>
              <w:t>11</w:t>
            </w:r>
          </w:p>
        </w:tc>
      </w:tr>
      <w:tr>
        <w:trPr/>
        <w:tc>
          <w:tcPr>
            <w:tcW w:w="1190" w:type="dxa"/>
            <w:vMerge w:val="continue"/>
            <w:tcBorders/>
            <w:shd w:color="auto" w:fill="FFFFFF" w:val="clear"/>
          </w:tcPr>
          <w:p>
            <w:pPr>
              <w:pStyle w:val="CETBodytext"/>
              <w:widowControl w:val="false"/>
              <w:rPr>
                <w:lang w:val="en-GB"/>
              </w:rPr>
            </w:pPr>
            <w:r>
              <w:rPr>
                <w:lang w:val="en-GB"/>
              </w:rPr>
            </w:r>
          </w:p>
        </w:tc>
        <w:tc>
          <w:tcPr>
            <w:tcW w:w="1189" w:type="dxa"/>
            <w:tcBorders/>
            <w:shd w:color="auto" w:fill="FFFFFF" w:val="clear"/>
          </w:tcPr>
          <w:p>
            <w:pPr>
              <w:pStyle w:val="Contenutotabella"/>
              <w:widowControl w:val="false"/>
              <w:jc w:val="left"/>
              <w:rPr/>
            </w:pPr>
            <w:r>
              <w:rPr/>
              <w:t>s_max_1.6</w:t>
            </w:r>
          </w:p>
        </w:tc>
        <w:tc>
          <w:tcPr>
            <w:tcW w:w="1191" w:type="dxa"/>
            <w:tcBorders/>
            <w:shd w:color="auto" w:fill="FFFFFF" w:val="clear"/>
          </w:tcPr>
          <w:p>
            <w:pPr>
              <w:pStyle w:val="Contenutotabella"/>
              <w:widowControl w:val="false"/>
              <w:jc w:val="center"/>
              <w:rPr/>
            </w:pPr>
            <w:r>
              <w:rPr/>
              <w:t>7.9</w:t>
            </w:r>
          </w:p>
        </w:tc>
        <w:tc>
          <w:tcPr>
            <w:tcW w:w="1189" w:type="dxa"/>
            <w:tcBorders/>
            <w:shd w:color="auto" w:fill="FFFFFF" w:val="clear"/>
          </w:tcPr>
          <w:p>
            <w:pPr>
              <w:pStyle w:val="Contenutotabella"/>
              <w:widowControl w:val="false"/>
              <w:jc w:val="center"/>
              <w:rPr/>
            </w:pPr>
            <w:r>
              <w:rPr/>
              <w:t>2.8</w:t>
            </w:r>
          </w:p>
        </w:tc>
        <w:tc>
          <w:tcPr>
            <w:tcW w:w="1191" w:type="dxa"/>
            <w:tcBorders/>
            <w:shd w:color="auto" w:fill="FFFFFF" w:val="clear"/>
          </w:tcPr>
          <w:p>
            <w:pPr>
              <w:pStyle w:val="Contenutotabella"/>
              <w:widowControl w:val="false"/>
              <w:jc w:val="center"/>
              <w:rPr/>
            </w:pPr>
            <w:r>
              <w:rPr/>
              <w:t>2074</w:t>
            </w:r>
          </w:p>
        </w:tc>
        <w:tc>
          <w:tcPr>
            <w:tcW w:w="1189" w:type="dxa"/>
            <w:tcBorders/>
            <w:shd w:color="auto" w:fill="FFFFFF" w:val="clear"/>
          </w:tcPr>
          <w:p>
            <w:pPr>
              <w:pStyle w:val="Contenutotabella"/>
              <w:widowControl w:val="false"/>
              <w:jc w:val="center"/>
              <w:rPr/>
            </w:pPr>
            <w:r>
              <w:rPr/>
              <w:t>949</w:t>
            </w:r>
          </w:p>
        </w:tc>
        <w:tc>
          <w:tcPr>
            <w:tcW w:w="1190" w:type="dxa"/>
            <w:tcBorders/>
            <w:shd w:color="auto" w:fill="FFFFFF" w:val="clear"/>
          </w:tcPr>
          <w:p>
            <w:pPr>
              <w:pStyle w:val="Contenutotabella"/>
              <w:widowControl w:val="false"/>
              <w:jc w:val="center"/>
              <w:rPr/>
            </w:pPr>
            <w:r>
              <w:rPr/>
              <w:t>14</w:t>
            </w:r>
          </w:p>
        </w:tc>
      </w:tr>
      <w:tr>
        <w:trPr/>
        <w:tc>
          <w:tcPr>
            <w:tcW w:w="1190" w:type="dxa"/>
            <w:vMerge w:val="continue"/>
            <w:tcBorders/>
            <w:shd w:color="auto" w:fill="FFFFFF" w:val="clear"/>
          </w:tcPr>
          <w:p>
            <w:pPr>
              <w:pStyle w:val="CETBodytext"/>
              <w:widowControl w:val="false"/>
              <w:rPr>
                <w:lang w:val="en-GB"/>
              </w:rPr>
            </w:pPr>
            <w:r>
              <w:rPr>
                <w:lang w:val="en-GB"/>
              </w:rPr>
            </w:r>
          </w:p>
        </w:tc>
        <w:tc>
          <w:tcPr>
            <w:tcW w:w="1189" w:type="dxa"/>
            <w:tcBorders/>
            <w:shd w:color="auto" w:fill="FFFFFF" w:val="clear"/>
          </w:tcPr>
          <w:p>
            <w:pPr>
              <w:pStyle w:val="Contenutotabella"/>
              <w:widowControl w:val="false"/>
              <w:jc w:val="left"/>
              <w:rPr/>
            </w:pPr>
            <w:r>
              <w:rPr/>
              <w:t>d_avg_5s</w:t>
            </w:r>
          </w:p>
        </w:tc>
        <w:tc>
          <w:tcPr>
            <w:tcW w:w="1191" w:type="dxa"/>
            <w:tcBorders/>
            <w:shd w:color="auto" w:fill="FFFFFF" w:val="clear"/>
          </w:tcPr>
          <w:p>
            <w:pPr>
              <w:pStyle w:val="Contenutotabella"/>
              <w:widowControl w:val="false"/>
              <w:jc w:val="center"/>
              <w:rPr/>
            </w:pPr>
            <w:r>
              <w:rPr/>
              <w:t>55.0</w:t>
            </w:r>
          </w:p>
        </w:tc>
        <w:tc>
          <w:tcPr>
            <w:tcW w:w="1189" w:type="dxa"/>
            <w:tcBorders/>
            <w:shd w:color="auto" w:fill="FFFFFF" w:val="clear"/>
          </w:tcPr>
          <w:p>
            <w:pPr>
              <w:pStyle w:val="Contenutotabella"/>
              <w:widowControl w:val="false"/>
              <w:jc w:val="center"/>
              <w:rPr/>
            </w:pPr>
            <w:r>
              <w:rPr/>
              <w:t>23.7</w:t>
            </w:r>
          </w:p>
        </w:tc>
        <w:tc>
          <w:tcPr>
            <w:tcW w:w="1191" w:type="dxa"/>
            <w:tcBorders/>
            <w:shd w:color="auto" w:fill="FFFFFF" w:val="clear"/>
          </w:tcPr>
          <w:p>
            <w:pPr>
              <w:pStyle w:val="Contenutotabella"/>
              <w:widowControl w:val="false"/>
              <w:jc w:val="center"/>
              <w:rPr/>
            </w:pPr>
            <w:r>
              <w:rPr/>
              <w:t>2480</w:t>
            </w:r>
          </w:p>
        </w:tc>
        <w:tc>
          <w:tcPr>
            <w:tcW w:w="1189" w:type="dxa"/>
            <w:tcBorders/>
            <w:shd w:color="auto" w:fill="FFFFFF" w:val="clear"/>
          </w:tcPr>
          <w:p>
            <w:pPr>
              <w:pStyle w:val="Contenutotabella"/>
              <w:widowControl w:val="false"/>
              <w:jc w:val="center"/>
              <w:rPr/>
            </w:pPr>
            <w:r>
              <w:rPr/>
              <w:t>585</w:t>
            </w:r>
          </w:p>
        </w:tc>
        <w:tc>
          <w:tcPr>
            <w:tcW w:w="1190" w:type="dxa"/>
            <w:tcBorders/>
            <w:shd w:color="auto" w:fill="FFFFFF" w:val="clear"/>
          </w:tcPr>
          <w:p>
            <w:pPr>
              <w:pStyle w:val="Contenutotabella"/>
              <w:widowControl w:val="false"/>
              <w:jc w:val="center"/>
              <w:rPr/>
            </w:pPr>
            <w:r>
              <w:rPr/>
              <w:t>17</w:t>
            </w:r>
          </w:p>
        </w:tc>
      </w:tr>
      <w:tr>
        <w:trPr/>
        <w:tc>
          <w:tcPr>
            <w:tcW w:w="1190" w:type="dxa"/>
            <w:vMerge w:val="continue"/>
            <w:tcBorders/>
            <w:shd w:color="auto" w:fill="FFFFFF" w:val="clear"/>
          </w:tcPr>
          <w:p>
            <w:pPr>
              <w:pStyle w:val="CETBodytext"/>
              <w:widowControl w:val="false"/>
              <w:rPr>
                <w:lang w:val="en-GB"/>
              </w:rPr>
            </w:pPr>
            <w:r>
              <w:rPr>
                <w:lang w:val="en-GB"/>
              </w:rPr>
            </w:r>
          </w:p>
        </w:tc>
        <w:tc>
          <w:tcPr>
            <w:tcW w:w="1189" w:type="dxa"/>
            <w:tcBorders/>
            <w:shd w:color="auto" w:fill="FFFFFF" w:val="clear"/>
          </w:tcPr>
          <w:p>
            <w:pPr>
              <w:pStyle w:val="Contenutotabella"/>
              <w:widowControl w:val="false"/>
              <w:jc w:val="left"/>
              <w:rPr/>
            </w:pPr>
            <w:r>
              <w:rPr/>
              <w:t>d_max_5s</w:t>
            </w:r>
          </w:p>
        </w:tc>
        <w:tc>
          <w:tcPr>
            <w:tcW w:w="1191" w:type="dxa"/>
            <w:tcBorders/>
            <w:shd w:color="auto" w:fill="FFFFFF" w:val="clear"/>
          </w:tcPr>
          <w:p>
            <w:pPr>
              <w:pStyle w:val="Contenutotabella"/>
              <w:widowControl w:val="false"/>
              <w:jc w:val="center"/>
              <w:rPr/>
            </w:pPr>
            <w:r>
              <w:rPr/>
              <w:t>45.5</w:t>
            </w:r>
          </w:p>
        </w:tc>
        <w:tc>
          <w:tcPr>
            <w:tcW w:w="1189" w:type="dxa"/>
            <w:tcBorders/>
            <w:shd w:color="auto" w:fill="FFFFFF" w:val="clear"/>
          </w:tcPr>
          <w:p>
            <w:pPr>
              <w:pStyle w:val="Contenutotabella"/>
              <w:widowControl w:val="false"/>
              <w:jc w:val="center"/>
              <w:rPr/>
            </w:pPr>
            <w:r>
              <w:rPr/>
              <w:t>12.9</w:t>
            </w:r>
          </w:p>
        </w:tc>
        <w:tc>
          <w:tcPr>
            <w:tcW w:w="1191" w:type="dxa"/>
            <w:tcBorders/>
            <w:shd w:color="auto" w:fill="FFFFFF" w:val="clear"/>
          </w:tcPr>
          <w:p>
            <w:pPr>
              <w:pStyle w:val="Contenutotabella"/>
              <w:widowControl w:val="false"/>
              <w:jc w:val="center"/>
              <w:rPr/>
            </w:pPr>
            <w:r>
              <w:rPr/>
              <w:t>2885</w:t>
            </w:r>
          </w:p>
        </w:tc>
        <w:tc>
          <w:tcPr>
            <w:tcW w:w="1189" w:type="dxa"/>
            <w:tcBorders/>
            <w:shd w:color="auto" w:fill="FFFFFF" w:val="clear"/>
          </w:tcPr>
          <w:p>
            <w:pPr>
              <w:pStyle w:val="Contenutotabella"/>
              <w:widowControl w:val="false"/>
              <w:jc w:val="center"/>
              <w:rPr/>
            </w:pPr>
            <w:r>
              <w:rPr/>
              <w:t>898</w:t>
            </w:r>
          </w:p>
        </w:tc>
        <w:tc>
          <w:tcPr>
            <w:tcW w:w="1190" w:type="dxa"/>
            <w:tcBorders/>
            <w:shd w:color="auto" w:fill="FFFFFF" w:val="clear"/>
          </w:tcPr>
          <w:p>
            <w:pPr>
              <w:pStyle w:val="Contenutotabella"/>
              <w:widowControl w:val="false"/>
              <w:jc w:val="center"/>
              <w:rPr/>
            </w:pPr>
            <w:r>
              <w:rPr/>
              <w:t>17</w:t>
            </w:r>
          </w:p>
        </w:tc>
      </w:tr>
      <w:tr>
        <w:trPr/>
        <w:tc>
          <w:tcPr>
            <w:tcW w:w="1190" w:type="dxa"/>
            <w:vMerge w:val="continue"/>
            <w:tcBorders/>
            <w:shd w:color="auto" w:fill="FFFFFF" w:val="clear"/>
          </w:tcPr>
          <w:p>
            <w:pPr>
              <w:pStyle w:val="CETBodytext"/>
              <w:widowControl w:val="false"/>
              <w:rPr>
                <w:lang w:val="en-GB"/>
              </w:rPr>
            </w:pPr>
            <w:r>
              <w:rPr>
                <w:lang w:val="en-GB"/>
              </w:rPr>
            </w:r>
          </w:p>
        </w:tc>
        <w:tc>
          <w:tcPr>
            <w:tcW w:w="1189" w:type="dxa"/>
            <w:tcBorders/>
            <w:shd w:color="auto" w:fill="FFFFFF" w:val="clear"/>
          </w:tcPr>
          <w:p>
            <w:pPr>
              <w:pStyle w:val="Contenutotabella"/>
              <w:widowControl w:val="false"/>
              <w:jc w:val="left"/>
              <w:rPr/>
            </w:pPr>
            <w:r>
              <w:rPr/>
              <w:t>d_avg_60s</w:t>
            </w:r>
          </w:p>
        </w:tc>
        <w:tc>
          <w:tcPr>
            <w:tcW w:w="1191" w:type="dxa"/>
            <w:tcBorders/>
            <w:shd w:color="auto" w:fill="FFFFFF" w:val="clear"/>
          </w:tcPr>
          <w:p>
            <w:pPr>
              <w:pStyle w:val="Contenutotabella"/>
              <w:widowControl w:val="false"/>
              <w:jc w:val="center"/>
              <w:rPr/>
            </w:pPr>
            <w:r>
              <w:rPr/>
              <w:t>11.0</w:t>
            </w:r>
          </w:p>
        </w:tc>
        <w:tc>
          <w:tcPr>
            <w:tcW w:w="1189" w:type="dxa"/>
            <w:tcBorders/>
            <w:shd w:color="auto" w:fill="FFFFFF" w:val="clear"/>
          </w:tcPr>
          <w:p>
            <w:pPr>
              <w:pStyle w:val="Contenutotabella"/>
              <w:widowControl w:val="false"/>
              <w:jc w:val="center"/>
              <w:rPr/>
            </w:pPr>
            <w:r>
              <w:rPr/>
              <w:t>5.3</w:t>
            </w:r>
          </w:p>
        </w:tc>
        <w:tc>
          <w:tcPr>
            <w:tcW w:w="1191" w:type="dxa"/>
            <w:tcBorders/>
            <w:shd w:color="auto" w:fill="FFFFFF" w:val="clear"/>
          </w:tcPr>
          <w:p>
            <w:pPr>
              <w:pStyle w:val="Contenutotabella"/>
              <w:widowControl w:val="false"/>
              <w:jc w:val="center"/>
              <w:rPr/>
            </w:pPr>
            <w:r>
              <w:rPr/>
              <w:t>1611</w:t>
            </w:r>
          </w:p>
        </w:tc>
        <w:tc>
          <w:tcPr>
            <w:tcW w:w="1189" w:type="dxa"/>
            <w:tcBorders/>
            <w:shd w:color="auto" w:fill="FFFFFF" w:val="clear"/>
          </w:tcPr>
          <w:p>
            <w:pPr>
              <w:pStyle w:val="Contenutotabella"/>
              <w:widowControl w:val="false"/>
              <w:jc w:val="center"/>
              <w:rPr/>
            </w:pPr>
            <w:r>
              <w:rPr/>
              <w:t>570</w:t>
            </w:r>
          </w:p>
        </w:tc>
        <w:tc>
          <w:tcPr>
            <w:tcW w:w="1190" w:type="dxa"/>
            <w:tcBorders/>
            <w:shd w:color="auto" w:fill="FFFFFF" w:val="clear"/>
          </w:tcPr>
          <w:p>
            <w:pPr>
              <w:pStyle w:val="Contenutotabella"/>
              <w:widowControl w:val="false"/>
              <w:jc w:val="center"/>
              <w:rPr/>
            </w:pPr>
            <w:r>
              <w:rPr/>
              <w:t>12</w:t>
            </w:r>
          </w:p>
        </w:tc>
      </w:tr>
      <w:tr>
        <w:trPr/>
        <w:tc>
          <w:tcPr>
            <w:tcW w:w="1190" w:type="dxa"/>
            <w:vMerge w:val="continue"/>
            <w:tcBorders>
              <w:bottom w:val="single" w:sz="12" w:space="0" w:color="008000"/>
            </w:tcBorders>
            <w:shd w:color="auto" w:fill="FFFFFF" w:val="clear"/>
          </w:tcPr>
          <w:p>
            <w:pPr>
              <w:pStyle w:val="CETBodytext"/>
              <w:widowControl w:val="false"/>
              <w:rPr>
                <w:lang w:val="en-GB"/>
              </w:rPr>
            </w:pPr>
            <w:r>
              <w:rPr>
                <w:lang w:val="en-GB"/>
              </w:rPr>
            </w:r>
          </w:p>
        </w:tc>
        <w:tc>
          <w:tcPr>
            <w:tcW w:w="1189" w:type="dxa"/>
            <w:tcBorders>
              <w:bottom w:val="single" w:sz="12" w:space="0" w:color="008000"/>
            </w:tcBorders>
            <w:shd w:color="auto" w:fill="FFFFFF" w:val="clear"/>
          </w:tcPr>
          <w:p>
            <w:pPr>
              <w:pStyle w:val="Contenutotabella"/>
              <w:widowControl w:val="false"/>
              <w:jc w:val="left"/>
              <w:rPr/>
            </w:pPr>
            <w:r>
              <w:rPr/>
              <w:t>d_max_60s</w:t>
            </w:r>
          </w:p>
        </w:tc>
        <w:tc>
          <w:tcPr>
            <w:tcW w:w="1191" w:type="dxa"/>
            <w:tcBorders>
              <w:bottom w:val="single" w:sz="12" w:space="0" w:color="008000"/>
            </w:tcBorders>
            <w:shd w:color="auto" w:fill="FFFFFF" w:val="clear"/>
          </w:tcPr>
          <w:p>
            <w:pPr>
              <w:pStyle w:val="Contenutotabella"/>
              <w:widowControl w:val="false"/>
              <w:jc w:val="center"/>
              <w:rPr/>
            </w:pPr>
            <w:r>
              <w:rPr/>
              <w:t>9.2</w:t>
            </w:r>
          </w:p>
        </w:tc>
        <w:tc>
          <w:tcPr>
            <w:tcW w:w="1189" w:type="dxa"/>
            <w:tcBorders>
              <w:bottom w:val="single" w:sz="12" w:space="0" w:color="008000"/>
            </w:tcBorders>
            <w:shd w:color="auto" w:fill="FFFFFF" w:val="clear"/>
          </w:tcPr>
          <w:p>
            <w:pPr>
              <w:pStyle w:val="Contenutotabella"/>
              <w:widowControl w:val="false"/>
              <w:jc w:val="center"/>
              <w:rPr/>
            </w:pPr>
            <w:r>
              <w:rPr/>
              <w:t>3.2</w:t>
            </w:r>
          </w:p>
        </w:tc>
        <w:tc>
          <w:tcPr>
            <w:tcW w:w="1191" w:type="dxa"/>
            <w:tcBorders>
              <w:bottom w:val="single" w:sz="12" w:space="0" w:color="008000"/>
            </w:tcBorders>
            <w:shd w:color="auto" w:fill="FFFFFF" w:val="clear"/>
          </w:tcPr>
          <w:p>
            <w:pPr>
              <w:pStyle w:val="Contenutotabella"/>
              <w:widowControl w:val="false"/>
              <w:jc w:val="center"/>
              <w:rPr/>
            </w:pPr>
            <w:r>
              <w:rPr/>
              <w:t>1940</w:t>
            </w:r>
          </w:p>
        </w:tc>
        <w:tc>
          <w:tcPr>
            <w:tcW w:w="1189" w:type="dxa"/>
            <w:tcBorders>
              <w:bottom w:val="single" w:sz="12" w:space="0" w:color="008000"/>
            </w:tcBorders>
            <w:shd w:color="auto" w:fill="FFFFFF" w:val="clear"/>
          </w:tcPr>
          <w:p>
            <w:pPr>
              <w:pStyle w:val="Contenutotabella"/>
              <w:widowControl w:val="false"/>
              <w:jc w:val="center"/>
              <w:rPr/>
            </w:pPr>
            <w:r>
              <w:rPr/>
              <w:t>862</w:t>
            </w:r>
          </w:p>
        </w:tc>
        <w:tc>
          <w:tcPr>
            <w:tcW w:w="1190" w:type="dxa"/>
            <w:tcBorders>
              <w:bottom w:val="single" w:sz="12" w:space="0" w:color="008000"/>
            </w:tcBorders>
            <w:shd w:color="auto" w:fill="FFFFFF" w:val="clear"/>
          </w:tcPr>
          <w:p>
            <w:pPr>
              <w:pStyle w:val="Contenutotabella"/>
              <w:widowControl w:val="false"/>
              <w:jc w:val="center"/>
              <w:rPr/>
            </w:pPr>
            <w:r>
              <w:rPr/>
              <w:t>14</w:t>
            </w:r>
          </w:p>
        </w:tc>
      </w:tr>
    </w:tbl>
    <w:p>
      <w:pPr>
        <w:pStyle w:val="CETBodytext"/>
        <w:rPr>
          <w:lang w:val="en-GB"/>
        </w:rPr>
      </w:pPr>
      <w:r>
        <w:rPr>
          <w:lang w:val="en-GB"/>
        </w:rPr>
      </w:r>
    </w:p>
    <w:p>
      <w:pPr>
        <w:pStyle w:val="Normal"/>
        <w:rPr>
          <w:lang w:val="en-GB"/>
        </w:rPr>
      </w:pPr>
      <w:r>
        <w:rPr>
          <w:rFonts w:eastAsia="Times New Roman" w:cs="Times New Roman"/>
          <w:color w:val="auto"/>
          <w:kern w:val="0"/>
          <w:sz w:val="18"/>
          <w:szCs w:val="20"/>
          <w:lang w:val="en-GB" w:eastAsia="en-US" w:bidi="ar-SA"/>
        </w:rPr>
        <w:t>In</w:t>
      </w:r>
      <w:r>
        <w:rPr>
          <w:lang w:val="en-GB"/>
        </w:rPr>
        <w:t xml:space="preserve"> the upper panel of Figure 2 it is evident </w:t>
      </w:r>
      <w:r>
        <w:rPr>
          <w:rFonts w:eastAsia="Times New Roman" w:cs="Times New Roman"/>
          <w:color w:val="auto"/>
          <w:kern w:val="0"/>
          <w:sz w:val="18"/>
          <w:szCs w:val="20"/>
          <w:lang w:val="en-GB" w:eastAsia="en-US" w:bidi="ar-SA"/>
        </w:rPr>
        <w:t>how</w:t>
      </w:r>
      <w:r>
        <w:rPr>
          <w:lang w:val="en-GB"/>
        </w:rPr>
        <w:t xml:space="preserve"> LAPMOD configurations </w:t>
      </w:r>
      <w:r>
        <w:rPr>
          <w:rFonts w:eastAsia="Times New Roman" w:cs="Times New Roman"/>
          <w:color w:val="auto"/>
          <w:kern w:val="0"/>
          <w:sz w:val="18"/>
          <w:szCs w:val="20"/>
          <w:lang w:val="en-GB" w:eastAsia="en-US" w:bidi="ar-SA"/>
        </w:rPr>
        <w:t>with</w:t>
      </w:r>
      <w:r>
        <w:rPr>
          <w:lang w:val="en-GB"/>
        </w:rPr>
        <w:t xml:space="preserve"> dynamic PMR ("d_avg_5s" and "d_avg_60s"), estimated higher values of the 98</w:t>
      </w:r>
      <w:r>
        <w:rPr>
          <w:vertAlign w:val="superscript"/>
          <w:lang w:val="en-GB"/>
        </w:rPr>
        <w:t>th</w:t>
      </w:r>
      <w:r>
        <w:rPr>
          <w:lang w:val="en-GB"/>
        </w:rPr>
        <w:t xml:space="preserve"> percentile of peak odour concentrations at discrete receptors in the near-field </w:t>
      </w:r>
      <w:r>
        <w:rPr>
          <w:shd w:fill="auto" w:val="clear"/>
          <w:lang w:val="en-GB"/>
        </w:rPr>
        <w:t>(at transport distance up to 400-800 m)</w:t>
      </w:r>
      <w:r>
        <w:rPr>
          <w:lang w:val="en-GB"/>
        </w:rPr>
        <w:t xml:space="preserve"> compared to static PMR ("s_avg_2.3"). This  </w:t>
      </w:r>
      <w:r>
        <w:rPr>
          <w:rFonts w:eastAsia="Times New Roman" w:cs="Times New Roman"/>
          <w:color w:val="auto"/>
          <w:kern w:val="0"/>
          <w:sz w:val="18"/>
          <w:szCs w:val="20"/>
          <w:lang w:val="en-GB" w:eastAsia="en-US" w:bidi="ar-SA"/>
        </w:rPr>
        <w:t>difference</w:t>
      </w:r>
      <w:r>
        <w:rPr>
          <w:lang w:val="en-GB"/>
        </w:rPr>
        <w:t xml:space="preserve"> amounted </w:t>
      </w:r>
      <w:r>
        <w:rPr>
          <w:rFonts w:eastAsia="Times New Roman" w:cs="Times New Roman"/>
          <w:color w:val="auto"/>
          <w:kern w:val="0"/>
          <w:sz w:val="18"/>
          <w:szCs w:val="20"/>
          <w:lang w:val="en-GB" w:eastAsia="en-US" w:bidi="ar-SA"/>
        </w:rPr>
        <w:t>of</w:t>
      </w:r>
      <w:r>
        <w:rPr>
          <w:lang w:val="en-GB"/>
        </w:rPr>
        <w:t xml:space="preserve"> an order of magnitude (Table 1). This trend reverses in the far-field where static PMR revealed higher peak odour concentrations than dynamic </w:t>
      </w:r>
      <w:r>
        <w:rPr>
          <w:rFonts w:eastAsia="Times New Roman" w:cs="Times New Roman"/>
          <w:color w:val="auto"/>
          <w:kern w:val="0"/>
          <w:sz w:val="18"/>
          <w:szCs w:val="20"/>
          <w:lang w:val="en-GB" w:eastAsia="en-US" w:bidi="ar-SA"/>
        </w:rPr>
        <w:t>PMR</w:t>
      </w:r>
      <w:r>
        <w:rPr>
          <w:lang w:val="en-GB"/>
        </w:rPr>
        <w:t xml:space="preserve">, although the discrepancy was somehow negligible. </w:t>
      </w:r>
      <w:r>
        <w:rPr>
          <w:rFonts w:eastAsia="Times New Roman" w:cs="Times New Roman"/>
          <w:color w:val="000000"/>
          <w:kern w:val="0"/>
          <w:sz w:val="18"/>
          <w:szCs w:val="20"/>
          <w:shd w:fill="auto" w:val="clear"/>
          <w:lang w:val="en-GB" w:eastAsia="en-US" w:bidi="ar-SA"/>
        </w:rPr>
        <w:t>T</w:t>
      </w:r>
      <w:r>
        <w:rPr>
          <w:shd w:fill="auto" w:val="clear"/>
          <w:lang w:val="en-GB"/>
        </w:rPr>
        <w:t xml:space="preserve">he lower panel of Figure 2 illustrates how LAPMOD configurations </w:t>
      </w:r>
      <w:r>
        <w:rPr>
          <w:rFonts w:eastAsia="Times New Roman" w:cs="Times New Roman"/>
          <w:color w:val="000000"/>
          <w:kern w:val="0"/>
          <w:sz w:val="18"/>
          <w:szCs w:val="20"/>
          <w:shd w:fill="auto" w:val="clear"/>
          <w:lang w:val="en-GB" w:eastAsia="en-US" w:bidi="ar-SA"/>
        </w:rPr>
        <w:t xml:space="preserve">“s_max_1.6”, “d_max_5s”, “d_max_60s”, </w:t>
      </w:r>
      <w:r>
        <w:rPr>
          <w:shd w:fill="auto" w:val="clear"/>
          <w:lang w:val="en-GB"/>
        </w:rPr>
        <w:t>with maximum value of odour concentrations from sub-hourly samples,</w:t>
      </w:r>
      <w:r>
        <w:rPr>
          <w:rFonts w:eastAsia="Times New Roman" w:cs="Times New Roman"/>
          <w:color w:val="000000"/>
          <w:kern w:val="0"/>
          <w:sz w:val="18"/>
          <w:szCs w:val="20"/>
          <w:shd w:fill="auto" w:val="clear"/>
          <w:lang w:val="en-GB" w:eastAsia="en-US" w:bidi="ar-SA"/>
        </w:rPr>
        <w:t xml:space="preserve"> </w:t>
      </w:r>
      <w:r>
        <w:rPr>
          <w:shd w:fill="auto" w:val="clear"/>
          <w:lang w:val="en-GB"/>
        </w:rPr>
        <w:t xml:space="preserve">showed a similar pattern but with a shift of about 200 meters </w:t>
      </w:r>
      <w:r>
        <w:rPr>
          <w:rFonts w:eastAsia="Times New Roman" w:cs="Times New Roman"/>
          <w:color w:val="000000"/>
          <w:kern w:val="0"/>
          <w:sz w:val="18"/>
          <w:szCs w:val="20"/>
          <w:shd w:fill="auto" w:val="clear"/>
          <w:lang w:val="en-GB" w:eastAsia="en-US" w:bidi="ar-SA"/>
        </w:rPr>
        <w:t>towards</w:t>
      </w:r>
      <w:r>
        <w:rPr>
          <w:shd w:fill="auto" w:val="clear"/>
          <w:lang w:val="en-GB"/>
        </w:rPr>
        <w:t xml:space="preserve"> the emitting source. </w:t>
      </w:r>
    </w:p>
    <w:p>
      <w:pPr>
        <w:pStyle w:val="Normal"/>
        <w:rPr>
          <w:lang w:val="en-GB"/>
        </w:rPr>
      </w:pPr>
      <w:r>
        <w:rPr>
          <w:shd w:fill="auto" w:val="clear"/>
          <w:lang w:val="en-GB"/>
        </w:rPr>
        <w:t xml:space="preserve">The separation distance can be </w:t>
      </w:r>
      <w:r>
        <w:rPr>
          <w:rFonts w:eastAsia="Times New Roman" w:cs="Times New Roman"/>
          <w:color w:val="000000"/>
          <w:kern w:val="0"/>
          <w:sz w:val="18"/>
          <w:szCs w:val="20"/>
          <w:shd w:fill="auto" w:val="clear"/>
          <w:lang w:val="en-GB" w:eastAsia="en-US" w:bidi="ar-SA"/>
        </w:rPr>
        <w:t xml:space="preserve">described </w:t>
      </w:r>
      <w:r>
        <w:rPr>
          <w:shd w:fill="auto" w:val="clear"/>
          <w:lang w:val="en-GB"/>
        </w:rPr>
        <w:t xml:space="preserve">as </w:t>
      </w:r>
      <w:r>
        <w:rPr>
          <w:rFonts w:eastAsia="Times New Roman" w:cs="Times New Roman"/>
          <w:color w:val="000000"/>
          <w:kern w:val="0"/>
          <w:sz w:val="18"/>
          <w:szCs w:val="20"/>
          <w:shd w:fill="auto" w:val="clear"/>
          <w:lang w:val="en-GB" w:eastAsia="en-US" w:bidi="ar-SA"/>
        </w:rPr>
        <w:t>the</w:t>
      </w:r>
      <w:r>
        <w:rPr>
          <w:shd w:fill="auto" w:val="clear"/>
          <w:lang w:val="en-GB"/>
        </w:rPr>
        <w:t xml:space="preserve"> direction-dependent measure originating from the source and </w:t>
      </w:r>
      <w:r>
        <w:rPr>
          <w:rFonts w:eastAsia="Times New Roman" w:cs="Times New Roman"/>
          <w:color w:val="000000"/>
          <w:kern w:val="0"/>
          <w:sz w:val="18"/>
          <w:szCs w:val="20"/>
          <w:shd w:fill="auto" w:val="clear"/>
          <w:lang w:val="en-GB" w:eastAsia="en-US" w:bidi="ar-SA"/>
        </w:rPr>
        <w:t xml:space="preserve">delineating </w:t>
      </w:r>
      <w:r>
        <w:rPr>
          <w:shd w:fill="auto" w:val="clear"/>
          <w:lang w:val="en-GB"/>
        </w:rPr>
        <w:t xml:space="preserve">the area of the domain within which odour impact is expected to be constrained </w:t>
      </w:r>
      <w:r>
        <w:rPr>
          <w:rFonts w:eastAsia="Times New Roman" w:cs="Times New Roman"/>
          <w:color w:val="000000"/>
          <w:kern w:val="0"/>
          <w:sz w:val="18"/>
          <w:szCs w:val="20"/>
          <w:shd w:fill="auto" w:val="clear"/>
          <w:lang w:val="en-GB" w:eastAsia="en-US" w:bidi="ar-SA"/>
        </w:rPr>
        <w:t>at</w:t>
      </w:r>
      <w:r>
        <w:rPr>
          <w:shd w:fill="auto" w:val="clear"/>
          <w:lang w:val="en-GB"/>
        </w:rPr>
        <w:t xml:space="preserve"> a </w:t>
      </w:r>
      <w:r>
        <w:rPr>
          <w:rFonts w:eastAsia="Times New Roman" w:cs="Times New Roman"/>
          <w:color w:val="000000"/>
          <w:kern w:val="0"/>
          <w:sz w:val="18"/>
          <w:szCs w:val="20"/>
          <w:shd w:fill="auto" w:val="clear"/>
          <w:lang w:val="en-GB" w:eastAsia="en-US" w:bidi="ar-SA"/>
        </w:rPr>
        <w:t>given</w:t>
      </w:r>
      <w:r>
        <w:rPr>
          <w:shd w:fill="auto" w:val="clear"/>
          <w:lang w:val="en-GB"/>
        </w:rPr>
        <w:t xml:space="preserve"> level of protection (Piringer et al., 2015, Brancher et al., 2019).</w:t>
      </w:r>
    </w:p>
    <w:p>
      <w:pPr>
        <w:pStyle w:val="Normal"/>
        <w:rPr>
          <w:lang w:val="en-GB"/>
        </w:rPr>
      </w:pPr>
      <w:r>
        <w:rPr>
          <w:lang w:val="en-GB"/>
        </w:rPr>
        <w:t xml:space="preserve">The separation distances for LAPMOD configurations in Figure 3 were determined </w:t>
      </w:r>
      <w:r>
        <w:rPr>
          <w:rFonts w:eastAsia="Times New Roman" w:cs="Times New Roman"/>
          <w:color w:val="auto"/>
          <w:kern w:val="0"/>
          <w:sz w:val="18"/>
          <w:szCs w:val="20"/>
          <w:lang w:val="en-GB" w:eastAsia="en-US" w:bidi="ar-SA"/>
        </w:rPr>
        <w:t xml:space="preserve">upon </w:t>
      </w:r>
      <w:r>
        <w:rPr>
          <w:lang w:val="en-GB"/>
        </w:rPr>
        <w:t>the 98</w:t>
      </w:r>
      <w:r>
        <w:rPr>
          <w:vertAlign w:val="superscript"/>
          <w:lang w:val="en-GB"/>
        </w:rPr>
        <w:t>th</w:t>
      </w:r>
      <w:r>
        <w:rPr>
          <w:lang w:val="en-GB"/>
        </w:rPr>
        <w:t xml:space="preserve"> percentile of peak odour concentrations for transport directions with angles set in increments of 1° N. Focusing on the protection level of 1 uo</w:t>
      </w:r>
      <w:r>
        <w:rPr>
          <w:vertAlign w:val="subscript"/>
          <w:lang w:val="en-GB"/>
        </w:rPr>
        <w:t>E</w:t>
      </w:r>
      <w:r>
        <w:rPr>
          <w:lang w:val="en-GB"/>
        </w:rPr>
        <w:t>/m</w:t>
      </w:r>
      <w:r>
        <w:rPr>
          <w:vertAlign w:val="superscript"/>
          <w:lang w:val="en-GB"/>
        </w:rPr>
        <w:t>3</w:t>
      </w:r>
      <w:r>
        <w:rPr>
          <w:lang w:val="en-GB"/>
        </w:rPr>
        <w:t>, the upper left panel of Figure 3 shows how the configuration "d_avg_5s" achieved the maximum separation distance, re</w:t>
      </w:r>
      <w:r>
        <w:rPr>
          <w:shd w:fill="auto" w:val="clear"/>
          <w:lang w:val="en-GB"/>
        </w:rPr>
        <w:t xml:space="preserve">aching up 650 m </w:t>
      </w:r>
      <w:r>
        <w:rPr>
          <w:rFonts w:eastAsia="Times New Roman" w:cs="Times New Roman"/>
          <w:color w:val="000000"/>
          <w:kern w:val="0"/>
          <w:sz w:val="18"/>
          <w:szCs w:val="20"/>
          <w:shd w:fill="auto" w:val="clear"/>
          <w:lang w:val="en-GB" w:eastAsia="en-US" w:bidi="ar-SA"/>
        </w:rPr>
        <w:t>in</w:t>
      </w:r>
      <w:r>
        <w:rPr>
          <w:shd w:fill="auto" w:val="clear"/>
          <w:lang w:val="en-GB"/>
        </w:rPr>
        <w:t xml:space="preserve"> the transpor</w:t>
      </w:r>
      <w:r>
        <w:rPr>
          <w:lang w:val="en-GB"/>
        </w:rPr>
        <w:t xml:space="preserve">t direction 225 °N (along the downwind transect of discrete receptors). </w:t>
      </w:r>
      <w:r>
        <w:rPr>
          <w:rFonts w:eastAsia="Times New Roman" w:cs="Times New Roman"/>
          <w:color w:val="auto"/>
          <w:kern w:val="0"/>
          <w:sz w:val="18"/>
          <w:szCs w:val="20"/>
          <w:lang w:val="en-GB" w:eastAsia="en-US" w:bidi="ar-SA"/>
        </w:rPr>
        <w:t>T</w:t>
      </w:r>
      <w:r>
        <w:rPr>
          <w:lang w:val="en-GB"/>
        </w:rPr>
        <w:t>he LAPMOD configurations "s_avg_2.3" and “d_avg_60s” respectively estimated lower separation distances but with a pattern dependent on the transport direction</w:t>
      </w:r>
      <w:r>
        <w:rPr>
          <w:shd w:fill="auto" w:val="clear"/>
          <w:lang w:val="en-GB"/>
        </w:rPr>
        <w:t xml:space="preserve">: "d_avg_60s" showed higher </w:t>
      </w:r>
      <w:r>
        <w:rPr>
          <w:rFonts w:eastAsia="Times New Roman" w:cs="Times New Roman"/>
          <w:color w:val="000000"/>
          <w:kern w:val="0"/>
          <w:sz w:val="18"/>
          <w:szCs w:val="20"/>
          <w:shd w:fill="auto" w:val="clear"/>
          <w:lang w:val="en-GB" w:eastAsia="en-US" w:bidi="ar-SA"/>
        </w:rPr>
        <w:t>value</w:t>
      </w:r>
      <w:r>
        <w:rPr>
          <w:shd w:fill="auto" w:val="clear"/>
          <w:lang w:val="en-GB"/>
        </w:rPr>
        <w:t xml:space="preserve">s than "s_avg_2.3" at </w:t>
      </w:r>
      <w:r>
        <w:rPr>
          <w:rFonts w:eastAsia="Times New Roman" w:cs="Times New Roman"/>
          <w:color w:val="000000"/>
          <w:kern w:val="0"/>
          <w:sz w:val="18"/>
          <w:szCs w:val="20"/>
          <w:shd w:fill="auto" w:val="clear"/>
          <w:lang w:val="en-GB" w:eastAsia="en-US" w:bidi="ar-SA"/>
        </w:rPr>
        <w:t>angles</w:t>
      </w:r>
      <w:r>
        <w:rPr>
          <w:shd w:fill="auto" w:val="clear"/>
          <w:lang w:val="en-GB"/>
        </w:rPr>
        <w:t xml:space="preserve"> lower than 90 °N or greater than 250 °N. </w:t>
      </w:r>
    </w:p>
    <w:p>
      <w:pPr>
        <w:pStyle w:val="Normal"/>
        <w:rPr>
          <w:lang w:val="en-GB"/>
        </w:rPr>
      </w:pPr>
      <w:r>
        <w:rPr>
          <w:rFonts w:eastAsia="Times New Roman" w:cs="Times New Roman"/>
          <w:color w:val="000000"/>
          <w:kern w:val="0"/>
          <w:sz w:val="18"/>
          <w:szCs w:val="20"/>
          <w:shd w:fill="auto" w:val="clear"/>
          <w:lang w:val="en-GB" w:eastAsia="en-US" w:bidi="ar-SA"/>
        </w:rPr>
        <w:t>In the lower left panel of Figure 3 presenting LAPMOD configurations with PMR derived from the maximum value of sub-hourly samples, the static configuration "s_max_1.6" showed the highest separation distance, up to 1,200 m from the source, along the transport direction of 225 °N. The dynamic PMR "d_max_5s" and "d_max_60s" with peak time of 5 s and 60 s respectively, estimated lower separation distances but with some relevant exceptions depending on the transport direction. It can be said that, as far as the protection level of 1 uo</w:t>
      </w:r>
      <w:r>
        <w:rPr>
          <w:rFonts w:eastAsia="Times New Roman" w:cs="Times New Roman"/>
          <w:color w:val="000000"/>
          <w:kern w:val="0"/>
          <w:sz w:val="18"/>
          <w:szCs w:val="20"/>
          <w:shd w:fill="auto" w:val="clear"/>
          <w:vertAlign w:val="subscript"/>
          <w:lang w:val="en-GB" w:eastAsia="en-US" w:bidi="ar-SA"/>
        </w:rPr>
        <w:t>E</w:t>
      </w:r>
      <w:r>
        <w:rPr>
          <w:rFonts w:eastAsia="Times New Roman" w:cs="Times New Roman"/>
          <w:color w:val="000000"/>
          <w:kern w:val="0"/>
          <w:sz w:val="18"/>
          <w:szCs w:val="20"/>
          <w:shd w:fill="auto" w:val="clear"/>
          <w:lang w:val="en-GB" w:eastAsia="en-US" w:bidi="ar-SA"/>
        </w:rPr>
        <w:t>/m</w:t>
      </w:r>
      <w:r>
        <w:rPr>
          <w:rFonts w:eastAsia="Times New Roman" w:cs="Times New Roman"/>
          <w:color w:val="000000"/>
          <w:kern w:val="0"/>
          <w:sz w:val="18"/>
          <w:szCs w:val="20"/>
          <w:shd w:fill="auto" w:val="clear"/>
          <w:vertAlign w:val="superscript"/>
          <w:lang w:val="en-GB" w:eastAsia="en-US" w:bidi="ar-SA"/>
        </w:rPr>
        <w:t>3</w:t>
      </w:r>
      <w:r>
        <w:rPr>
          <w:rFonts w:eastAsia="Times New Roman" w:cs="Times New Roman"/>
          <w:color w:val="000000"/>
          <w:kern w:val="0"/>
          <w:sz w:val="18"/>
          <w:szCs w:val="20"/>
          <w:shd w:fill="auto" w:val="clear"/>
          <w:lang w:val="en-GB" w:eastAsia="en-US" w:bidi="ar-SA"/>
        </w:rPr>
        <w:t xml:space="preserve"> is of concern, “s_max_1.6” revealed as the most precautionary configuration, at least along the downwind transport direction of 225 °N.</w:t>
      </w:r>
    </w:p>
    <w:p>
      <w:pPr>
        <w:pStyle w:val="CETCaption"/>
        <w:rPr>
          <w:lang w:val="en-GB"/>
        </w:rPr>
      </w:pPr>
      <w:r>
        <w:drawing>
          <wp:anchor behindDoc="0" distT="0" distB="0" distL="0" distR="0" simplePos="0" locked="0" layoutInCell="0" allowOverlap="1" relativeHeight="5">
            <wp:simplePos x="0" y="0"/>
            <wp:positionH relativeFrom="column">
              <wp:posOffset>21590</wp:posOffset>
            </wp:positionH>
            <wp:positionV relativeFrom="paragraph">
              <wp:posOffset>130175</wp:posOffset>
            </wp:positionV>
            <wp:extent cx="5579745" cy="6906895"/>
            <wp:effectExtent l="0" t="0" r="0" b="0"/>
            <wp:wrapTopAndBottom/>
            <wp:docPr id="3"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descr=""/>
                    <pic:cNvPicPr>
                      <a:picLocks noChangeAspect="1" noChangeArrowheads="1"/>
                    </pic:cNvPicPr>
                  </pic:nvPicPr>
                  <pic:blipFill>
                    <a:blip r:embed="rId4"/>
                    <a:stretch>
                      <a:fillRect/>
                    </a:stretch>
                  </pic:blipFill>
                  <pic:spPr bwMode="auto">
                    <a:xfrm>
                      <a:off x="0" y="0"/>
                      <a:ext cx="5579745" cy="6906895"/>
                    </a:xfrm>
                    <a:prstGeom prst="rect">
                      <a:avLst/>
                    </a:prstGeom>
                  </pic:spPr>
                </pic:pic>
              </a:graphicData>
            </a:graphic>
          </wp:anchor>
        </w:drawing>
      </w:r>
      <w:r>
        <w:rPr>
          <w:rStyle w:val="CETCaptionCarattere"/>
          <w:i/>
        </w:rPr>
        <w:t>Figure 1: Contour maps of 98</w:t>
      </w:r>
      <w:r>
        <w:rPr>
          <w:rStyle w:val="CETCaptionCarattere"/>
          <w:i/>
          <w:vertAlign w:val="superscript"/>
        </w:rPr>
        <w:t>th</w:t>
      </w:r>
      <w:r>
        <w:rPr>
          <w:rStyle w:val="CETCaptionCarattere"/>
          <w:i/>
        </w:rPr>
        <w:t xml:space="preserve"> percentile (pct98) and maximum value (max) of peak odour </w:t>
      </w:r>
      <w:r>
        <w:rPr>
          <w:rStyle w:val="CETCaptionCarattere"/>
          <w:rFonts w:eastAsia="Times New Roman" w:cs="Times New Roman"/>
          <w:i/>
          <w:color w:val="auto"/>
          <w:kern w:val="0"/>
          <w:sz w:val="18"/>
          <w:szCs w:val="20"/>
          <w:lang w:val="en-GB" w:eastAsia="en-US" w:bidi="ar-SA"/>
        </w:rPr>
        <w:t>units</w:t>
      </w:r>
      <w:r>
        <w:rPr>
          <w:rStyle w:val="CETCaptionCarattere"/>
          <w:i/>
        </w:rPr>
        <w:t xml:space="preserve"> at 1, 2, 3, 4, 5 uo</w:t>
      </w:r>
      <w:r>
        <w:rPr>
          <w:rStyle w:val="CETCaptionCarattere"/>
          <w:i/>
          <w:vertAlign w:val="subscript"/>
        </w:rPr>
        <w:t>E</w:t>
      </w:r>
      <w:r>
        <w:rPr>
          <w:rStyle w:val="CETCaptionCarattere"/>
          <w:i w:val="false"/>
          <w:iCs w:val="false"/>
        </w:rPr>
        <w:t>/</w:t>
      </w:r>
      <w:r>
        <w:rPr>
          <w:rStyle w:val="CETCaptionCarattere"/>
          <w:i/>
          <w:iCs/>
        </w:rPr>
        <w:t>m</w:t>
      </w:r>
      <w:r>
        <w:rPr>
          <w:rStyle w:val="CETCaptionCarattere"/>
          <w:i w:val="false"/>
          <w:iCs w:val="false"/>
          <w:vertAlign w:val="superscript"/>
        </w:rPr>
        <w:t>3</w:t>
      </w:r>
      <w:r>
        <w:rPr>
          <w:rStyle w:val="CETCaptionCarattere"/>
          <w:i/>
        </w:rPr>
        <w:t>. Point coordinates [0,0] indicates the emission source, d</w:t>
      </w:r>
      <w:r>
        <w:rPr>
          <w:rStyle w:val="CETCaptionCarattere"/>
          <w:i/>
          <w:lang w:val="en-GB"/>
        </w:rPr>
        <w:t xml:space="preserve">iscrete receptors are </w:t>
      </w:r>
      <w:r>
        <w:rPr>
          <w:rStyle w:val="CETCaptionCarattere"/>
          <w:rFonts w:eastAsia="Times New Roman" w:cs="Times New Roman"/>
          <w:i/>
          <w:color w:val="auto"/>
          <w:kern w:val="0"/>
          <w:sz w:val="18"/>
          <w:szCs w:val="20"/>
          <w:lang w:val="en-GB" w:eastAsia="en-US" w:bidi="ar-SA"/>
        </w:rPr>
        <w:t>depicted</w:t>
      </w:r>
      <w:r>
        <w:rPr>
          <w:rStyle w:val="CETCaptionCarattere"/>
          <w:i/>
          <w:lang w:val="en-GB"/>
        </w:rPr>
        <w:t xml:space="preserve"> as points (gray) along SW direction (225 °N). The sampling domain is zoomed in along both the x- and y-axes within the range of -1500 to 1500 meters.</w:t>
      </w:r>
      <w:r>
        <w:br w:type="page"/>
      </w:r>
    </w:p>
    <w:p>
      <w:pPr>
        <w:pStyle w:val="CETCaption"/>
        <w:spacing w:before="0" w:after="240"/>
        <w:rPr>
          <w:lang w:val="en-GB"/>
        </w:rPr>
      </w:pPr>
      <w:r>
        <w:drawing>
          <wp:anchor behindDoc="0" distT="0" distB="0" distL="0" distR="0" simplePos="0" locked="0" layoutInCell="0" allowOverlap="1" relativeHeight="4">
            <wp:simplePos x="0" y="0"/>
            <wp:positionH relativeFrom="column">
              <wp:posOffset>111760</wp:posOffset>
            </wp:positionH>
            <wp:positionV relativeFrom="paragraph">
              <wp:posOffset>73660</wp:posOffset>
            </wp:positionV>
            <wp:extent cx="5355590" cy="3563620"/>
            <wp:effectExtent l="0" t="0" r="0" b="0"/>
            <wp:wrapTopAndBottom/>
            <wp:docPr id="4"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 descr=""/>
                    <pic:cNvPicPr>
                      <a:picLocks noChangeAspect="1" noChangeArrowheads="1"/>
                    </pic:cNvPicPr>
                  </pic:nvPicPr>
                  <pic:blipFill>
                    <a:blip r:embed="rId5"/>
                    <a:stretch>
                      <a:fillRect/>
                    </a:stretch>
                  </pic:blipFill>
                  <pic:spPr bwMode="auto">
                    <a:xfrm>
                      <a:off x="0" y="0"/>
                      <a:ext cx="5355590" cy="3563620"/>
                    </a:xfrm>
                    <a:prstGeom prst="rect">
                      <a:avLst/>
                    </a:prstGeom>
                  </pic:spPr>
                </pic:pic>
              </a:graphicData>
            </a:graphic>
          </wp:anchor>
        </w:drawing>
      </w:r>
      <w:r>
        <w:rPr>
          <w:rStyle w:val="CETCaptionCarattere"/>
          <w:i/>
          <w:color w:val="000000"/>
          <w:kern w:val="0"/>
          <w:shd w:fill="auto" w:val="clear"/>
          <w:lang w:eastAsia="en-US" w:bidi="ar-SA"/>
        </w:rPr>
        <w:t>Figure 2: 98</w:t>
      </w:r>
      <w:r>
        <w:rPr>
          <w:rStyle w:val="CETCaptionCarattere"/>
          <w:i/>
          <w:color w:val="000000"/>
          <w:kern w:val="0"/>
          <w:shd w:fill="auto" w:val="clear"/>
          <w:vertAlign w:val="superscript"/>
          <w:lang w:eastAsia="en-US" w:bidi="ar-SA"/>
        </w:rPr>
        <w:t>th</w:t>
      </w:r>
      <w:r>
        <w:rPr>
          <w:rStyle w:val="CETCaptionCarattere"/>
          <w:i/>
          <w:color w:val="000000"/>
          <w:kern w:val="0"/>
          <w:shd w:fill="auto" w:val="clear"/>
          <w:lang w:eastAsia="en-US" w:bidi="ar-SA"/>
        </w:rPr>
        <w:t xml:space="preserve"> percentile of p</w:t>
      </w:r>
      <w:r>
        <w:rPr>
          <w:rStyle w:val="CETCaptionCarattere"/>
          <w:rFonts w:eastAsia="Times New Roman" w:cs="Times New Roman"/>
          <w:i/>
          <w:color w:val="000000"/>
          <w:kern w:val="0"/>
          <w:sz w:val="18"/>
          <w:szCs w:val="20"/>
          <w:shd w:fill="auto" w:val="clear"/>
          <w:lang w:val="en-GB" w:eastAsia="en-US" w:bidi="ar-SA"/>
        </w:rPr>
        <w:t>eak odour units [uo</w:t>
      </w:r>
      <w:r>
        <w:rPr>
          <w:rStyle w:val="CETCaptionCarattere"/>
          <w:rFonts w:eastAsia="Times New Roman" w:cs="Times New Roman"/>
          <w:i/>
          <w:color w:val="000000"/>
          <w:kern w:val="0"/>
          <w:sz w:val="18"/>
          <w:szCs w:val="20"/>
          <w:shd w:fill="auto" w:val="clear"/>
          <w:vertAlign w:val="subscript"/>
          <w:lang w:val="en-GB" w:eastAsia="en-US" w:bidi="ar-SA"/>
        </w:rPr>
        <w:t>E</w:t>
      </w:r>
      <w:r>
        <w:rPr>
          <w:rStyle w:val="CETCaptionCarattere"/>
          <w:rFonts w:eastAsia="Times New Roman" w:cs="Times New Roman"/>
          <w:i/>
          <w:color w:val="000000"/>
          <w:kern w:val="0"/>
          <w:sz w:val="18"/>
          <w:szCs w:val="20"/>
          <w:shd w:fill="auto" w:val="clear"/>
          <w:lang w:val="en-GB" w:eastAsia="en-US" w:bidi="ar-SA"/>
        </w:rPr>
        <w:t>/m</w:t>
      </w:r>
      <w:r>
        <w:rPr>
          <w:rStyle w:val="CETCaptionCarattere"/>
          <w:rFonts w:eastAsia="Times New Roman" w:cs="Times New Roman"/>
          <w:i/>
          <w:color w:val="000000"/>
          <w:kern w:val="0"/>
          <w:sz w:val="18"/>
          <w:szCs w:val="20"/>
          <w:shd w:fill="auto" w:val="clear"/>
          <w:vertAlign w:val="superscript"/>
          <w:lang w:val="en-GB" w:eastAsia="en-US" w:bidi="ar-SA"/>
        </w:rPr>
        <w:t>3</w:t>
      </w:r>
      <w:r>
        <w:rPr>
          <w:rStyle w:val="CETCaptionCarattere"/>
          <w:rFonts w:eastAsia="Times New Roman" w:cs="Times New Roman"/>
          <w:i/>
          <w:color w:val="000000"/>
          <w:kern w:val="0"/>
          <w:position w:val="0"/>
          <w:sz w:val="18"/>
          <w:sz w:val="18"/>
          <w:szCs w:val="20"/>
          <w:shd w:fill="auto" w:val="clear"/>
          <w:vertAlign w:val="baseline"/>
          <w:lang w:val="en-GB" w:eastAsia="en-US" w:bidi="ar-SA"/>
        </w:rPr>
        <w:t>]</w:t>
      </w:r>
      <w:r>
        <w:rPr>
          <w:rStyle w:val="CETCaptionCarattere"/>
          <w:rFonts w:eastAsia="Times New Roman" w:cs="Times New Roman"/>
          <w:i/>
          <w:color w:val="000000"/>
          <w:kern w:val="0"/>
          <w:sz w:val="18"/>
          <w:szCs w:val="20"/>
          <w:shd w:fill="auto" w:val="clear"/>
          <w:lang w:val="en-GB" w:eastAsia="en-US" w:bidi="ar-SA"/>
        </w:rPr>
        <w:t xml:space="preserve"> for LAPMOD configurations along the transect of discrete receptors in downwind SW direction (225 °N).</w:t>
      </w:r>
      <w:r>
        <w:rPr>
          <w:rStyle w:val="CETCaptionCarattere"/>
          <w:rFonts w:eastAsia="Times New Roman" w:cs="Times New Roman"/>
          <w:i/>
          <w:color w:val="000000"/>
          <w:kern w:val="0"/>
          <w:position w:val="0"/>
          <w:sz w:val="18"/>
          <w:sz w:val="18"/>
          <w:szCs w:val="20"/>
          <w:shd w:fill="auto" w:val="clear"/>
          <w:vertAlign w:val="baseline"/>
          <w:lang w:val="en-GB" w:eastAsia="en-US" w:bidi="ar-SA"/>
        </w:rPr>
        <w:t xml:space="preserve"> The y-axis is zoomed in within the range of 0 to 4 uo</w:t>
      </w:r>
      <w:r>
        <w:rPr>
          <w:rStyle w:val="CETCaptionCarattere"/>
          <w:rFonts w:eastAsia="Times New Roman" w:cs="Times New Roman"/>
          <w:i/>
          <w:color w:val="000000"/>
          <w:kern w:val="0"/>
          <w:sz w:val="18"/>
          <w:szCs w:val="20"/>
          <w:shd w:fill="auto" w:val="clear"/>
          <w:vertAlign w:val="subscript"/>
          <w:lang w:val="en-GB" w:eastAsia="en-US" w:bidi="ar-SA"/>
        </w:rPr>
        <w:t>E</w:t>
      </w:r>
      <w:r>
        <w:rPr>
          <w:rStyle w:val="CETCaptionCarattere"/>
          <w:rFonts w:eastAsia="Times New Roman" w:cs="Times New Roman"/>
          <w:i/>
          <w:color w:val="000000"/>
          <w:kern w:val="0"/>
          <w:position w:val="0"/>
          <w:sz w:val="18"/>
          <w:sz w:val="18"/>
          <w:szCs w:val="20"/>
          <w:shd w:fill="auto" w:val="clear"/>
          <w:vertAlign w:val="baseline"/>
          <w:lang w:val="en-GB" w:eastAsia="en-US" w:bidi="ar-SA"/>
        </w:rPr>
        <w:t>/m</w:t>
      </w:r>
      <w:r>
        <w:rPr>
          <w:rStyle w:val="CETCaptionCarattere"/>
          <w:rFonts w:eastAsia="Times New Roman" w:cs="Times New Roman"/>
          <w:i/>
          <w:color w:val="000000"/>
          <w:kern w:val="0"/>
          <w:sz w:val="18"/>
          <w:szCs w:val="20"/>
          <w:shd w:fill="auto" w:val="clear"/>
          <w:vertAlign w:val="superscript"/>
          <w:lang w:val="en-GB" w:eastAsia="en-US" w:bidi="ar-SA"/>
        </w:rPr>
        <w:t>3</w:t>
      </w:r>
      <w:r>
        <w:rPr>
          <w:rStyle w:val="CETCaptionCarattere"/>
          <w:rFonts w:eastAsia="Times New Roman" w:cs="Times New Roman"/>
          <w:i/>
          <w:color w:val="000000"/>
          <w:kern w:val="0"/>
          <w:position w:val="0"/>
          <w:sz w:val="18"/>
          <w:sz w:val="18"/>
          <w:szCs w:val="20"/>
          <w:shd w:fill="auto" w:val="clear"/>
          <w:vertAlign w:val="baseline"/>
          <w:lang w:val="en-GB" w:eastAsia="en-US" w:bidi="ar-SA"/>
        </w:rPr>
        <w:t>.</w:t>
      </w:r>
    </w:p>
    <w:p>
      <w:pPr>
        <w:pStyle w:val="CETCaption"/>
        <w:rPr>
          <w:lang w:val="en-GB"/>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579745" cy="3637915"/>
            <wp:effectExtent l="0" t="0" r="0" b="0"/>
            <wp:wrapTopAndBottom/>
            <wp:docPr id="5"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3" descr=""/>
                    <pic:cNvPicPr>
                      <a:picLocks noChangeAspect="1" noChangeArrowheads="1"/>
                    </pic:cNvPicPr>
                  </pic:nvPicPr>
                  <pic:blipFill>
                    <a:blip r:embed="rId6"/>
                    <a:stretch>
                      <a:fillRect/>
                    </a:stretch>
                  </pic:blipFill>
                  <pic:spPr bwMode="auto">
                    <a:xfrm>
                      <a:off x="0" y="0"/>
                      <a:ext cx="5579745" cy="3637915"/>
                    </a:xfrm>
                    <a:prstGeom prst="rect">
                      <a:avLst/>
                    </a:prstGeom>
                  </pic:spPr>
                </pic:pic>
              </a:graphicData>
            </a:graphic>
          </wp:anchor>
        </w:drawing>
      </w:r>
      <w:r>
        <w:rPr>
          <w:rStyle w:val="CETCaptionCarattere"/>
          <w:i/>
        </w:rPr>
        <w:t xml:space="preserve">Figure 3: </w:t>
      </w:r>
      <w:r>
        <w:rPr>
          <w:rStyle w:val="CETCaptionCarattere"/>
          <w:rFonts w:eastAsia="Times New Roman" w:cs="Times New Roman"/>
          <w:i/>
          <w:color w:val="auto"/>
          <w:kern w:val="0"/>
          <w:sz w:val="18"/>
          <w:szCs w:val="20"/>
          <w:lang w:val="en-GB" w:eastAsia="en-US" w:bidi="ar-SA"/>
        </w:rPr>
        <w:t>S</w:t>
      </w:r>
      <w:r>
        <w:rPr>
          <w:rStyle w:val="CETCaptionCarattere"/>
          <w:i/>
        </w:rPr>
        <w:t xml:space="preserve">eparation distances at transport directions </w:t>
      </w:r>
      <w:r>
        <w:rPr>
          <w:rStyle w:val="CETCaptionCarattere"/>
          <w:rFonts w:eastAsia="Times New Roman" w:cs="Times New Roman"/>
          <w:i/>
          <w:color w:val="auto"/>
          <w:kern w:val="0"/>
          <w:sz w:val="18"/>
          <w:szCs w:val="20"/>
          <w:lang w:val="en-GB" w:eastAsia="en-US" w:bidi="ar-SA"/>
        </w:rPr>
        <w:t>by</w:t>
      </w:r>
      <w:r>
        <w:rPr>
          <w:rStyle w:val="CETCaptionCarattere"/>
          <w:i/>
        </w:rPr>
        <w:t xml:space="preserve"> angle increments of 1 °N </w:t>
      </w:r>
      <w:r>
        <w:rPr>
          <w:rStyle w:val="CETCaptionCarattere"/>
          <w:rFonts w:eastAsia="Times New Roman" w:cs="Times New Roman"/>
          <w:i/>
          <w:color w:val="auto"/>
          <w:kern w:val="0"/>
          <w:sz w:val="18"/>
          <w:szCs w:val="20"/>
          <w:lang w:val="en-GB" w:eastAsia="en-US" w:bidi="ar-SA"/>
        </w:rPr>
        <w:t xml:space="preserve">estimated using </w:t>
      </w:r>
      <w:r>
        <w:rPr>
          <w:rStyle w:val="CETCaptionCarattere"/>
          <w:i/>
        </w:rPr>
        <w:t>the 98</w:t>
      </w:r>
      <w:r>
        <w:rPr>
          <w:rStyle w:val="CETCaptionCarattere"/>
          <w:i/>
          <w:vertAlign w:val="superscript"/>
        </w:rPr>
        <w:t>th</w:t>
      </w:r>
      <w:r>
        <w:rPr>
          <w:rStyle w:val="CETCaptionCarattere"/>
          <w:i/>
        </w:rPr>
        <w:t xml:space="preserve"> percentile of peak odour </w:t>
      </w:r>
      <w:r>
        <w:rPr>
          <w:rStyle w:val="CETCaptionCarattere"/>
          <w:rFonts w:eastAsia="Times New Roman" w:cs="Times New Roman"/>
          <w:i/>
          <w:color w:val="auto"/>
          <w:kern w:val="0"/>
          <w:sz w:val="18"/>
          <w:szCs w:val="20"/>
          <w:lang w:val="en-GB" w:eastAsia="en-US" w:bidi="ar-SA"/>
        </w:rPr>
        <w:t>units [</w:t>
      </w:r>
      <w:r>
        <w:rPr>
          <w:rStyle w:val="CETCaptionCarattere"/>
          <w:rFonts w:eastAsia="Times New Roman" w:cs="Times New Roman"/>
          <w:i/>
          <w:color w:val="000000"/>
          <w:kern w:val="0"/>
          <w:sz w:val="18"/>
          <w:szCs w:val="20"/>
          <w:shd w:fill="auto" w:val="clear"/>
          <w:lang w:val="en-GB" w:eastAsia="en-US" w:bidi="ar-SA"/>
        </w:rPr>
        <w:t>uo</w:t>
      </w:r>
      <w:r>
        <w:rPr>
          <w:rStyle w:val="CETCaptionCarattere"/>
          <w:rFonts w:eastAsia="Times New Roman" w:cs="Times New Roman"/>
          <w:i/>
          <w:color w:val="000000"/>
          <w:kern w:val="0"/>
          <w:sz w:val="18"/>
          <w:szCs w:val="20"/>
          <w:shd w:fill="auto" w:val="clear"/>
          <w:vertAlign w:val="subscript"/>
          <w:lang w:val="en-GB" w:eastAsia="en-US" w:bidi="ar-SA"/>
        </w:rPr>
        <w:t>E</w:t>
      </w:r>
      <w:r>
        <w:rPr>
          <w:rStyle w:val="CETCaptionCarattere"/>
          <w:rFonts w:eastAsia="Times New Roman" w:cs="Times New Roman"/>
          <w:i/>
          <w:color w:val="000000"/>
          <w:kern w:val="0"/>
          <w:sz w:val="18"/>
          <w:szCs w:val="20"/>
          <w:shd w:fill="auto" w:val="clear"/>
          <w:lang w:val="en-GB" w:eastAsia="en-US" w:bidi="ar-SA"/>
        </w:rPr>
        <w:t>/m</w:t>
      </w:r>
      <w:r>
        <w:rPr>
          <w:rStyle w:val="CETCaptionCarattere"/>
          <w:rFonts w:eastAsia="Times New Roman" w:cs="Times New Roman"/>
          <w:i/>
          <w:color w:val="000000"/>
          <w:kern w:val="0"/>
          <w:sz w:val="18"/>
          <w:szCs w:val="20"/>
          <w:shd w:fill="auto" w:val="clear"/>
          <w:vertAlign w:val="superscript"/>
          <w:lang w:val="en-GB" w:eastAsia="en-US" w:bidi="ar-SA"/>
        </w:rPr>
        <w:t>3</w:t>
      </w:r>
      <w:r>
        <w:rPr>
          <w:rStyle w:val="CETCaptionCarattere"/>
          <w:rFonts w:eastAsia="Times New Roman" w:cs="Times New Roman"/>
          <w:i/>
          <w:color w:val="000000"/>
          <w:kern w:val="0"/>
          <w:position w:val="0"/>
          <w:sz w:val="18"/>
          <w:sz w:val="18"/>
          <w:szCs w:val="20"/>
          <w:shd w:fill="auto" w:val="clear"/>
          <w:vertAlign w:val="baseline"/>
          <w:lang w:val="en-GB" w:eastAsia="en-US" w:bidi="ar-SA"/>
        </w:rPr>
        <w:t>]</w:t>
      </w:r>
      <w:r>
        <w:rPr>
          <w:rStyle w:val="CETCaptionCarattere"/>
          <w:i/>
        </w:rPr>
        <w:t xml:space="preserve"> </w:t>
      </w:r>
      <w:r>
        <w:rPr>
          <w:rStyle w:val="CETCaptionCarattere"/>
          <w:rFonts w:eastAsia="Times New Roman" w:cs="Times New Roman"/>
          <w:i/>
          <w:color w:val="auto"/>
          <w:kern w:val="0"/>
          <w:sz w:val="18"/>
          <w:szCs w:val="20"/>
          <w:lang w:val="en-GB" w:eastAsia="en-US" w:bidi="ar-SA"/>
        </w:rPr>
        <w:t xml:space="preserve"> from </w:t>
      </w:r>
      <w:r>
        <w:rPr>
          <w:rStyle w:val="CETCaptionCarattere"/>
          <w:i/>
        </w:rPr>
        <w:t xml:space="preserve">LAPMOD configurations under study. The vertical dotted line positioned at 225 °N </w:t>
      </w:r>
      <w:r>
        <w:rPr>
          <w:rStyle w:val="CETCaptionCarattere"/>
          <w:rFonts w:eastAsia="Times New Roman" w:cs="Times New Roman"/>
          <w:i/>
          <w:color w:val="auto"/>
          <w:kern w:val="0"/>
          <w:sz w:val="18"/>
          <w:szCs w:val="20"/>
          <w:lang w:val="en-GB" w:eastAsia="en-US" w:bidi="ar-SA"/>
        </w:rPr>
        <w:t>marks</w:t>
      </w:r>
      <w:r>
        <w:rPr>
          <w:rStyle w:val="CETCaptionCarattere"/>
          <w:i/>
        </w:rPr>
        <w:t xml:space="preserve"> the downwind transport direction along the transect of discrete receptors. </w:t>
      </w:r>
      <w:r>
        <w:br w:type="page"/>
      </w:r>
    </w:p>
    <w:p>
      <w:pPr>
        <w:pStyle w:val="CETHeading1"/>
        <w:numPr>
          <w:ilvl w:val="1"/>
          <w:numId w:val="1"/>
        </w:numPr>
        <w:spacing w:before="0" w:after="120"/>
        <w:rPr>
          <w:lang w:val="en-GB"/>
        </w:rPr>
      </w:pPr>
      <w:r>
        <w:rPr>
          <w:lang w:val="en-GB"/>
        </w:rPr>
        <w:t>Conclusions</w:t>
      </w:r>
    </w:p>
    <w:p>
      <w:pPr>
        <w:pStyle w:val="CETBodytext"/>
        <w:rPr>
          <w:shd w:fill="auto" w:val="clear"/>
        </w:rPr>
      </w:pPr>
      <w:r>
        <w:rPr>
          <w:shd w:fill="auto" w:val="clear"/>
          <w:lang w:val="en-GB"/>
        </w:rPr>
        <w:t xml:space="preserve">Peak-to-mean ratio (PMR) is a widely </w:t>
      </w:r>
      <w:r>
        <w:rPr>
          <w:rFonts w:eastAsia="Times New Roman" w:cs="Times New Roman"/>
          <w:color w:val="000000"/>
          <w:kern w:val="0"/>
          <w:sz w:val="18"/>
          <w:szCs w:val="20"/>
          <w:shd w:fill="auto" w:val="clear"/>
          <w:lang w:val="en-US" w:eastAsia="en-US" w:bidi="ar-SA"/>
        </w:rPr>
        <w:t>adopted</w:t>
      </w:r>
      <w:r>
        <w:rPr>
          <w:shd w:fill="auto" w:val="clear"/>
          <w:lang w:val="en-GB"/>
        </w:rPr>
        <w:t xml:space="preserve"> method for extrapolating short-term odour concentrations from the classical </w:t>
      </w:r>
      <w:r>
        <w:rPr>
          <w:rFonts w:eastAsia="Times New Roman" w:cs="Times New Roman"/>
          <w:color w:val="000000"/>
          <w:kern w:val="0"/>
          <w:sz w:val="18"/>
          <w:szCs w:val="20"/>
          <w:shd w:fill="auto" w:val="clear"/>
          <w:lang w:val="en-GB" w:eastAsia="en-US" w:bidi="ar-SA"/>
        </w:rPr>
        <w:t xml:space="preserve">1 h </w:t>
      </w:r>
      <w:r>
        <w:rPr>
          <w:shd w:fill="auto" w:val="clear"/>
          <w:lang w:val="en-GB"/>
        </w:rPr>
        <w:t xml:space="preserve">modelling outputs. It was initially </w:t>
      </w:r>
      <w:r>
        <w:rPr>
          <w:rFonts w:eastAsia="Times New Roman" w:cs="Times New Roman"/>
          <w:color w:val="000000"/>
          <w:kern w:val="0"/>
          <w:sz w:val="18"/>
          <w:szCs w:val="20"/>
          <w:shd w:fill="auto" w:val="clear"/>
          <w:lang w:val="en-GB" w:eastAsia="en-US" w:bidi="ar-SA"/>
        </w:rPr>
        <w:t>conceived</w:t>
      </w:r>
      <w:r>
        <w:rPr>
          <w:shd w:fill="auto" w:val="clear"/>
          <w:lang w:val="en-GB"/>
        </w:rPr>
        <w:t xml:space="preserve"> as a swift and basic approach with the main objective of standardizing results to the greatest possible extent.</w:t>
      </w:r>
    </w:p>
    <w:p>
      <w:pPr>
        <w:pStyle w:val="CETBodytext"/>
        <w:rPr>
          <w:shd w:fill="auto" w:val="clear"/>
        </w:rPr>
      </w:pPr>
      <w:r>
        <w:rPr>
          <w:shd w:fill="auto" w:val="clear"/>
          <w:lang w:val="en-GB"/>
        </w:rPr>
        <w:t xml:space="preserve">Considering the findings of the current study </w:t>
      </w:r>
      <w:r>
        <w:rPr>
          <w:rFonts w:eastAsia="Times New Roman" w:cs="Times New Roman"/>
          <w:color w:val="000000"/>
          <w:kern w:val="0"/>
          <w:sz w:val="18"/>
          <w:szCs w:val="20"/>
          <w:shd w:fill="auto" w:val="clear"/>
          <w:lang w:val="en-GB" w:eastAsia="en-US" w:bidi="ar-SA"/>
        </w:rPr>
        <w:t>for</w:t>
      </w:r>
      <w:r>
        <w:rPr>
          <w:shd w:fill="auto" w:val="clear"/>
          <w:lang w:val="en-GB"/>
        </w:rPr>
        <w:t xml:space="preserve"> an elevated point source of odour, it is clear that the various modelling configurations resulting from the different approaches of PMR estimation (static vs. dynamic with different peak times) have produced a multitude of occasionally contradictory results. </w:t>
      </w:r>
      <w:r>
        <w:rPr>
          <w:shd w:fill="auto" w:val="clear"/>
        </w:rPr>
        <w:t xml:space="preserve">It was observed that the use of dynamic PMR with shorter peak time (5 s) produced in the near-field a more </w:t>
      </w:r>
      <w:r>
        <w:rPr>
          <w:rFonts w:eastAsia="Times New Roman" w:cs="Times New Roman"/>
          <w:color w:val="000000"/>
          <w:kern w:val="0"/>
          <w:sz w:val="18"/>
          <w:szCs w:val="20"/>
          <w:shd w:fill="auto" w:val="clear"/>
          <w:lang w:val="en-US" w:eastAsia="en-US" w:bidi="ar-SA"/>
        </w:rPr>
        <w:t>conservative</w:t>
      </w:r>
      <w:r>
        <w:rPr>
          <w:shd w:fill="auto" w:val="clear"/>
        </w:rPr>
        <w:t xml:space="preserve"> odour impact assessment compared to static PMR approach. The same </w:t>
      </w:r>
      <w:r>
        <w:rPr>
          <w:rFonts w:eastAsia="Times New Roman" w:cs="Times New Roman"/>
          <w:color w:val="000000"/>
          <w:kern w:val="0"/>
          <w:sz w:val="18"/>
          <w:szCs w:val="20"/>
          <w:shd w:fill="auto" w:val="clear"/>
          <w:lang w:val="en-US" w:eastAsia="en-US" w:bidi="ar-SA"/>
        </w:rPr>
        <w:t>feature</w:t>
      </w:r>
      <w:r>
        <w:rPr>
          <w:shd w:fill="auto" w:val="clear"/>
        </w:rPr>
        <w:t xml:space="preserve"> also applied for the dynamic PMR with higher peak time (60 s), but with a </w:t>
      </w:r>
      <w:r>
        <w:rPr>
          <w:rFonts w:eastAsia="Times New Roman" w:cs="Times New Roman"/>
          <w:color w:val="000000"/>
          <w:kern w:val="0"/>
          <w:sz w:val="18"/>
          <w:szCs w:val="20"/>
          <w:shd w:fill="auto" w:val="clear"/>
          <w:lang w:val="en-US" w:eastAsia="en-US" w:bidi="ar-SA"/>
        </w:rPr>
        <w:t>smaller</w:t>
      </w:r>
      <w:r>
        <w:rPr>
          <w:shd w:fill="auto" w:val="clear"/>
        </w:rPr>
        <w:t xml:space="preserve"> difference. Conversely, in the far-field, the evaluation yielded the exact opposite result, despite the magnitude of the observed differences being somewhat negligible. </w:t>
      </w:r>
    </w:p>
    <w:p>
      <w:pPr>
        <w:pStyle w:val="CETBodytext"/>
        <w:rPr>
          <w:shd w:fill="auto" w:val="clear"/>
        </w:rPr>
      </w:pPr>
      <w:r>
        <w:rPr>
          <w:rFonts w:eastAsia="Times New Roman" w:cs="Times New Roman"/>
          <w:color w:val="000000"/>
          <w:kern w:val="0"/>
          <w:sz w:val="18"/>
          <w:szCs w:val="20"/>
          <w:shd w:fill="auto" w:val="clear"/>
          <w:lang w:val="en-US" w:eastAsia="en-US" w:bidi="ar-SA"/>
        </w:rPr>
        <w:t xml:space="preserve">In very general terms, the separation distance secured by a predefined protection level along a given transport direction was found to be extremely variable as a function of the model specific configuration used for the estimation of the PMR. </w:t>
      </w:r>
      <w:r>
        <w:rPr>
          <w:shd w:fill="auto" w:val="clear"/>
          <w:lang w:val="en-GB"/>
        </w:rPr>
        <w:t xml:space="preserve">The variability in modelling results underscores the potential </w:t>
      </w:r>
      <w:r>
        <w:rPr>
          <w:rFonts w:eastAsia="Times New Roman" w:cs="Times New Roman"/>
          <w:color w:val="000000"/>
          <w:kern w:val="0"/>
          <w:sz w:val="18"/>
          <w:szCs w:val="20"/>
          <w:shd w:fill="auto" w:val="clear"/>
          <w:lang w:val="en-GB" w:eastAsia="en-US" w:bidi="ar-SA"/>
        </w:rPr>
        <w:t>risk</w:t>
      </w:r>
      <w:r>
        <w:rPr>
          <w:shd w:fill="auto" w:val="clear"/>
          <w:lang w:val="en-GB"/>
        </w:rPr>
        <w:t xml:space="preserve"> of drawing inconsistent conclusions, especially within regulatory frameworks designed to </w:t>
      </w:r>
      <w:r>
        <w:rPr>
          <w:rFonts w:eastAsia="Times New Roman" w:cs="Times New Roman"/>
          <w:color w:val="000000"/>
          <w:kern w:val="0"/>
          <w:sz w:val="18"/>
          <w:szCs w:val="20"/>
          <w:shd w:fill="auto" w:val="clear"/>
          <w:lang w:val="en-GB" w:eastAsia="en-US" w:bidi="ar-SA"/>
        </w:rPr>
        <w:t>verify</w:t>
      </w:r>
      <w:r>
        <w:rPr>
          <w:shd w:fill="auto" w:val="clear"/>
          <w:lang w:val="en-GB"/>
        </w:rPr>
        <w:t xml:space="preserve"> the </w:t>
      </w:r>
      <w:r>
        <w:rPr>
          <w:rFonts w:eastAsia="Times New Roman" w:cs="Times New Roman"/>
          <w:color w:val="000000"/>
          <w:kern w:val="0"/>
          <w:sz w:val="18"/>
          <w:szCs w:val="20"/>
          <w:shd w:fill="auto" w:val="clear"/>
          <w:lang w:val="en-GB" w:eastAsia="en-US" w:bidi="ar-SA"/>
        </w:rPr>
        <w:t>compliance</w:t>
      </w:r>
      <w:r>
        <w:rPr>
          <w:shd w:fill="auto" w:val="clear"/>
          <w:lang w:val="en-GB"/>
        </w:rPr>
        <w:t xml:space="preserve"> to odour impact </w:t>
      </w:r>
      <w:r>
        <w:rPr>
          <w:rFonts w:eastAsia="Times New Roman" w:cs="Times New Roman"/>
          <w:color w:val="000000"/>
          <w:kern w:val="0"/>
          <w:sz w:val="18"/>
          <w:szCs w:val="20"/>
          <w:shd w:fill="auto" w:val="clear"/>
          <w:lang w:val="en-GB" w:eastAsia="en-US" w:bidi="ar-SA"/>
        </w:rPr>
        <w:t>criteria</w:t>
      </w:r>
      <w:r>
        <w:rPr>
          <w:shd w:fill="auto" w:val="clear"/>
          <w:lang w:val="en-GB"/>
        </w:rPr>
        <w:t xml:space="preserve"> and to accurately </w:t>
      </w:r>
      <w:r>
        <w:rPr>
          <w:rFonts w:eastAsia="Times New Roman" w:cs="Times New Roman"/>
          <w:color w:val="000000"/>
          <w:kern w:val="0"/>
          <w:sz w:val="18"/>
          <w:szCs w:val="20"/>
          <w:shd w:fill="auto" w:val="clear"/>
          <w:lang w:val="en-GB" w:eastAsia="en-US" w:bidi="ar-SA"/>
        </w:rPr>
        <w:t>assess</w:t>
      </w:r>
      <w:r>
        <w:rPr>
          <w:shd w:fill="auto" w:val="clear"/>
          <w:lang w:val="en-GB"/>
        </w:rPr>
        <w:t xml:space="preserve"> receptor exposure, particularly in the near field where proximity to the emission source and magnitude of the impact is at the highest. The case study lacks objective fact-checking of results (i.e. against local odour complaints), leaving out some uncertainty about </w:t>
      </w:r>
      <w:r>
        <w:rPr>
          <w:shd w:fill="auto" w:val="clear"/>
          <w:lang w:val="en-GB"/>
        </w:rPr>
        <w:t xml:space="preserve">the </w:t>
      </w:r>
      <w:r>
        <w:rPr>
          <w:shd w:fill="auto" w:val="clear"/>
          <w:lang w:val="en-GB"/>
        </w:rPr>
        <w:t xml:space="preserve">most effective modelling setup also because </w:t>
      </w:r>
      <w:r>
        <w:rPr>
          <w:color w:val="000000"/>
          <w:shd w:fill="auto" w:val="clear"/>
          <w:lang w:val="en-GB"/>
        </w:rPr>
        <w:t>isolating a specific source's contribution from ambient background remains challenging.</w:t>
      </w:r>
    </w:p>
    <w:p>
      <w:pPr>
        <w:pStyle w:val="CETBodytext"/>
        <w:rPr>
          <w:shd w:fill="auto" w:val="clear"/>
        </w:rPr>
      </w:pPr>
      <w:r>
        <w:rPr>
          <w:shd w:fill="auto" w:val="clear"/>
          <w:lang w:val="en-GB"/>
        </w:rPr>
        <w:t xml:space="preserve">This work highlights the need for an increased awareness, both </w:t>
      </w:r>
      <w:r>
        <w:rPr>
          <w:rFonts w:eastAsia="Times New Roman" w:cs="Times New Roman"/>
          <w:color w:val="000000"/>
          <w:kern w:val="0"/>
          <w:sz w:val="18"/>
          <w:szCs w:val="20"/>
          <w:shd w:fill="auto" w:val="clear"/>
          <w:lang w:val="en-GB" w:eastAsia="en-US" w:bidi="ar-SA"/>
        </w:rPr>
        <w:t>at</w:t>
      </w:r>
      <w:r>
        <w:rPr>
          <w:shd w:fill="auto" w:val="clear"/>
          <w:lang w:val="en-GB"/>
        </w:rPr>
        <w:t xml:space="preserve"> practitioners and regulatory levels, on the possible consequences of selecting a particular </w:t>
      </w:r>
      <w:r>
        <w:rPr>
          <w:rFonts w:eastAsia="Times New Roman" w:cs="Times New Roman"/>
          <w:color w:val="000000"/>
          <w:kern w:val="0"/>
          <w:sz w:val="18"/>
          <w:szCs w:val="20"/>
          <w:shd w:fill="auto" w:val="clear"/>
          <w:lang w:val="en-GB" w:eastAsia="en-US" w:bidi="ar-SA"/>
        </w:rPr>
        <w:t>model configuration</w:t>
      </w:r>
      <w:r>
        <w:rPr>
          <w:shd w:fill="auto" w:val="clear"/>
          <w:lang w:val="en-GB"/>
        </w:rPr>
        <w:t xml:space="preserve"> for the odour impact assessment. </w:t>
      </w:r>
    </w:p>
    <w:p>
      <w:pPr>
        <w:pStyle w:val="CETBodytext"/>
        <w:rPr>
          <w:shd w:fill="auto" w:val="clear"/>
        </w:rPr>
      </w:pPr>
      <w:r>
        <w:rPr>
          <w:rFonts w:eastAsia="Times New Roman" w:cs="Times New Roman"/>
          <w:color w:val="000000"/>
          <w:kern w:val="0"/>
          <w:sz w:val="18"/>
          <w:szCs w:val="20"/>
          <w:shd w:fill="auto" w:val="clear"/>
          <w:lang w:val="en-GB" w:eastAsia="en-US" w:bidi="ar-SA"/>
        </w:rPr>
        <w:t>At the time being,</w:t>
      </w:r>
      <w:r>
        <w:rPr>
          <w:shd w:fill="auto" w:val="clear"/>
          <w:lang w:val="en-GB"/>
        </w:rPr>
        <w:t xml:space="preserve"> there is not yet clear or definitive solution to ensure consistent results and adequate level of protection from modelling exercises estimating peak odour concentrations </w:t>
      </w:r>
      <w:r>
        <w:rPr>
          <w:rFonts w:eastAsia="Times New Roman" w:cs="Times New Roman"/>
          <w:color w:val="000000"/>
          <w:kern w:val="0"/>
          <w:sz w:val="18"/>
          <w:szCs w:val="20"/>
          <w:shd w:fill="auto" w:val="clear"/>
          <w:lang w:val="en-GB" w:eastAsia="en-US" w:bidi="ar-SA"/>
        </w:rPr>
        <w:t>through</w:t>
      </w:r>
      <w:r>
        <w:rPr>
          <w:shd w:fill="auto" w:val="clear"/>
          <w:lang w:val="en-GB"/>
        </w:rPr>
        <w:t xml:space="preserve"> the application of different PMRs. A strong commitment towards reproducibility can offer the potential to clearly assess the evidence and quantify the uncertainties produced by odour modelling in regulatory processes, even when full independent replication is not always feasible. </w:t>
      </w:r>
      <w:r>
        <w:rPr>
          <w:color w:val="000000"/>
          <w:shd w:fill="auto" w:val="clear"/>
        </w:rPr>
        <w:t>A possible future development is using CALPUFF (v. 7.x) to interpolate meteorological parameters and generate results in the u</w:t>
      </w:r>
      <w:r>
        <w:rPr>
          <w:color w:val="000000"/>
          <w:shd w:fill="auto" w:val="clear"/>
          <w:lang w:val="en-GB"/>
        </w:rPr>
        <w:t>ser-defined time step and therefore get</w:t>
      </w:r>
      <w:r>
        <w:rPr>
          <w:color w:val="000000"/>
          <w:shd w:fill="auto" w:val="clear"/>
        </w:rPr>
        <w:t xml:space="preserve"> additional insights into variability of odour concentrations and short terms impacts. </w:t>
      </w:r>
    </w:p>
    <w:p>
      <w:pPr>
        <w:pStyle w:val="CETReference"/>
        <w:rPr>
          <w:rFonts w:eastAsia="SimSun"/>
        </w:rPr>
      </w:pPr>
      <w:r>
        <w:rPr/>
        <w:t>References</w:t>
      </w:r>
    </w:p>
    <w:p>
      <w:pPr>
        <w:pStyle w:val="CETReferencetext"/>
        <w:rPr>
          <w:shd w:fill="auto" w:val="clear"/>
        </w:rPr>
      </w:pPr>
      <w:r>
        <w:rPr>
          <w:shd w:fill="auto" w:val="clear"/>
        </w:rPr>
        <w:t xml:space="preserve">ARPAV, 2023. Air quality and atmospheric modelling of the artistic glassworks in the Isle of Murano (Venice), Project supported by the Italian Ministry of Health, 4145 REACH. Technical report n. </w:t>
      </w:r>
      <w:r>
        <w:rPr>
          <w:rFonts w:eastAsia="Times New Roman" w:cs="Times New Roman"/>
          <w:color w:val="000000"/>
          <w:kern w:val="0"/>
          <w:sz w:val="18"/>
          <w:szCs w:val="20"/>
          <w:shd w:fill="auto" w:val="clear"/>
          <w:lang w:val="en-GB" w:eastAsia="en-US" w:bidi="ar-SA"/>
        </w:rPr>
        <w:t xml:space="preserve">73366 </w:t>
      </w:r>
      <w:r>
        <w:rPr>
          <w:shd w:fill="auto" w:val="clear"/>
        </w:rPr>
        <w:t>(</w:t>
      </w:r>
      <w:r>
        <w:rPr>
          <w:i/>
          <w:iCs/>
          <w:shd w:fill="auto" w:val="clear"/>
        </w:rPr>
        <w:t>in Italian</w:t>
      </w:r>
      <w:r>
        <w:rPr>
          <w:shd w:fill="auto" w:val="clear"/>
        </w:rPr>
        <w:t xml:space="preserve">). </w:t>
      </w:r>
    </w:p>
    <w:p>
      <w:pPr>
        <w:pStyle w:val="CETReferencetext"/>
        <w:rPr>
          <w:shd w:fill="auto" w:val="clear"/>
        </w:rPr>
      </w:pPr>
      <w:r>
        <w:rPr>
          <w:shd w:fill="auto" w:val="clear"/>
        </w:rPr>
        <w:t>AMIGO &amp; Olores.org, 2023. International Handbook on the Assessment of Odour Exposure using Dispersion Modelling. ISBN 978-84-09-52429-7, DOI: 10.5281/zenodo.8367724.</w:t>
      </w:r>
    </w:p>
    <w:p>
      <w:pPr>
        <w:pStyle w:val="CETReferencetext"/>
        <w:rPr>
          <w:shd w:fill="auto" w:val="clear"/>
        </w:rPr>
      </w:pPr>
      <w:r>
        <w:rPr>
          <w:shd w:fill="auto" w:val="clear"/>
        </w:rPr>
        <w:t>Bellasio R., Bianconi R., Mosca S., Zannetti P., 2017. Formulation of the Lagrangian particle model LAPMOD and its evaluation against Kincaid SF6 and SO2 datasets. Atmospheric Environment, 163, 87-98.</w:t>
      </w:r>
    </w:p>
    <w:p>
      <w:pPr>
        <w:pStyle w:val="CETReferencetext"/>
        <w:rPr>
          <w:shd w:fill="auto" w:val="clear"/>
        </w:rPr>
      </w:pPr>
      <w:r>
        <w:rPr>
          <w:shd w:fill="auto" w:val="clear"/>
        </w:rPr>
        <w:t>Brancher M., Hieden A., Baumann-Stanzer K., Schauberger G., Piringer M., 2020. Performance evaluation of approaches to predict sub-hourly peak odour concentrations Atmospheric Environment: X, 7, 100076.</w:t>
      </w:r>
    </w:p>
    <w:p>
      <w:pPr>
        <w:pStyle w:val="CETReferencetext"/>
        <w:rPr>
          <w:shd w:fill="auto" w:val="clear"/>
        </w:rPr>
      </w:pPr>
      <w:r>
        <w:rPr>
          <w:shd w:fill="auto" w:val="clear"/>
        </w:rPr>
        <w:t>Capelli L., Sironi S., Del Rosso R., Guillot J.M., 2013. Measuring odours in the environment vs. dispersion modelling: a review. Atmospheric Environment, 79, 731-743.</w:t>
      </w:r>
    </w:p>
    <w:p>
      <w:pPr>
        <w:pStyle w:val="CETReferencetext"/>
        <w:rPr>
          <w:shd w:fill="auto" w:val="clear"/>
        </w:rPr>
      </w:pPr>
      <w:r>
        <w:rPr>
          <w:rFonts w:eastAsia="SimSun"/>
          <w:shd w:fill="auto" w:val="clear"/>
        </w:rPr>
        <w:t>Invernizzi M., Brancher M., Sironi S., Capelli L., Piringer M., Schauberger G., 2020. Odour impact assessment by considering short-term ambient concentrations: A multi-model and two-site comparison. Environment International, 144, 105990.</w:t>
      </w:r>
    </w:p>
    <w:p>
      <w:pPr>
        <w:pStyle w:val="CETReferencetext"/>
        <w:rPr>
          <w:shd w:fill="auto" w:val="clear"/>
        </w:rPr>
      </w:pPr>
      <w:r>
        <w:rPr>
          <w:rFonts w:eastAsia="SimSun"/>
          <w:shd w:fill="auto" w:val="clear"/>
        </w:rPr>
        <w:t xml:space="preserve">Lombardy Region, 2012. </w:t>
      </w:r>
      <w:r>
        <w:rPr>
          <w:rFonts w:eastAsia="SimSun" w:cs="Times New Roman"/>
          <w:color w:val="000000"/>
          <w:kern w:val="0"/>
          <w:sz w:val="18"/>
          <w:szCs w:val="20"/>
          <w:shd w:fill="auto" w:val="clear"/>
          <w:lang w:val="en-GB" w:eastAsia="en-US" w:bidi="ar-SA"/>
        </w:rPr>
        <w:t xml:space="preserve">Guidelines for the </w:t>
      </w:r>
      <w:r>
        <w:rPr>
          <w:rFonts w:eastAsia="SimSun"/>
          <w:shd w:fill="auto" w:val="clear"/>
        </w:rPr>
        <w:t>characterization odour emissions and permitting of activities. D.G.R. 15/02/2012 n. IX/3018, (</w:t>
      </w:r>
      <w:r>
        <w:rPr>
          <w:rFonts w:eastAsia="SimSun"/>
          <w:i/>
          <w:iCs/>
          <w:shd w:fill="auto" w:val="clear"/>
        </w:rPr>
        <w:t>in Italian</w:t>
      </w:r>
      <w:r>
        <w:rPr>
          <w:rFonts w:eastAsia="SimSun"/>
          <w:shd w:fill="auto" w:val="clear"/>
        </w:rPr>
        <w:t>)</w:t>
      </w:r>
      <w:r>
        <w:rPr>
          <w:rFonts w:eastAsia="SimSun" w:cs="Times New Roman"/>
          <w:color w:val="000000"/>
          <w:kern w:val="0"/>
          <w:sz w:val="18"/>
          <w:szCs w:val="20"/>
          <w:shd w:fill="auto" w:val="clear"/>
          <w:lang w:val="en-GB" w:eastAsia="en-US" w:bidi="ar-SA"/>
        </w:rPr>
        <w:t xml:space="preserve">. </w:t>
      </w:r>
      <w:r>
        <w:rPr>
          <w:rFonts w:eastAsia="SimSun"/>
          <w:shd w:fill="auto" w:val="clear"/>
        </w:rPr>
        <w:t>Available online: tinyurl.com/2x9bhrj2 (accessed 20 Feb 2024).</w:t>
      </w:r>
    </w:p>
    <w:p>
      <w:pPr>
        <w:pStyle w:val="CETReferencetext"/>
        <w:rPr>
          <w:shd w:fill="auto" w:val="clear"/>
        </w:rPr>
      </w:pPr>
      <w:r>
        <w:rPr>
          <w:rFonts w:eastAsia="SimSun"/>
          <w:shd w:fill="auto" w:val="clear"/>
        </w:rPr>
        <w:t>Ministry of Environment, 2023. Guidelines for odour emissions from plants and activities. Decree n. 309  28/06/2023, (</w:t>
      </w:r>
      <w:r>
        <w:rPr>
          <w:rFonts w:eastAsia="SimSun"/>
          <w:i/>
          <w:iCs/>
          <w:shd w:fill="auto" w:val="clear"/>
        </w:rPr>
        <w:t>in Italian</w:t>
      </w:r>
      <w:r>
        <w:rPr>
          <w:rFonts w:eastAsia="SimSun"/>
          <w:shd w:fill="auto" w:val="clear"/>
        </w:rPr>
        <w:t xml:space="preserve">), Available online: tinyurl.com/5hax8tcy (accessed 20 Feb 2024). </w:t>
      </w:r>
    </w:p>
    <w:p>
      <w:pPr>
        <w:pStyle w:val="CETReferencetext"/>
        <w:rPr>
          <w:shd w:fill="auto" w:val="clear"/>
        </w:rPr>
      </w:pPr>
      <w:r>
        <w:rPr>
          <w:rFonts w:eastAsia="SimSun"/>
          <w:shd w:fill="auto" w:val="clear"/>
        </w:rPr>
        <w:t>Mylne K., Mason P., 1991. Concentration fluctuation measurements in a plume dispersing at a range up to 1000. Q. J. R. Meteorol. Society, 117, 177-206.</w:t>
      </w:r>
    </w:p>
    <w:p>
      <w:pPr>
        <w:pStyle w:val="CETReferencetext"/>
        <w:rPr>
          <w:shd w:fill="auto" w:val="clear"/>
        </w:rPr>
      </w:pPr>
      <w:r>
        <w:rPr>
          <w:rFonts w:eastAsia="SimSun"/>
          <w:shd w:fill="auto" w:val="clear"/>
        </w:rPr>
        <w:t>Schauberger G., Piringer M., Schmitzer R., Kamp M., Sowa A., Koch R., Eckhof W., Grimm E., Kypke J., Hartung E., 2012. Concept to assess the human perception of odour by estimating short-time peak concentrations from one-hour mean values. Atmospheric Environment, 54, 624-628.</w:t>
      </w:r>
    </w:p>
    <w:p>
      <w:pPr>
        <w:pStyle w:val="CETReferencetext"/>
        <w:rPr>
          <w:shd w:fill="auto" w:val="clear"/>
        </w:rPr>
      </w:pPr>
      <w:r>
        <w:rPr>
          <w:rFonts w:eastAsia="SimSun"/>
          <w:shd w:fill="auto" w:val="clear"/>
        </w:rPr>
        <w:t>Scire J., Robe F., Fernau M., Yamartino R., 2000. A User’s Guide for the CALMET Meteorological Model (Version 5). Earth Tech, Inc., Concord, MA., Earth Tech, Inc., Concord, MA.</w:t>
      </w:r>
    </w:p>
    <w:p>
      <w:pPr>
        <w:pStyle w:val="CETReferencetext"/>
        <w:rPr>
          <w:shd w:fill="auto" w:val="clear"/>
        </w:rPr>
      </w:pPr>
      <w:r>
        <w:rPr>
          <w:rFonts w:eastAsia="SimSun"/>
          <w:shd w:fill="auto" w:val="clear"/>
        </w:rPr>
        <w:t>Scire J., Strimaitis D., Yamartino R., 2001. A user’s Guide for the CALPUFF Dispersion Model (Version 5). Earth Tech, Concord, MA., Earth Tech, Concord, MA.</w:t>
      </w:r>
    </w:p>
    <w:p>
      <w:pPr>
        <w:pStyle w:val="CETReferencetext"/>
        <w:rPr>
          <w:shd w:fill="auto" w:val="clear"/>
        </w:rPr>
      </w:pPr>
      <w:r>
        <w:rPr>
          <w:rFonts w:eastAsia="SimSun"/>
          <w:shd w:fill="auto" w:val="clear"/>
        </w:rPr>
        <w:t>Smith M., 1973. Recommended Guide for the Prediction of the Dispersion of Airborne Effluents. ASME Eds, New York.</w:t>
      </w:r>
    </w:p>
    <w:sectPr>
      <w:type w:val="nextPage"/>
      <w:pgSz w:w="11906" w:h="16838"/>
      <w:pgMar w:left="1701" w:right="1418" w:gutter="0" w:header="0" w:top="1701" w:footer="0" w:bottom="1701"/>
      <w:pgNumType w:fmt="decimal"/>
      <w:formProt w:val="false"/>
      <w:textDirection w:val="lrTb"/>
      <w:docGrid w:type="default" w:linePitch="600" w:charSpace="4505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Arial">
    <w:charset w:val="01"/>
    <w:family w:val="swiss"/>
    <w:pitch w:val="default"/>
  </w:font>
  <w:font w:name="Cambria">
    <w:charset w:val="01"/>
    <w:family w:val="swiss"/>
    <w:pitch w:val="default"/>
  </w:font>
  <w:font w:name="Tahoma">
    <w:charset w:val="01"/>
    <w:family w:val="swiss"/>
    <w:pitch w:val="default"/>
  </w:font>
  <w:font w:name="Consolas">
    <w:charset w:val="01"/>
    <w:family w:val="swiss"/>
    <w:pitch w:val="default"/>
  </w:font>
  <w:font w:name="OpenSymbol">
    <w:altName w:val="Arial Unicode MS"/>
    <w:charset w:val="01"/>
    <w:family w:val="swiss"/>
    <w:pitch w:val="default"/>
  </w:font>
  <w:font w:name="Liberation Sans">
    <w:altName w:val="Arial"/>
    <w:charset w:val="01"/>
    <w:family w:val="swiss"/>
    <w:pitch w:val="default"/>
  </w:font>
  <w:font w:name="AdvP6960">
    <w:charset w:val="01"/>
    <w:family w:val="swiss"/>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suff w:val="space"/>
      <w:lvlText w:val="Chapter %1"/>
      <w:lvlJc w:val="left"/>
      <w:pPr>
        <w:tabs>
          <w:tab w:val="num" w:pos="0"/>
        </w:tabs>
        <w:ind w:left="0" w:hanging="0"/>
      </w:pPr>
      <w:rPr/>
    </w:lvl>
    <w:lvl w:ilvl="1">
      <w:start w:val="1"/>
      <w:numFmt w:val="decimal"/>
      <w:suff w:val="space"/>
      <w:lvlText w:val="%2."/>
      <w:lvlJc w:val="left"/>
      <w:pPr>
        <w:tabs>
          <w:tab w:val="num" w:pos="0"/>
        </w:tabs>
        <w:ind w:left="0" w:hanging="0"/>
      </w:pPr>
      <w:rPr/>
    </w:lvl>
    <w:lvl w:ilvl="2">
      <w:start w:val="1"/>
      <w:numFmt w:val="decimal"/>
      <w:suff w:val="space"/>
      <w:lvlText w:val="%2.%3"/>
      <w:lvlJc w:val="left"/>
      <w:pPr>
        <w:tabs>
          <w:tab w:val="num" w:pos="0"/>
        </w:tabs>
        <w:ind w:left="0" w:hanging="0"/>
      </w:pPr>
      <w:rPr/>
    </w:lvl>
    <w:lvl w:ilvl="3">
      <w:start w:val="1"/>
      <w:numFmt w:val="decimal"/>
      <w:suff w:val="space"/>
      <w:lvlText w:val="%2.%3.%4."/>
      <w:lvlJc w:val="left"/>
      <w:pPr>
        <w:tabs>
          <w:tab w:val="num" w:pos="0"/>
        </w:tabs>
        <w:ind w:left="0" w:hanging="0"/>
      </w:pPr>
      <w:rPr/>
    </w:lvl>
    <w:lvl w:ilvl="4">
      <w:start w:val="1"/>
      <w:numFmt w:val="decimal"/>
      <w:suff w:val="space"/>
      <w:lvlText w:val="%1.%2.%3.%4.%5."/>
      <w:lvlJc w:val="left"/>
      <w:pPr>
        <w:tabs>
          <w:tab w:val="num" w:pos="0"/>
        </w:tabs>
        <w:ind w:left="0" w:hanging="0"/>
      </w:pPr>
      <w:rPr/>
    </w:lvl>
    <w:lvl w:ilvl="5">
      <w:start w:val="1"/>
      <w:numFmt w:val="decimal"/>
      <w:suff w:val="space"/>
      <w:lvlText w:val="%1.%2.%3.%4.%5.%6."/>
      <w:lvlJc w:val="left"/>
      <w:pPr>
        <w:tabs>
          <w:tab w:val="num" w:pos="0"/>
        </w:tabs>
        <w:ind w:left="0" w:hanging="0"/>
      </w:pPr>
      <w:rPr/>
    </w:lvl>
    <w:lvl w:ilvl="6">
      <w:start w:val="1"/>
      <w:numFmt w:val="decimal"/>
      <w:suff w:val="space"/>
      <w:lvlText w:val="%1.%2.%3.%4.%5.%6.%7."/>
      <w:lvlJc w:val="left"/>
      <w:pPr>
        <w:tabs>
          <w:tab w:val="num" w:pos="0"/>
        </w:tabs>
        <w:ind w:left="0" w:hanging="0"/>
      </w:pPr>
      <w:rPr/>
    </w:lvl>
    <w:lvl w:ilvl="7">
      <w:start w:val="1"/>
      <w:numFmt w:val="decimal"/>
      <w:suff w:val="space"/>
      <w:lvlText w:val="%1.%2.%3.%4.%5.%6.%7.%8."/>
      <w:lvlJc w:val="left"/>
      <w:pPr>
        <w:tabs>
          <w:tab w:val="num" w:pos="0"/>
        </w:tabs>
        <w:ind w:left="0" w:hanging="0"/>
      </w:pPr>
      <w:rPr/>
    </w:lvl>
    <w:lvl w:ilvl="8">
      <w:start w:val="1"/>
      <w:numFmt w:val="decimal"/>
      <w:suff w:val="space"/>
      <w:lvlText w:val="%1..%3.%4.%5.%6.%7.%8.%9."/>
      <w:lvlJc w:val="left"/>
      <w:pPr>
        <w:tabs>
          <w:tab w:val="num" w:pos="0"/>
        </w:tabs>
        <w:ind w:left="0" w:hanging="0"/>
      </w:pPr>
      <w:rPr/>
    </w:lvl>
  </w:abstractNum>
  <w:abstractNum w:abstractNumId="2">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643"/>
        </w:tabs>
        <w:ind w:left="643"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926"/>
        </w:tabs>
        <w:ind w:left="926"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1209"/>
        </w:tabs>
        <w:ind w:left="1209"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1492"/>
        </w:tabs>
        <w:ind w:left="1492"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bullet"/>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0"/>
        </w:tabs>
        <w:ind w:left="340"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lowerLetter"/>
      <w:lvlText w:val="%1."/>
      <w:lvlJc w:val="left"/>
      <w:pPr>
        <w:tabs>
          <w:tab w:val="num" w:pos="0"/>
        </w:tabs>
        <w:ind w:left="340" w:hanging="227"/>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decimal"/>
      <w:lvlText w:val="%1."/>
      <w:lvlJc w:val="left"/>
      <w:pPr>
        <w:tabs>
          <w:tab w:val="num" w:pos="643"/>
        </w:tabs>
        <w:ind w:left="643" w:hanging="360"/>
      </w:pPr>
      <w:rPr/>
    </w:lvl>
    <w:lvl w:ilvl="1">
      <w:start w:val="1"/>
      <w:numFmt w:val="decimal"/>
      <w:lvlText w:val="%2."/>
      <w:lvlJc w:val="left"/>
      <w:pPr>
        <w:tabs>
          <w:tab w:val="num" w:pos="1003"/>
        </w:tabs>
        <w:ind w:left="1003" w:hanging="360"/>
      </w:pPr>
      <w:rPr/>
    </w:lvl>
    <w:lvl w:ilvl="2">
      <w:start w:val="1"/>
      <w:numFmt w:val="decimal"/>
      <w:lvlText w:val="%3."/>
      <w:lvlJc w:val="left"/>
      <w:pPr>
        <w:tabs>
          <w:tab w:val="num" w:pos="1363"/>
        </w:tabs>
        <w:ind w:left="1363" w:hanging="360"/>
      </w:pPr>
      <w:rPr/>
    </w:lvl>
    <w:lvl w:ilvl="3">
      <w:start w:val="1"/>
      <w:numFmt w:val="decimal"/>
      <w:lvlText w:val="%4."/>
      <w:lvlJc w:val="left"/>
      <w:pPr>
        <w:tabs>
          <w:tab w:val="num" w:pos="1723"/>
        </w:tabs>
        <w:ind w:left="1723" w:hanging="360"/>
      </w:pPr>
      <w:rPr/>
    </w:lvl>
    <w:lvl w:ilvl="4">
      <w:start w:val="1"/>
      <w:numFmt w:val="decimal"/>
      <w:lvlText w:val="%5."/>
      <w:lvlJc w:val="left"/>
      <w:pPr>
        <w:tabs>
          <w:tab w:val="num" w:pos="2083"/>
        </w:tabs>
        <w:ind w:left="2083" w:hanging="360"/>
      </w:pPr>
      <w:rPr/>
    </w:lvl>
    <w:lvl w:ilvl="5">
      <w:start w:val="1"/>
      <w:numFmt w:val="decimal"/>
      <w:lvlText w:val="%6."/>
      <w:lvlJc w:val="left"/>
      <w:pPr>
        <w:tabs>
          <w:tab w:val="num" w:pos="2443"/>
        </w:tabs>
        <w:ind w:left="2443" w:hanging="360"/>
      </w:pPr>
      <w:rPr/>
    </w:lvl>
    <w:lvl w:ilvl="6">
      <w:start w:val="1"/>
      <w:numFmt w:val="decimal"/>
      <w:lvlText w:val="%7."/>
      <w:lvlJc w:val="left"/>
      <w:pPr>
        <w:tabs>
          <w:tab w:val="num" w:pos="2803"/>
        </w:tabs>
        <w:ind w:left="2803" w:hanging="360"/>
      </w:pPr>
      <w:rPr/>
    </w:lvl>
    <w:lvl w:ilvl="7">
      <w:start w:val="1"/>
      <w:numFmt w:val="decimal"/>
      <w:lvlText w:val="%8."/>
      <w:lvlJc w:val="left"/>
      <w:pPr>
        <w:tabs>
          <w:tab w:val="num" w:pos="3163"/>
        </w:tabs>
        <w:ind w:left="3163" w:hanging="360"/>
      </w:pPr>
      <w:rPr/>
    </w:lvl>
    <w:lvl w:ilvl="8">
      <w:start w:val="1"/>
      <w:numFmt w:val="decimal"/>
      <w:lvlText w:val="%9."/>
      <w:lvlJc w:val="left"/>
      <w:pPr>
        <w:tabs>
          <w:tab w:val="num" w:pos="3523"/>
        </w:tabs>
        <w:ind w:left="3523" w:hanging="360"/>
      </w:pPr>
      <w:rPr/>
    </w:lvl>
  </w:abstractNum>
  <w:abstractNum w:abstractNumId="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80"/>
  <w:defaultTabStop w:val="708"/>
  <w:autoHyphenation w:val="true"/>
  <w:hyphenationZone w:val="283"/>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umentProtection w:edit="forms" w:cryptProviderType="rsaAES" w:cryptAlgorithmClass="hash" w:cryptAlgorithmType="typeAny" w:cryptAlgorithmSid="" w:cryptSpinCount="0" w:hash="" w:salt=""/>
  <w:themeFontLang w:val="it-IT"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0dee"/>
    <w:pPr>
      <w:widowControl/>
      <w:tabs>
        <w:tab w:val="clear" w:pos="708"/>
        <w:tab w:val="right" w:pos="7100" w:leader="none"/>
      </w:tabs>
      <w:suppressAutoHyphens w:val="true"/>
      <w:bidi w:val="0"/>
      <w:spacing w:lineRule="auto" w:line="264" w:before="0" w:after="0"/>
      <w:jc w:val="both"/>
    </w:pPr>
    <w:rPr>
      <w:rFonts w:ascii="Arial" w:hAnsi="Arial" w:eastAsia="Times New Roman" w:cs="Times New Roman"/>
      <w:color w:val="auto"/>
      <w:kern w:val="0"/>
      <w:sz w:val="18"/>
      <w:szCs w:val="20"/>
      <w:lang w:val="en-GB" w:eastAsia="en-US" w:bidi="ar-SA"/>
    </w:rPr>
  </w:style>
  <w:style w:type="paragraph" w:styleId="Heading1">
    <w:name w:val="Heading 1"/>
    <w:basedOn w:val="CETHeading1"/>
    <w:next w:val="Normal"/>
    <w:link w:val="Titolo1Carattere"/>
    <w:uiPriority w:val="9"/>
    <w:qFormat/>
    <w:rsid w:val="004f5e36"/>
    <w:pPr>
      <w:tabs>
        <w:tab w:val="clear" w:pos="360"/>
        <w:tab w:val="right" w:pos="7100" w:leader="none"/>
      </w:tabs>
      <w:jc w:val="both"/>
      <w:outlineLvl w:val="0"/>
    </w:pPr>
    <w:rPr>
      <w:lang w:val="en-GB"/>
    </w:rPr>
  </w:style>
  <w:style w:type="paragraph" w:styleId="Heading2">
    <w:name w:val="Heading 2"/>
    <w:basedOn w:val="Normal"/>
    <w:next w:val="Normal"/>
    <w:link w:val="Titolo2Carattere"/>
    <w:uiPriority w:val="9"/>
    <w:semiHidden/>
    <w:unhideWhenUsed/>
    <w:qFormat/>
    <w:rsid w:val="0003148d"/>
    <w:pPr>
      <w:keepNext w:val="true"/>
      <w:keepLines/>
      <w:spacing w:before="200" w:after="0"/>
      <w:outlineLvl w:val="1"/>
    </w:pPr>
    <w:rPr>
      <w:rFonts w:ascii="Cambria" w:hAnsi="Cambria" w:eastAsia="" w:cs="" w:asciiTheme="majorHAnsi" w:cstheme="majorBidi" w:eastAsiaTheme="majorEastAsia" w:hAnsiTheme="majorHAnsi"/>
      <w:b/>
      <w:bCs/>
      <w:color w:themeColor="accent1" w:val="4F81BD"/>
      <w:sz w:val="26"/>
      <w:szCs w:val="26"/>
    </w:rPr>
  </w:style>
  <w:style w:type="paragraph" w:styleId="Heading3">
    <w:name w:val="Heading 3"/>
    <w:basedOn w:val="Normal"/>
    <w:next w:val="Normal"/>
    <w:link w:val="Titolo3Carattere"/>
    <w:uiPriority w:val="9"/>
    <w:semiHidden/>
    <w:unhideWhenUsed/>
    <w:qFormat/>
    <w:rsid w:val="0003148d"/>
    <w:pPr>
      <w:keepNext w:val="true"/>
      <w:keepLines/>
      <w:spacing w:before="200" w:after="0"/>
      <w:outlineLvl w:val="2"/>
    </w:pPr>
    <w:rPr>
      <w:rFonts w:ascii="Cambria" w:hAnsi="Cambria" w:eastAsia="" w:cs="" w:asciiTheme="majorHAnsi" w:cstheme="majorBidi" w:eastAsiaTheme="majorEastAsia" w:hAnsiTheme="majorHAnsi"/>
      <w:b/>
      <w:bCs/>
      <w:color w:themeColor="accent1" w:val="4F81BD"/>
    </w:rPr>
  </w:style>
  <w:style w:type="paragraph" w:styleId="Heading4">
    <w:name w:val="Heading 4"/>
    <w:basedOn w:val="Normal"/>
    <w:next w:val="Normal"/>
    <w:link w:val="Titolo4Carattere"/>
    <w:uiPriority w:val="9"/>
    <w:semiHidden/>
    <w:unhideWhenUsed/>
    <w:qFormat/>
    <w:rsid w:val="0003148d"/>
    <w:pPr>
      <w:keepNext w:val="true"/>
      <w:keepLines/>
      <w:spacing w:before="200" w:after="0"/>
      <w:outlineLvl w:val="3"/>
    </w:pPr>
    <w:rPr>
      <w:rFonts w:ascii="Cambria" w:hAnsi="Cambria" w:eastAsia="" w:cs="" w:asciiTheme="majorHAnsi" w:cstheme="majorBidi" w:eastAsiaTheme="majorEastAsia" w:hAnsiTheme="majorHAnsi"/>
      <w:b/>
      <w:bCs/>
      <w:i/>
      <w:iCs/>
      <w:color w:themeColor="accent1" w:val="4F81BD"/>
    </w:rPr>
  </w:style>
  <w:style w:type="paragraph" w:styleId="Heading5">
    <w:name w:val="Heading 5"/>
    <w:basedOn w:val="Normal"/>
    <w:next w:val="Normal"/>
    <w:link w:val="Titolo5Carattere"/>
    <w:uiPriority w:val="9"/>
    <w:semiHidden/>
    <w:unhideWhenUsed/>
    <w:qFormat/>
    <w:rsid w:val="0003148d"/>
    <w:pPr>
      <w:keepNext w:val="true"/>
      <w:keepLines/>
      <w:spacing w:before="200" w:after="0"/>
      <w:outlineLvl w:val="4"/>
    </w:pPr>
    <w:rPr>
      <w:rFonts w:ascii="Cambria" w:hAnsi="Cambria" w:eastAsia="" w:cs="" w:asciiTheme="majorHAnsi" w:cstheme="majorBidi" w:eastAsiaTheme="majorEastAsia" w:hAnsiTheme="majorHAnsi"/>
      <w:color w:themeColor="accent1" w:themeShade="7f" w:val="243F60"/>
    </w:rPr>
  </w:style>
  <w:style w:type="paragraph" w:styleId="Heading6">
    <w:name w:val="Heading 6"/>
    <w:basedOn w:val="Normal"/>
    <w:next w:val="Normal"/>
    <w:link w:val="Titolo6Carattere"/>
    <w:uiPriority w:val="9"/>
    <w:semiHidden/>
    <w:unhideWhenUsed/>
    <w:qFormat/>
    <w:rsid w:val="0003148d"/>
    <w:pPr>
      <w:keepNext w:val="true"/>
      <w:keepLines/>
      <w:spacing w:before="200" w:after="0"/>
      <w:outlineLvl w:val="5"/>
    </w:pPr>
    <w:rPr>
      <w:rFonts w:ascii="Cambria" w:hAnsi="Cambria" w:eastAsia="" w:cs="" w:asciiTheme="majorHAnsi" w:cstheme="majorBidi" w:eastAsiaTheme="majorEastAsia" w:hAnsiTheme="majorHAnsi"/>
      <w:i/>
      <w:iCs/>
      <w:color w:themeColor="accent1" w:themeShade="7f" w:val="243F60"/>
    </w:rPr>
  </w:style>
  <w:style w:type="paragraph" w:styleId="Heading7">
    <w:name w:val="Heading 7"/>
    <w:basedOn w:val="Normal"/>
    <w:next w:val="Normal"/>
    <w:link w:val="Titolo7Carattere"/>
    <w:uiPriority w:val="9"/>
    <w:semiHidden/>
    <w:unhideWhenUsed/>
    <w:qFormat/>
    <w:rsid w:val="0003148d"/>
    <w:pPr>
      <w:keepNext w:val="true"/>
      <w:keepLines/>
      <w:spacing w:before="200" w:after="0"/>
      <w:outlineLvl w:val="6"/>
    </w:pPr>
    <w:rPr>
      <w:rFonts w:ascii="Cambria" w:hAnsi="Cambria" w:eastAsia="" w:cs="" w:asciiTheme="majorHAnsi" w:cstheme="majorBidi" w:eastAsiaTheme="majorEastAsia" w:hAnsiTheme="majorHAnsi"/>
      <w:i/>
      <w:iCs/>
      <w:color w:themeColor="text1" w:themeTint="bf" w:val="404040"/>
    </w:rPr>
  </w:style>
  <w:style w:type="paragraph" w:styleId="Heading8">
    <w:name w:val="Heading 8"/>
    <w:basedOn w:val="Normal"/>
    <w:next w:val="Normal"/>
    <w:link w:val="Titolo8Carattere"/>
    <w:uiPriority w:val="9"/>
    <w:semiHidden/>
    <w:unhideWhenUsed/>
    <w:qFormat/>
    <w:rsid w:val="0003148d"/>
    <w:pPr>
      <w:keepNext w:val="true"/>
      <w:keepLines/>
      <w:spacing w:before="200" w:after="0"/>
      <w:outlineLvl w:val="7"/>
    </w:pPr>
    <w:rPr>
      <w:rFonts w:ascii="Cambria" w:hAnsi="Cambria" w:eastAsia="" w:cs="" w:asciiTheme="majorHAnsi" w:cstheme="majorBidi" w:eastAsiaTheme="majorEastAsia" w:hAnsiTheme="majorHAnsi"/>
      <w:color w:themeColor="text1" w:themeTint="bf" w:val="404040"/>
    </w:rPr>
  </w:style>
  <w:style w:type="paragraph" w:styleId="Heading9">
    <w:name w:val="Heading 9"/>
    <w:basedOn w:val="Normal"/>
    <w:next w:val="Normal"/>
    <w:link w:val="Titolo9Carattere"/>
    <w:uiPriority w:val="9"/>
    <w:semiHidden/>
    <w:unhideWhenUsed/>
    <w:qFormat/>
    <w:rsid w:val="0003148d"/>
    <w:pPr>
      <w:keepNext w:val="true"/>
      <w:keepLines/>
      <w:spacing w:before="200" w:after="0"/>
      <w:outlineLvl w:val="8"/>
    </w:pPr>
    <w:rPr>
      <w:rFonts w:ascii="Cambria" w:hAnsi="Cambria" w:eastAsia="" w:cs="" w:asciiTheme="majorHAnsi" w:cstheme="majorBidi" w:eastAsiaTheme="majorEastAsia" w:hAnsiTheme="majorHAnsi"/>
      <w:i/>
      <w:iCs/>
      <w:color w:themeColor="text1" w:themeTint="bf" w:val="404040"/>
    </w:rPr>
  </w:style>
  <w:style w:type="character" w:styleId="DefaultParagraphFont" w:default="1">
    <w:name w:val="Default Paragraph Font"/>
    <w:uiPriority w:val="1"/>
    <w:semiHidden/>
    <w:unhideWhenUsed/>
    <w:qFormat/>
    <w:rPr/>
  </w:style>
  <w:style w:type="character" w:styleId="CETAuthorsCarattere" w:customStyle="1">
    <w:name w:val="CET Authors Carattere"/>
    <w:link w:val="CETAuthors"/>
    <w:qFormat/>
    <w:rsid w:val="009e788a"/>
    <w:rPr>
      <w:rFonts w:ascii="Arial" w:hAnsi="Arial" w:eastAsia="Times New Roman" w:cs="Times New Roman"/>
      <w:sz w:val="24"/>
      <w:szCs w:val="20"/>
      <w:lang w:val="en-GB"/>
    </w:rPr>
  </w:style>
  <w:style w:type="character" w:styleId="CETTitleCarattere" w:customStyle="1">
    <w:name w:val="CET Title Carattere"/>
    <w:link w:val="CETTitle"/>
    <w:qFormat/>
    <w:rsid w:val="00fb730c"/>
    <w:rPr>
      <w:rFonts w:ascii="Arial" w:hAnsi="Arial" w:eastAsia="Times New Roman" w:cs="Times New Roman"/>
      <w:sz w:val="32"/>
      <w:szCs w:val="20"/>
      <w:lang w:val="en-GB"/>
    </w:rPr>
  </w:style>
  <w:style w:type="character" w:styleId="CETBodytextCarattere" w:customStyle="1">
    <w:name w:val="CET Body text Carattere"/>
    <w:link w:val="CETBodytext"/>
    <w:qFormat/>
    <w:rsid w:val="000e414a"/>
    <w:rPr>
      <w:rFonts w:ascii="Arial" w:hAnsi="Arial" w:eastAsia="Times New Roman" w:cs="Times New Roman"/>
      <w:sz w:val="18"/>
      <w:szCs w:val="20"/>
      <w:lang w:val="en-US"/>
    </w:rPr>
  </w:style>
  <w:style w:type="character" w:styleId="CETheadingxCarattere" w:customStyle="1">
    <w:name w:val="CET headingx Carattere"/>
    <w:link w:val="CETheadingx"/>
    <w:qFormat/>
    <w:rsid w:val="00fa5f5f"/>
    <w:rPr>
      <w:rFonts w:ascii="Arial" w:hAnsi="Arial" w:eastAsia="Times New Roman" w:cs="Times New Roman"/>
      <w:b/>
      <w:sz w:val="18"/>
      <w:szCs w:val="20"/>
      <w:lang w:val="en-US"/>
    </w:rPr>
  </w:style>
  <w:style w:type="character" w:styleId="CETCaptionCarattere" w:customStyle="1">
    <w:name w:val="CET Caption Carattere"/>
    <w:link w:val="CETCaption"/>
    <w:qFormat/>
    <w:rsid w:val="00f7534e"/>
    <w:rPr>
      <w:rFonts w:ascii="Arial" w:hAnsi="Arial" w:eastAsia="Times New Roman" w:cs="Times New Roman"/>
      <w:i/>
      <w:sz w:val="18"/>
      <w:szCs w:val="20"/>
      <w:lang w:val="en-GB"/>
    </w:rPr>
  </w:style>
  <w:style w:type="character" w:styleId="Annotationreference">
    <w:name w:val="annotation reference"/>
    <w:basedOn w:val="DefaultParagraphFont"/>
    <w:uiPriority w:val="99"/>
    <w:semiHidden/>
    <w:unhideWhenUsed/>
    <w:qFormat/>
    <w:rsid w:val="004577fe"/>
    <w:rPr>
      <w:sz w:val="16"/>
      <w:szCs w:val="16"/>
    </w:rPr>
  </w:style>
  <w:style w:type="character" w:styleId="TestofumettoCarattere" w:customStyle="1">
    <w:name w:val="Testo fumetto Carattere"/>
    <w:basedOn w:val="DefaultParagraphFont"/>
    <w:uiPriority w:val="99"/>
    <w:semiHidden/>
    <w:qFormat/>
    <w:rsid w:val="000d34be"/>
    <w:rPr>
      <w:rFonts w:ascii="Tahoma" w:hAnsi="Tahoma" w:cs="Tahoma"/>
      <w:sz w:val="16"/>
      <w:szCs w:val="16"/>
    </w:rPr>
  </w:style>
  <w:style w:type="character" w:styleId="Corpodeltesto2Carattere" w:customStyle="1">
    <w:name w:val="Corpo del testo 2 Carattere"/>
    <w:basedOn w:val="DefaultParagraphFont"/>
    <w:uiPriority w:val="99"/>
    <w:semiHidden/>
    <w:qFormat/>
    <w:rsid w:val="0003148d"/>
    <w:rPr/>
  </w:style>
  <w:style w:type="character" w:styleId="Corpodeltesto3Carattere" w:customStyle="1">
    <w:name w:val="Corpo del testo 3 Carattere"/>
    <w:basedOn w:val="DefaultParagraphFont"/>
    <w:uiPriority w:val="99"/>
    <w:semiHidden/>
    <w:qFormat/>
    <w:rsid w:val="0003148d"/>
    <w:rPr>
      <w:sz w:val="16"/>
      <w:szCs w:val="16"/>
    </w:rPr>
  </w:style>
  <w:style w:type="character" w:styleId="CorpotestoCarattere" w:customStyle="1">
    <w:name w:val="Corpo testo Carattere"/>
    <w:basedOn w:val="DefaultParagraphFont"/>
    <w:uiPriority w:val="99"/>
    <w:semiHidden/>
    <w:qFormat/>
    <w:rsid w:val="0003148d"/>
    <w:rPr/>
  </w:style>
  <w:style w:type="character" w:styleId="DataCarattere" w:customStyle="1">
    <w:name w:val="Data Carattere"/>
    <w:basedOn w:val="DefaultParagraphFont"/>
    <w:uiPriority w:val="99"/>
    <w:semiHidden/>
    <w:qFormat/>
    <w:rsid w:val="0003148d"/>
    <w:rPr/>
  </w:style>
  <w:style w:type="character" w:styleId="FirmaCarattere" w:customStyle="1">
    <w:name w:val="Firma Carattere"/>
    <w:basedOn w:val="DefaultParagraphFont"/>
    <w:uiPriority w:val="99"/>
    <w:semiHidden/>
    <w:qFormat/>
    <w:rsid w:val="0003148d"/>
    <w:rPr/>
  </w:style>
  <w:style w:type="character" w:styleId="FirmadipostaelettronicaCarattere" w:customStyle="1">
    <w:name w:val="Firma di posta elettronica Carattere"/>
    <w:basedOn w:val="DefaultParagraphFont"/>
    <w:uiPriority w:val="99"/>
    <w:semiHidden/>
    <w:qFormat/>
    <w:rsid w:val="0003148d"/>
    <w:rPr/>
  </w:style>
  <w:style w:type="character" w:styleId="FormuladiaperturaCarattere" w:customStyle="1">
    <w:name w:val="Formula di apertura Carattere"/>
    <w:basedOn w:val="DefaultParagraphFont"/>
    <w:uiPriority w:val="99"/>
    <w:semiHidden/>
    <w:qFormat/>
    <w:rsid w:val="0003148d"/>
    <w:rPr/>
  </w:style>
  <w:style w:type="character" w:styleId="FormuladichiusuraCarattere" w:customStyle="1">
    <w:name w:val="Formula di chiusura Carattere"/>
    <w:basedOn w:val="DefaultParagraphFont"/>
    <w:uiPriority w:val="99"/>
    <w:semiHidden/>
    <w:qFormat/>
    <w:rsid w:val="0003148d"/>
    <w:rPr/>
  </w:style>
  <w:style w:type="character" w:styleId="IndirizzoHTMLCarattere" w:customStyle="1">
    <w:name w:val="Indirizzo HTML Carattere"/>
    <w:basedOn w:val="DefaultParagraphFont"/>
    <w:uiPriority w:val="99"/>
    <w:semiHidden/>
    <w:qFormat/>
    <w:rsid w:val="0003148d"/>
    <w:rPr>
      <w:i/>
      <w:iCs/>
    </w:rPr>
  </w:style>
  <w:style w:type="character" w:styleId="IntestazionemessaggioCarattere" w:customStyle="1">
    <w:name w:val="Intestazione messaggio Carattere"/>
    <w:basedOn w:val="DefaultParagraphFont"/>
    <w:uiPriority w:val="99"/>
    <w:semiHidden/>
    <w:qFormat/>
    <w:rsid w:val="0003148d"/>
    <w:rPr>
      <w:rFonts w:ascii="Cambria" w:hAnsi="Cambria" w:eastAsia="" w:cs="" w:asciiTheme="majorHAnsi" w:cstheme="majorBidi" w:eastAsiaTheme="majorEastAsia" w:hAnsiTheme="majorHAnsi"/>
      <w:sz w:val="24"/>
      <w:szCs w:val="24"/>
      <w:shd w:fill="CCCCCC" w:val="clear"/>
    </w:rPr>
  </w:style>
  <w:style w:type="character" w:styleId="IntestazionenotaCarattere" w:customStyle="1">
    <w:name w:val="Intestazione nota Carattere"/>
    <w:basedOn w:val="DefaultParagraphFont"/>
    <w:uiPriority w:val="99"/>
    <w:semiHidden/>
    <w:qFormat/>
    <w:rsid w:val="0003148d"/>
    <w:rPr/>
  </w:style>
  <w:style w:type="character" w:styleId="MappadocumentoCarattere" w:customStyle="1">
    <w:name w:val="Mappa documento Carattere"/>
    <w:basedOn w:val="DefaultParagraphFont"/>
    <w:uiPriority w:val="99"/>
    <w:semiHidden/>
    <w:qFormat/>
    <w:rsid w:val="0003148d"/>
    <w:rPr>
      <w:rFonts w:ascii="Tahoma" w:hAnsi="Tahoma" w:cs="Tahoma"/>
      <w:sz w:val="16"/>
      <w:szCs w:val="16"/>
    </w:rPr>
  </w:style>
  <w:style w:type="character" w:styleId="PreformattatoHTMLCarattere" w:customStyle="1">
    <w:name w:val="Preformattato HTML Carattere"/>
    <w:basedOn w:val="DefaultParagraphFont"/>
    <w:uiPriority w:val="99"/>
    <w:semiHidden/>
    <w:qFormat/>
    <w:rsid w:val="0003148d"/>
    <w:rPr>
      <w:rFonts w:ascii="Consolas" w:hAnsi="Consolas" w:cs="Consolas"/>
      <w:sz w:val="20"/>
      <w:szCs w:val="20"/>
    </w:rPr>
  </w:style>
  <w:style w:type="character" w:styleId="PrimorientrocorpodeltestoCarattere" w:customStyle="1">
    <w:name w:val="Primo rientro corpo del testo Carattere"/>
    <w:basedOn w:val="CorpotestoCarattere"/>
    <w:uiPriority w:val="99"/>
    <w:semiHidden/>
    <w:qFormat/>
    <w:rsid w:val="0003148d"/>
    <w:rPr/>
  </w:style>
  <w:style w:type="character" w:styleId="RientrocorpodeltestoCarattere" w:customStyle="1">
    <w:name w:val="Rientro corpo del testo Carattere"/>
    <w:basedOn w:val="DefaultParagraphFont"/>
    <w:uiPriority w:val="99"/>
    <w:semiHidden/>
    <w:qFormat/>
    <w:rsid w:val="0003148d"/>
    <w:rPr/>
  </w:style>
  <w:style w:type="character" w:styleId="Primorientrocorpodeltesto2Carattere" w:customStyle="1">
    <w:name w:val="Primo rientro corpo del testo 2 Carattere"/>
    <w:basedOn w:val="RientrocorpodeltestoCarattere"/>
    <w:uiPriority w:val="99"/>
    <w:semiHidden/>
    <w:qFormat/>
    <w:rsid w:val="0003148d"/>
    <w:rPr/>
  </w:style>
  <w:style w:type="character" w:styleId="Rientrocorpodeltesto2Carattere" w:customStyle="1">
    <w:name w:val="Rientro corpo del testo 2 Carattere"/>
    <w:basedOn w:val="DefaultParagraphFont"/>
    <w:uiPriority w:val="99"/>
    <w:semiHidden/>
    <w:qFormat/>
    <w:rsid w:val="0003148d"/>
    <w:rPr/>
  </w:style>
  <w:style w:type="character" w:styleId="Rientrocorpodeltesto3Carattere" w:customStyle="1">
    <w:name w:val="Rientro corpo del testo 3 Carattere"/>
    <w:basedOn w:val="DefaultParagraphFont"/>
    <w:uiPriority w:val="99"/>
    <w:semiHidden/>
    <w:qFormat/>
    <w:rsid w:val="0003148d"/>
    <w:rPr>
      <w:sz w:val="16"/>
      <w:szCs w:val="16"/>
    </w:rPr>
  </w:style>
  <w:style w:type="character" w:styleId="TestocommentoCarattere" w:customStyle="1">
    <w:name w:val="Testo commento Carattere"/>
    <w:basedOn w:val="DefaultParagraphFont"/>
    <w:uiPriority w:val="99"/>
    <w:qFormat/>
    <w:rsid w:val="0003148d"/>
    <w:rPr>
      <w:sz w:val="20"/>
      <w:szCs w:val="20"/>
    </w:rPr>
  </w:style>
  <w:style w:type="character" w:styleId="SoggettocommentoCarattere" w:customStyle="1">
    <w:name w:val="Soggetto commento Carattere"/>
    <w:basedOn w:val="TestocommentoCarattere"/>
    <w:uiPriority w:val="99"/>
    <w:semiHidden/>
    <w:qFormat/>
    <w:rsid w:val="0003148d"/>
    <w:rPr>
      <w:b/>
      <w:bCs/>
      <w:sz w:val="20"/>
      <w:szCs w:val="20"/>
    </w:rPr>
  </w:style>
  <w:style w:type="character" w:styleId="TestomacroCarattere" w:customStyle="1">
    <w:name w:val="Testo macro Carattere"/>
    <w:basedOn w:val="DefaultParagraphFont"/>
    <w:uiPriority w:val="99"/>
    <w:semiHidden/>
    <w:qFormat/>
    <w:rsid w:val="0003148d"/>
    <w:rPr>
      <w:rFonts w:ascii="Consolas" w:hAnsi="Consolas" w:cs="Consolas"/>
      <w:sz w:val="20"/>
      <w:szCs w:val="20"/>
    </w:rPr>
  </w:style>
  <w:style w:type="character" w:styleId="TestonormaleCarattere" w:customStyle="1">
    <w:name w:val="Testo normale Carattere"/>
    <w:basedOn w:val="DefaultParagraphFont"/>
    <w:uiPriority w:val="99"/>
    <w:semiHidden/>
    <w:qFormat/>
    <w:rsid w:val="0003148d"/>
    <w:rPr>
      <w:rFonts w:ascii="Consolas" w:hAnsi="Consolas" w:cs="Consolas"/>
      <w:sz w:val="21"/>
      <w:szCs w:val="21"/>
    </w:rPr>
  </w:style>
  <w:style w:type="character" w:styleId="TestonotaapidipaginaCarattere" w:customStyle="1">
    <w:name w:val="Testo nota a piè di pagina Carattere"/>
    <w:basedOn w:val="DefaultParagraphFont"/>
    <w:uiPriority w:val="99"/>
    <w:semiHidden/>
    <w:qFormat/>
    <w:rsid w:val="0003148d"/>
    <w:rPr>
      <w:sz w:val="20"/>
      <w:szCs w:val="20"/>
    </w:rPr>
  </w:style>
  <w:style w:type="character" w:styleId="TestonotadichiusuraCarattere" w:customStyle="1">
    <w:name w:val="Testo nota di chiusura Carattere"/>
    <w:basedOn w:val="DefaultParagraphFont"/>
    <w:uiPriority w:val="99"/>
    <w:semiHidden/>
    <w:qFormat/>
    <w:rsid w:val="0003148d"/>
    <w:rPr>
      <w:sz w:val="20"/>
      <w:szCs w:val="20"/>
    </w:rPr>
  </w:style>
  <w:style w:type="character" w:styleId="Titolo1Carattere" w:customStyle="1">
    <w:name w:val="Titolo 1 Carattere"/>
    <w:basedOn w:val="DefaultParagraphFont"/>
    <w:uiPriority w:val="9"/>
    <w:qFormat/>
    <w:rsid w:val="004f5e36"/>
    <w:rPr>
      <w:rFonts w:ascii="Arial" w:hAnsi="Arial" w:eastAsia="Times New Roman" w:cs="Times New Roman"/>
      <w:b/>
      <w:sz w:val="20"/>
      <w:szCs w:val="20"/>
      <w:lang w:val="en-GB"/>
    </w:rPr>
  </w:style>
  <w:style w:type="character" w:styleId="Titolo2Carattere" w:customStyle="1">
    <w:name w:val="Titolo 2 Carattere"/>
    <w:basedOn w:val="DefaultParagraphFont"/>
    <w:uiPriority w:val="9"/>
    <w:semiHidden/>
    <w:qFormat/>
    <w:rsid w:val="0003148d"/>
    <w:rPr>
      <w:rFonts w:ascii="Cambria" w:hAnsi="Cambria" w:eastAsia="" w:cs="" w:asciiTheme="majorHAnsi" w:cstheme="majorBidi" w:eastAsiaTheme="majorEastAsia" w:hAnsiTheme="majorHAnsi"/>
      <w:b/>
      <w:bCs/>
      <w:color w:themeColor="accent1" w:val="4F81BD"/>
      <w:sz w:val="26"/>
      <w:szCs w:val="26"/>
    </w:rPr>
  </w:style>
  <w:style w:type="character" w:styleId="Titolo3Carattere" w:customStyle="1">
    <w:name w:val="Titolo 3 Carattere"/>
    <w:basedOn w:val="DefaultParagraphFont"/>
    <w:uiPriority w:val="9"/>
    <w:semiHidden/>
    <w:qFormat/>
    <w:rsid w:val="0003148d"/>
    <w:rPr>
      <w:rFonts w:ascii="Cambria" w:hAnsi="Cambria" w:eastAsia="" w:cs="" w:asciiTheme="majorHAnsi" w:cstheme="majorBidi" w:eastAsiaTheme="majorEastAsia" w:hAnsiTheme="majorHAnsi"/>
      <w:b/>
      <w:bCs/>
      <w:color w:themeColor="accent1" w:val="4F81BD"/>
    </w:rPr>
  </w:style>
  <w:style w:type="character" w:styleId="Titolo4Carattere" w:customStyle="1">
    <w:name w:val="Titolo 4 Carattere"/>
    <w:basedOn w:val="DefaultParagraphFont"/>
    <w:uiPriority w:val="9"/>
    <w:semiHidden/>
    <w:qFormat/>
    <w:rsid w:val="0003148d"/>
    <w:rPr>
      <w:rFonts w:ascii="Cambria" w:hAnsi="Cambria" w:eastAsia="" w:cs="" w:asciiTheme="majorHAnsi" w:cstheme="majorBidi" w:eastAsiaTheme="majorEastAsia" w:hAnsiTheme="majorHAnsi"/>
      <w:b/>
      <w:bCs/>
      <w:i/>
      <w:iCs/>
      <w:color w:themeColor="accent1" w:val="4F81BD"/>
    </w:rPr>
  </w:style>
  <w:style w:type="character" w:styleId="Titolo5Carattere" w:customStyle="1">
    <w:name w:val="Titolo 5 Carattere"/>
    <w:basedOn w:val="DefaultParagraphFont"/>
    <w:uiPriority w:val="9"/>
    <w:semiHidden/>
    <w:qFormat/>
    <w:rsid w:val="0003148d"/>
    <w:rPr>
      <w:rFonts w:ascii="Cambria" w:hAnsi="Cambria" w:eastAsia="" w:cs="" w:asciiTheme="majorHAnsi" w:cstheme="majorBidi" w:eastAsiaTheme="majorEastAsia" w:hAnsiTheme="majorHAnsi"/>
      <w:color w:themeColor="accent1" w:themeShade="7f" w:val="243F60"/>
    </w:rPr>
  </w:style>
  <w:style w:type="character" w:styleId="Titolo6Carattere" w:customStyle="1">
    <w:name w:val="Titolo 6 Carattere"/>
    <w:basedOn w:val="DefaultParagraphFont"/>
    <w:uiPriority w:val="9"/>
    <w:semiHidden/>
    <w:qFormat/>
    <w:rsid w:val="0003148d"/>
    <w:rPr>
      <w:rFonts w:ascii="Cambria" w:hAnsi="Cambria" w:eastAsia="" w:cs="" w:asciiTheme="majorHAnsi" w:cstheme="majorBidi" w:eastAsiaTheme="majorEastAsia" w:hAnsiTheme="majorHAnsi"/>
      <w:i/>
      <w:iCs/>
      <w:color w:themeColor="accent1" w:themeShade="7f" w:val="243F60"/>
    </w:rPr>
  </w:style>
  <w:style w:type="character" w:styleId="Titolo7Carattere" w:customStyle="1">
    <w:name w:val="Titolo 7 Carattere"/>
    <w:basedOn w:val="DefaultParagraphFont"/>
    <w:uiPriority w:val="9"/>
    <w:semiHidden/>
    <w:qFormat/>
    <w:rsid w:val="0003148d"/>
    <w:rPr>
      <w:rFonts w:ascii="Cambria" w:hAnsi="Cambria" w:eastAsia="" w:cs="" w:asciiTheme="majorHAnsi" w:cstheme="majorBidi" w:eastAsiaTheme="majorEastAsia" w:hAnsiTheme="majorHAnsi"/>
      <w:i/>
      <w:iCs/>
      <w:color w:themeColor="text1" w:themeTint="bf" w:val="404040"/>
    </w:rPr>
  </w:style>
  <w:style w:type="character" w:styleId="Titolo8Carattere" w:customStyle="1">
    <w:name w:val="Titolo 8 Carattere"/>
    <w:basedOn w:val="DefaultParagraphFont"/>
    <w:uiPriority w:val="9"/>
    <w:semiHidden/>
    <w:qFormat/>
    <w:rsid w:val="0003148d"/>
    <w:rPr>
      <w:rFonts w:ascii="Cambria" w:hAnsi="Cambria" w:eastAsia="" w:cs="" w:asciiTheme="majorHAnsi" w:cstheme="majorBidi" w:eastAsiaTheme="majorEastAsia" w:hAnsiTheme="majorHAnsi"/>
      <w:color w:themeColor="text1" w:themeTint="bf" w:val="404040"/>
      <w:sz w:val="20"/>
      <w:szCs w:val="20"/>
    </w:rPr>
  </w:style>
  <w:style w:type="character" w:styleId="Titolo9Carattere" w:customStyle="1">
    <w:name w:val="Titolo 9 Carattere"/>
    <w:basedOn w:val="DefaultParagraphFont"/>
    <w:uiPriority w:val="9"/>
    <w:semiHidden/>
    <w:qFormat/>
    <w:rsid w:val="0003148d"/>
    <w:rPr>
      <w:rFonts w:ascii="Cambria" w:hAnsi="Cambria" w:eastAsia="" w:cs="" w:asciiTheme="majorHAnsi" w:cstheme="majorBidi" w:eastAsiaTheme="majorEastAsia" w:hAnsiTheme="majorHAnsi"/>
      <w:i/>
      <w:iCs/>
      <w:color w:themeColor="text1" w:themeTint="bf" w:val="404040"/>
      <w:sz w:val="20"/>
      <w:szCs w:val="20"/>
    </w:rPr>
  </w:style>
  <w:style w:type="character" w:styleId="CETAddressCarattere" w:customStyle="1">
    <w:name w:val="CET Address Carattere"/>
    <w:basedOn w:val="DefaultParagraphFont"/>
    <w:link w:val="CETAddress"/>
    <w:qFormat/>
    <w:rsid w:val="009e788a"/>
    <w:rPr>
      <w:rFonts w:ascii="Arial" w:hAnsi="Arial" w:eastAsia="Times New Roman" w:cs="Times New Roman"/>
      <w:sz w:val="16"/>
      <w:szCs w:val="20"/>
      <w:lang w:val="en-GB"/>
    </w:rPr>
  </w:style>
  <w:style w:type="character" w:styleId="IntestazioneCarattere" w:customStyle="1">
    <w:name w:val="Intestazione Carattere"/>
    <w:basedOn w:val="DefaultParagraphFont"/>
    <w:uiPriority w:val="99"/>
    <w:qFormat/>
    <w:rsid w:val="005278b7"/>
    <w:rPr>
      <w:rFonts w:ascii="Arial" w:hAnsi="Arial" w:eastAsia="Times New Roman" w:cs="Times New Roman"/>
      <w:sz w:val="18"/>
      <w:szCs w:val="20"/>
      <w:lang w:val="en-GB"/>
    </w:rPr>
  </w:style>
  <w:style w:type="character" w:styleId="PidipaginaCarattere" w:customStyle="1">
    <w:name w:val="Piè di pagina Carattere"/>
    <w:basedOn w:val="DefaultParagraphFont"/>
    <w:uiPriority w:val="99"/>
    <w:qFormat/>
    <w:rsid w:val="005278b7"/>
    <w:rPr>
      <w:rFonts w:ascii="Arial" w:hAnsi="Arial" w:eastAsia="Times New Roman" w:cs="Times New Roman"/>
      <w:sz w:val="18"/>
      <w:szCs w:val="20"/>
      <w:lang w:val="en-GB"/>
    </w:rPr>
  </w:style>
  <w:style w:type="character" w:styleId="Hyperlink">
    <w:name w:val="Hyperlink"/>
    <w:basedOn w:val="DefaultParagraphFont"/>
    <w:uiPriority w:val="99"/>
    <w:unhideWhenUsed/>
    <w:rsid w:val="00904c62"/>
    <w:rPr>
      <w:color w:themeColor="hyperlink" w:val="0000FF"/>
      <w:u w:val="single"/>
    </w:rPr>
  </w:style>
  <w:style w:type="character" w:styleId="Eudoraheader" w:customStyle="1">
    <w:name w:val="eudoraheader"/>
    <w:basedOn w:val="DefaultParagraphFont"/>
    <w:qFormat/>
    <w:rsid w:val="00904c62"/>
    <w:rPr/>
  </w:style>
  <w:style w:type="character" w:styleId="CETHeadingxxChar" w:customStyle="1">
    <w:name w:val="CET Headingxx Char"/>
    <w:basedOn w:val="CETheadingxCarattere"/>
    <w:link w:val="CETHeadingxx"/>
    <w:qFormat/>
    <w:rsid w:val="000f787b"/>
    <w:rPr>
      <w:rFonts w:ascii="Arial" w:hAnsi="Arial" w:eastAsia="Times New Roman" w:cs="Times New Roman"/>
      <w:b/>
      <w:sz w:val="18"/>
      <w:szCs w:val="20"/>
      <w:lang w:val="en-US"/>
    </w:rPr>
  </w:style>
  <w:style w:type="character" w:styleId="Gmail-apple-converted-space" w:customStyle="1">
    <w:name w:val="gmail-apple-converted-space"/>
    <w:basedOn w:val="DefaultParagraphFont"/>
    <w:qFormat/>
    <w:rsid w:val="00005a19"/>
    <w:rPr/>
  </w:style>
  <w:style w:type="character" w:styleId="Punti">
    <w:name w:val="Punti"/>
    <w:qFormat/>
    <w:rPr>
      <w:rFonts w:ascii="OpenSymbol" w:hAnsi="OpenSymbol" w:eastAsia="OpenSymbol" w:cs="OpenSymbol"/>
    </w:rPr>
  </w:style>
  <w:style w:type="character" w:styleId="Caratteridinumerazione">
    <w:name w:val="Caratteri di numerazione"/>
    <w:qFormat/>
    <w:rPr/>
  </w:style>
  <w:style w:type="paragraph" w:styleId="Titolo">
    <w:name w:val="Titolo"/>
    <w:basedOn w:val="Normal"/>
    <w:next w:val="BodyText"/>
    <w:qFormat/>
    <w:pPr>
      <w:keepNext w:val="true"/>
      <w:spacing w:before="240" w:after="120"/>
    </w:pPr>
    <w:rPr>
      <w:rFonts w:ascii="Liberation Sans" w:hAnsi="Liberation Sans" w:eastAsia="AR PL UMing CN" w:cs="FreeSans"/>
      <w:sz w:val="28"/>
      <w:szCs w:val="28"/>
    </w:rPr>
  </w:style>
  <w:style w:type="paragraph" w:styleId="BodyText">
    <w:name w:val="Body Text"/>
    <w:basedOn w:val="Normal"/>
    <w:link w:val="CorpotestoCarattere"/>
    <w:uiPriority w:val="99"/>
    <w:semiHidden/>
    <w:unhideWhenUsed/>
    <w:rsid w:val="0003148d"/>
    <w:pPr>
      <w:spacing w:before="0" w:after="120"/>
    </w:pPr>
    <w:rPr/>
  </w:style>
  <w:style w:type="paragraph" w:styleId="List">
    <w:name w:val="List"/>
    <w:basedOn w:val="Normal"/>
    <w:uiPriority w:val="99"/>
    <w:semiHidden/>
    <w:unhideWhenUsed/>
    <w:rsid w:val="0003148d"/>
    <w:pPr>
      <w:spacing w:before="0" w:after="0"/>
      <w:ind w:hanging="283" w:left="283"/>
      <w:contextualSpacing/>
    </w:pPr>
    <w:rPr/>
  </w:style>
  <w:style w:type="paragraph" w:styleId="Caption">
    <w:name w:val="Caption"/>
    <w:basedOn w:val="Normal"/>
    <w:qFormat/>
    <w:pPr>
      <w:suppressLineNumbers/>
      <w:spacing w:before="120" w:after="120"/>
    </w:pPr>
    <w:rPr>
      <w:rFonts w:cs="FreeSans"/>
      <w:i/>
      <w:iCs/>
      <w:sz w:val="24"/>
      <w:szCs w:val="24"/>
    </w:rPr>
  </w:style>
  <w:style w:type="paragraph" w:styleId="Indice">
    <w:name w:val="Indice"/>
    <w:basedOn w:val="Normal"/>
    <w:qFormat/>
    <w:pPr>
      <w:suppressLineNumbers/>
    </w:pPr>
    <w:rPr>
      <w:rFonts w:cs="FreeSans"/>
    </w:rPr>
  </w:style>
  <w:style w:type="paragraph" w:styleId="CETAuthors" w:customStyle="1">
    <w:name w:val="CET Authors"/>
    <w:basedOn w:val="CETBodytext"/>
    <w:link w:val="CETAuthorsCarattere"/>
    <w:qFormat/>
    <w:rsid w:val="000e414a"/>
    <w:pPr>
      <w:keepNext w:val="true"/>
      <w:suppressAutoHyphens w:val="true"/>
      <w:spacing w:before="0" w:after="120"/>
    </w:pPr>
    <w:rPr>
      <w:sz w:val="24"/>
      <w:lang w:val="en-GB"/>
    </w:rPr>
  </w:style>
  <w:style w:type="paragraph" w:styleId="CETTitle" w:customStyle="1">
    <w:name w:val="CET Title"/>
    <w:next w:val="CETAuthors"/>
    <w:link w:val="CETTitleCarattere"/>
    <w:qFormat/>
    <w:rsid w:val="00fb730c"/>
    <w:pPr>
      <w:widowControl/>
      <w:suppressAutoHyphens w:val="true"/>
      <w:bidi w:val="0"/>
      <w:spacing w:lineRule="auto" w:line="264" w:before="480" w:after="120"/>
      <w:jc w:val="center"/>
      <w:outlineLvl w:val="0"/>
    </w:pPr>
    <w:rPr>
      <w:rFonts w:ascii="Arial" w:hAnsi="Arial" w:eastAsia="Times New Roman" w:cs="Times New Roman"/>
      <w:color w:val="auto"/>
      <w:kern w:val="0"/>
      <w:sz w:val="32"/>
      <w:szCs w:val="20"/>
      <w:lang w:val="en-GB" w:eastAsia="en-US" w:bidi="ar-SA"/>
    </w:rPr>
  </w:style>
  <w:style w:type="paragraph" w:styleId="CETHeading1" w:customStyle="1">
    <w:name w:val="CET Heading1"/>
    <w:next w:val="CETBodytext"/>
    <w:qFormat/>
    <w:rsid w:val="009e788a"/>
    <w:pPr>
      <w:keepNext w:val="true"/>
      <w:widowControl/>
      <w:numPr>
        <w:ilvl w:val="0"/>
        <w:numId w:val="1"/>
      </w:numPr>
      <w:tabs>
        <w:tab w:val="clear" w:pos="708"/>
        <w:tab w:val="left" w:pos="360" w:leader="none"/>
      </w:tabs>
      <w:suppressAutoHyphens w:val="true"/>
      <w:bidi w:val="0"/>
      <w:spacing w:lineRule="auto" w:line="240" w:before="240" w:after="120"/>
      <w:jc w:val="left"/>
    </w:pPr>
    <w:rPr>
      <w:rFonts w:ascii="Arial" w:hAnsi="Arial" w:eastAsia="Times New Roman" w:cs="Times New Roman"/>
      <w:b/>
      <w:color w:val="auto"/>
      <w:kern w:val="0"/>
      <w:sz w:val="20"/>
      <w:szCs w:val="20"/>
      <w:lang w:val="en-US" w:eastAsia="en-US" w:bidi="ar-SA"/>
    </w:rPr>
  </w:style>
  <w:style w:type="paragraph" w:styleId="CETBodytext" w:customStyle="1">
    <w:name w:val="CET Body text"/>
    <w:link w:val="CETBodytextCarattere"/>
    <w:qFormat/>
    <w:rsid w:val="000e414a"/>
    <w:pPr>
      <w:widowControl/>
      <w:tabs>
        <w:tab w:val="clear" w:pos="708"/>
        <w:tab w:val="right" w:pos="7100" w:leader="none"/>
      </w:tabs>
      <w:suppressAutoHyphens w:val="true"/>
      <w:bidi w:val="0"/>
      <w:spacing w:lineRule="auto" w:line="264" w:before="0" w:after="0"/>
      <w:jc w:val="both"/>
    </w:pPr>
    <w:rPr>
      <w:rFonts w:ascii="Arial" w:hAnsi="Arial" w:eastAsia="Times New Roman" w:cs="Times New Roman"/>
      <w:color w:val="auto"/>
      <w:kern w:val="0"/>
      <w:sz w:val="18"/>
      <w:szCs w:val="20"/>
      <w:lang w:val="en-US" w:eastAsia="en-US" w:bidi="ar-SA"/>
    </w:rPr>
  </w:style>
  <w:style w:type="paragraph" w:styleId="CETheadingx" w:customStyle="1">
    <w:name w:val="CET headingx"/>
    <w:next w:val="CETBodytext"/>
    <w:link w:val="CETheadingxCarattere"/>
    <w:autoRedefine/>
    <w:qFormat/>
    <w:rsid w:val="00fa5f5f"/>
    <w:pPr>
      <w:keepNext w:val="true"/>
      <w:widowControl/>
      <w:numPr>
        <w:ilvl w:val="0"/>
        <w:numId w:val="1"/>
      </w:numPr>
      <w:suppressAutoHyphens w:val="true"/>
      <w:bidi w:val="0"/>
      <w:spacing w:lineRule="auto" w:line="240" w:before="120" w:after="120"/>
      <w:jc w:val="left"/>
    </w:pPr>
    <w:rPr>
      <w:rFonts w:ascii="Arial" w:hAnsi="Arial" w:eastAsia="Times New Roman" w:cs="Times New Roman"/>
      <w:b/>
      <w:color w:val="auto"/>
      <w:kern w:val="0"/>
      <w:sz w:val="18"/>
      <w:szCs w:val="20"/>
      <w:lang w:val="en-US" w:eastAsia="en-US" w:bidi="ar-SA"/>
    </w:rPr>
  </w:style>
  <w:style w:type="paragraph" w:styleId="CETAddress" w:customStyle="1">
    <w:name w:val="CET Address"/>
    <w:link w:val="CETAddressCarattere"/>
    <w:qFormat/>
    <w:rsid w:val="009e788a"/>
    <w:pPr>
      <w:keepNext w:val="true"/>
      <w:widowControl/>
      <w:suppressAutoHyphens w:val="true"/>
      <w:bidi w:val="0"/>
      <w:spacing w:lineRule="auto" w:line="276" w:before="0" w:after="0"/>
      <w:contextualSpacing/>
      <w:jc w:val="left"/>
    </w:pPr>
    <w:rPr>
      <w:rFonts w:ascii="Arial" w:hAnsi="Arial" w:eastAsia="Times New Roman" w:cs="Times New Roman"/>
      <w:color w:val="auto"/>
      <w:kern w:val="0"/>
      <w:sz w:val="16"/>
      <w:szCs w:val="20"/>
      <w:lang w:val="en-GB" w:eastAsia="en-US" w:bidi="ar-SA"/>
    </w:rPr>
  </w:style>
  <w:style w:type="paragraph" w:styleId="CETReference" w:customStyle="1">
    <w:name w:val="CET Reference"/>
    <w:qFormat/>
    <w:rsid w:val="00fc2695"/>
    <w:pPr>
      <w:widowControl/>
      <w:suppressAutoHyphens w:val="true"/>
      <w:bidi w:val="0"/>
      <w:spacing w:lineRule="auto" w:line="240" w:before="200" w:after="120"/>
      <w:jc w:val="left"/>
    </w:pPr>
    <w:rPr>
      <w:rFonts w:ascii="Arial" w:hAnsi="Arial" w:eastAsia="Times New Roman" w:cs="Times New Roman"/>
      <w:b/>
      <w:color w:val="auto"/>
      <w:kern w:val="0"/>
      <w:sz w:val="18"/>
      <w:szCs w:val="20"/>
      <w:lang w:val="en-GB" w:eastAsia="en-US" w:bidi="ar-SA"/>
    </w:rPr>
  </w:style>
  <w:style w:type="paragraph" w:styleId="CETCaption" w:customStyle="1">
    <w:name w:val="CET Caption"/>
    <w:link w:val="CETCaptionCarattere"/>
    <w:qFormat/>
    <w:rsid w:val="00f7534e"/>
    <w:pPr>
      <w:widowControl/>
      <w:suppressAutoHyphens w:val="true"/>
      <w:bidi w:val="0"/>
      <w:spacing w:lineRule="auto" w:line="264" w:before="240" w:after="240"/>
      <w:jc w:val="both"/>
    </w:pPr>
    <w:rPr>
      <w:rFonts w:ascii="Arial" w:hAnsi="Arial" w:eastAsia="Times New Roman" w:cs="Times New Roman"/>
      <w:i/>
      <w:color w:val="auto"/>
      <w:kern w:val="0"/>
      <w:sz w:val="18"/>
      <w:szCs w:val="20"/>
      <w:lang w:val="en-GB" w:eastAsia="en-US" w:bidi="ar-SA"/>
    </w:rPr>
  </w:style>
  <w:style w:type="paragraph" w:styleId="CETBodytextItalic" w:customStyle="1">
    <w:name w:val="CET Body text (Italic)"/>
    <w:basedOn w:val="CETBodytext"/>
    <w:qFormat/>
    <w:rsid w:val="004f5e36"/>
    <w:pPr/>
    <w:rPr>
      <w:i/>
      <w:lang w:val="en-GB"/>
    </w:rPr>
  </w:style>
  <w:style w:type="paragraph" w:styleId="BalloonText">
    <w:name w:val="Balloon Text"/>
    <w:basedOn w:val="Normal"/>
    <w:link w:val="TestofumettoCarattere"/>
    <w:uiPriority w:val="99"/>
    <w:semiHidden/>
    <w:unhideWhenUsed/>
    <w:qFormat/>
    <w:rsid w:val="000d34be"/>
    <w:pPr>
      <w:spacing w:lineRule="auto" w:line="240"/>
    </w:pPr>
    <w:rPr>
      <w:rFonts w:ascii="Tahoma" w:hAnsi="Tahoma" w:cs="Tahoma"/>
      <w:sz w:val="16"/>
      <w:szCs w:val="16"/>
    </w:rPr>
  </w:style>
  <w:style w:type="paragraph" w:styleId="Bibliography">
    <w:name w:val="Bibliography"/>
    <w:basedOn w:val="CETReferencetext"/>
    <w:uiPriority w:val="37"/>
    <w:unhideWhenUsed/>
    <w:qFormat/>
    <w:rsid w:val="00631b33"/>
    <w:pPr>
      <w:spacing w:lineRule="auto" w:line="240"/>
      <w:ind w:hanging="720" w:left="720"/>
    </w:pPr>
    <w:rPr/>
  </w:style>
  <w:style w:type="paragraph" w:styleId="BodyText2">
    <w:name w:val="Body Text 2"/>
    <w:basedOn w:val="Normal"/>
    <w:link w:val="Corpodeltesto2Carattere"/>
    <w:uiPriority w:val="99"/>
    <w:semiHidden/>
    <w:unhideWhenUsed/>
    <w:qFormat/>
    <w:rsid w:val="0003148d"/>
    <w:pPr>
      <w:spacing w:lineRule="auto" w:line="480" w:before="0" w:after="120"/>
    </w:pPr>
    <w:rPr/>
  </w:style>
  <w:style w:type="paragraph" w:styleId="BodyText3">
    <w:name w:val="Body Text 3"/>
    <w:basedOn w:val="Normal"/>
    <w:link w:val="Corpodeltesto3Carattere"/>
    <w:uiPriority w:val="99"/>
    <w:semiHidden/>
    <w:unhideWhenUsed/>
    <w:qFormat/>
    <w:rsid w:val="0003148d"/>
    <w:pPr>
      <w:spacing w:before="0" w:after="120"/>
    </w:pPr>
    <w:rPr>
      <w:sz w:val="16"/>
      <w:szCs w:val="16"/>
    </w:rPr>
  </w:style>
  <w:style w:type="paragraph" w:styleId="Date">
    <w:name w:val="Date"/>
    <w:basedOn w:val="Normal"/>
    <w:next w:val="Normal"/>
    <w:link w:val="DataCarattere"/>
    <w:uiPriority w:val="99"/>
    <w:semiHidden/>
    <w:unhideWhenUsed/>
    <w:qFormat/>
    <w:rsid w:val="0003148d"/>
    <w:pPr/>
    <w:rPr/>
  </w:style>
  <w:style w:type="paragraph" w:styleId="Caption1">
    <w:name w:val="caption1"/>
    <w:basedOn w:val="Normal"/>
    <w:next w:val="Normal"/>
    <w:uiPriority w:val="35"/>
    <w:semiHidden/>
    <w:unhideWhenUsed/>
    <w:qFormat/>
    <w:rsid w:val="0003148d"/>
    <w:pPr>
      <w:spacing w:lineRule="auto" w:line="240"/>
    </w:pPr>
    <w:rPr>
      <w:b/>
      <w:bCs/>
      <w:color w:themeColor="accent1" w:val="4F81BD"/>
      <w:szCs w:val="18"/>
    </w:rPr>
  </w:style>
  <w:style w:type="paragraph" w:styleId="ListBullet3">
    <w:name w:val="List Bullet 3"/>
    <w:basedOn w:val="Normal"/>
    <w:uiPriority w:val="99"/>
    <w:semiHidden/>
    <w:unhideWhenUsed/>
    <w:qFormat/>
    <w:rsid w:val="0003148d"/>
    <w:pPr>
      <w:numPr>
        <w:ilvl w:val="0"/>
        <w:numId w:val="9"/>
      </w:numPr>
      <w:spacing w:before="0" w:after="0"/>
      <w:contextualSpacing/>
    </w:pPr>
    <w:rPr/>
  </w:style>
  <w:style w:type="paragraph" w:styleId="ListBullet4">
    <w:name w:val="List Bullet 4"/>
    <w:basedOn w:val="Normal"/>
    <w:uiPriority w:val="99"/>
    <w:semiHidden/>
    <w:unhideWhenUsed/>
    <w:qFormat/>
    <w:rsid w:val="0003148d"/>
    <w:pPr>
      <w:numPr>
        <w:ilvl w:val="0"/>
        <w:numId w:val="10"/>
      </w:numPr>
      <w:spacing w:before="0" w:after="0"/>
      <w:contextualSpacing/>
    </w:pPr>
    <w:rPr/>
  </w:style>
  <w:style w:type="paragraph" w:styleId="ListBullet5">
    <w:name w:val="List Bullet 5"/>
    <w:basedOn w:val="Normal"/>
    <w:uiPriority w:val="99"/>
    <w:semiHidden/>
    <w:unhideWhenUsed/>
    <w:qFormat/>
    <w:rsid w:val="0003148d"/>
    <w:pPr>
      <w:numPr>
        <w:ilvl w:val="0"/>
        <w:numId w:val="11"/>
      </w:numPr>
      <w:spacing w:before="0" w:after="0"/>
      <w:contextualSpacing/>
    </w:pPr>
    <w:rPr/>
  </w:style>
  <w:style w:type="paragraph" w:styleId="ListNumber">
    <w:name w:val="List Number"/>
    <w:basedOn w:val="Normal"/>
    <w:uiPriority w:val="99"/>
    <w:semiHidden/>
    <w:unhideWhenUsed/>
    <w:qFormat/>
    <w:rsid w:val="0003148d"/>
    <w:pPr>
      <w:numPr>
        <w:ilvl w:val="0"/>
        <w:numId w:val="2"/>
      </w:numPr>
      <w:spacing w:before="0" w:after="0"/>
      <w:contextualSpacing/>
    </w:pPr>
    <w:rPr/>
  </w:style>
  <w:style w:type="paragraph" w:styleId="ListContinue">
    <w:name w:val="List Continue"/>
    <w:basedOn w:val="Normal"/>
    <w:uiPriority w:val="99"/>
    <w:semiHidden/>
    <w:unhideWhenUsed/>
    <w:qFormat/>
    <w:rsid w:val="0003148d"/>
    <w:pPr>
      <w:spacing w:before="0" w:after="120"/>
      <w:ind w:hanging="0" w:left="283"/>
      <w:contextualSpacing/>
    </w:pPr>
    <w:rPr/>
  </w:style>
  <w:style w:type="paragraph" w:styleId="ListContinue2">
    <w:name w:val="List Continue 2"/>
    <w:basedOn w:val="Normal"/>
    <w:uiPriority w:val="99"/>
    <w:semiHidden/>
    <w:unhideWhenUsed/>
    <w:qFormat/>
    <w:rsid w:val="0003148d"/>
    <w:pPr>
      <w:spacing w:before="0" w:after="120"/>
      <w:ind w:hanging="0" w:left="566"/>
      <w:contextualSpacing/>
    </w:pPr>
    <w:rPr/>
  </w:style>
  <w:style w:type="paragraph" w:styleId="ListContinue3">
    <w:name w:val="List Continue 3"/>
    <w:basedOn w:val="Normal"/>
    <w:uiPriority w:val="99"/>
    <w:semiHidden/>
    <w:unhideWhenUsed/>
    <w:qFormat/>
    <w:rsid w:val="0003148d"/>
    <w:pPr>
      <w:spacing w:before="0" w:after="120"/>
      <w:ind w:hanging="0" w:left="849"/>
      <w:contextualSpacing/>
    </w:pPr>
    <w:rPr/>
  </w:style>
  <w:style w:type="paragraph" w:styleId="ListContinue4">
    <w:name w:val="List Continue 4"/>
    <w:basedOn w:val="Normal"/>
    <w:uiPriority w:val="99"/>
    <w:semiHidden/>
    <w:unhideWhenUsed/>
    <w:qFormat/>
    <w:rsid w:val="0003148d"/>
    <w:pPr>
      <w:spacing w:before="0" w:after="120"/>
      <w:ind w:hanging="0" w:left="1132"/>
      <w:contextualSpacing/>
    </w:pPr>
    <w:rPr/>
  </w:style>
  <w:style w:type="paragraph" w:styleId="ListContinue5">
    <w:name w:val="List Continue 5"/>
    <w:basedOn w:val="Normal"/>
    <w:uiPriority w:val="99"/>
    <w:semiHidden/>
    <w:unhideWhenUsed/>
    <w:qFormat/>
    <w:rsid w:val="0003148d"/>
    <w:pPr>
      <w:spacing w:before="0" w:after="120"/>
      <w:ind w:hanging="0" w:left="1415"/>
      <w:contextualSpacing/>
    </w:pPr>
    <w:rPr/>
  </w:style>
  <w:style w:type="paragraph" w:styleId="Signature">
    <w:name w:val="Signature"/>
    <w:basedOn w:val="Normal"/>
    <w:link w:val="FirmaCarattere"/>
    <w:uiPriority w:val="99"/>
    <w:semiHidden/>
    <w:unhideWhenUsed/>
    <w:rsid w:val="0003148d"/>
    <w:pPr>
      <w:spacing w:lineRule="auto" w:line="240"/>
      <w:ind w:hanging="0" w:left="4252"/>
    </w:pPr>
    <w:rPr/>
  </w:style>
  <w:style w:type="paragraph" w:styleId="E-mailSignature">
    <w:name w:val="E-mail Signature"/>
    <w:basedOn w:val="Normal"/>
    <w:link w:val="FirmadipostaelettronicaCarattere"/>
    <w:uiPriority w:val="99"/>
    <w:semiHidden/>
    <w:unhideWhenUsed/>
    <w:qFormat/>
    <w:rsid w:val="0003148d"/>
    <w:pPr>
      <w:spacing w:lineRule="auto" w:line="240"/>
    </w:pPr>
    <w:rPr/>
  </w:style>
  <w:style w:type="paragraph" w:styleId="Salutation">
    <w:name w:val="Salutation"/>
    <w:basedOn w:val="Normal"/>
    <w:next w:val="Normal"/>
    <w:link w:val="FormuladiaperturaCarattere"/>
    <w:uiPriority w:val="99"/>
    <w:semiHidden/>
    <w:unhideWhenUsed/>
    <w:rsid w:val="0003148d"/>
    <w:pPr/>
    <w:rPr/>
  </w:style>
  <w:style w:type="paragraph" w:styleId="Closing">
    <w:name w:val="Closing"/>
    <w:basedOn w:val="Normal"/>
    <w:link w:val="FormuladichiusuraCarattere"/>
    <w:uiPriority w:val="99"/>
    <w:semiHidden/>
    <w:unhideWhenUsed/>
    <w:qFormat/>
    <w:rsid w:val="0003148d"/>
    <w:pPr>
      <w:spacing w:lineRule="auto" w:line="240"/>
      <w:ind w:hanging="0" w:left="4252"/>
    </w:pPr>
    <w:rPr/>
  </w:style>
  <w:style w:type="paragraph" w:styleId="Index1">
    <w:name w:val="index 1"/>
    <w:basedOn w:val="Normal"/>
    <w:next w:val="Normal"/>
    <w:autoRedefine/>
    <w:uiPriority w:val="99"/>
    <w:semiHidden/>
    <w:unhideWhenUsed/>
    <w:qFormat/>
    <w:rsid w:val="0003148d"/>
    <w:pPr>
      <w:spacing w:lineRule="auto" w:line="240"/>
      <w:ind w:hanging="220" w:left="220"/>
    </w:pPr>
    <w:rPr/>
  </w:style>
  <w:style w:type="paragraph" w:styleId="Index2">
    <w:name w:val="index 2"/>
    <w:basedOn w:val="Normal"/>
    <w:next w:val="Normal"/>
    <w:autoRedefine/>
    <w:uiPriority w:val="99"/>
    <w:semiHidden/>
    <w:unhideWhenUsed/>
    <w:qFormat/>
    <w:rsid w:val="0003148d"/>
    <w:pPr>
      <w:spacing w:lineRule="auto" w:line="240"/>
      <w:ind w:hanging="220" w:left="440"/>
    </w:pPr>
    <w:rPr/>
  </w:style>
  <w:style w:type="paragraph" w:styleId="Index3">
    <w:name w:val="index 3"/>
    <w:basedOn w:val="Normal"/>
    <w:next w:val="Normal"/>
    <w:autoRedefine/>
    <w:uiPriority w:val="99"/>
    <w:semiHidden/>
    <w:unhideWhenUsed/>
    <w:qFormat/>
    <w:rsid w:val="0003148d"/>
    <w:pPr>
      <w:spacing w:lineRule="auto" w:line="240"/>
      <w:ind w:hanging="220" w:left="660"/>
    </w:pPr>
    <w:rPr/>
  </w:style>
  <w:style w:type="paragraph" w:styleId="Index4">
    <w:name w:val="index 4"/>
    <w:basedOn w:val="Normal"/>
    <w:next w:val="Normal"/>
    <w:autoRedefine/>
    <w:uiPriority w:val="99"/>
    <w:semiHidden/>
    <w:unhideWhenUsed/>
    <w:qFormat/>
    <w:rsid w:val="0003148d"/>
    <w:pPr>
      <w:spacing w:lineRule="auto" w:line="240"/>
      <w:ind w:hanging="220" w:left="880"/>
    </w:pPr>
    <w:rPr/>
  </w:style>
  <w:style w:type="paragraph" w:styleId="Index5">
    <w:name w:val="index 5"/>
    <w:basedOn w:val="Normal"/>
    <w:next w:val="Normal"/>
    <w:autoRedefine/>
    <w:uiPriority w:val="99"/>
    <w:semiHidden/>
    <w:unhideWhenUsed/>
    <w:qFormat/>
    <w:rsid w:val="0003148d"/>
    <w:pPr>
      <w:spacing w:lineRule="auto" w:line="240"/>
      <w:ind w:hanging="220" w:left="1100"/>
    </w:pPr>
    <w:rPr/>
  </w:style>
  <w:style w:type="paragraph" w:styleId="Index6">
    <w:name w:val="index 6"/>
    <w:basedOn w:val="Normal"/>
    <w:next w:val="Normal"/>
    <w:autoRedefine/>
    <w:uiPriority w:val="99"/>
    <w:semiHidden/>
    <w:unhideWhenUsed/>
    <w:qFormat/>
    <w:rsid w:val="0003148d"/>
    <w:pPr>
      <w:spacing w:lineRule="auto" w:line="240"/>
      <w:ind w:hanging="220" w:left="1320"/>
    </w:pPr>
    <w:rPr/>
  </w:style>
  <w:style w:type="paragraph" w:styleId="Index7">
    <w:name w:val="index 7"/>
    <w:basedOn w:val="Normal"/>
    <w:next w:val="Normal"/>
    <w:autoRedefine/>
    <w:uiPriority w:val="99"/>
    <w:semiHidden/>
    <w:unhideWhenUsed/>
    <w:qFormat/>
    <w:rsid w:val="0003148d"/>
    <w:pPr>
      <w:spacing w:lineRule="auto" w:line="240"/>
      <w:ind w:hanging="220" w:left="1540"/>
    </w:pPr>
    <w:rPr/>
  </w:style>
  <w:style w:type="paragraph" w:styleId="Index8">
    <w:name w:val="index 8"/>
    <w:basedOn w:val="Normal"/>
    <w:next w:val="Normal"/>
    <w:autoRedefine/>
    <w:uiPriority w:val="99"/>
    <w:semiHidden/>
    <w:unhideWhenUsed/>
    <w:qFormat/>
    <w:rsid w:val="0003148d"/>
    <w:pPr>
      <w:spacing w:lineRule="auto" w:line="240"/>
      <w:ind w:hanging="220" w:left="1760"/>
    </w:pPr>
    <w:rPr/>
  </w:style>
  <w:style w:type="paragraph" w:styleId="Index9">
    <w:name w:val="index 9"/>
    <w:basedOn w:val="Normal"/>
    <w:next w:val="Normal"/>
    <w:autoRedefine/>
    <w:uiPriority w:val="99"/>
    <w:semiHidden/>
    <w:unhideWhenUsed/>
    <w:qFormat/>
    <w:rsid w:val="0003148d"/>
    <w:pPr>
      <w:spacing w:lineRule="auto" w:line="240"/>
      <w:ind w:hanging="220" w:left="1980"/>
    </w:pPr>
    <w:rPr/>
  </w:style>
  <w:style w:type="paragraph" w:styleId="TableofFigures">
    <w:name w:val="Table of Figures"/>
    <w:basedOn w:val="Normal"/>
    <w:next w:val="Normal"/>
    <w:uiPriority w:val="99"/>
    <w:semiHidden/>
    <w:unhideWhenUsed/>
    <w:qFormat/>
    <w:rsid w:val="0003148d"/>
    <w:pPr/>
    <w:rPr/>
  </w:style>
  <w:style w:type="paragraph" w:styleId="Tableofauthorities">
    <w:name w:val="table of authorities"/>
    <w:basedOn w:val="Normal"/>
    <w:next w:val="Normal"/>
    <w:uiPriority w:val="99"/>
    <w:semiHidden/>
    <w:unhideWhenUsed/>
    <w:qFormat/>
    <w:rsid w:val="0003148d"/>
    <w:pPr>
      <w:ind w:hanging="220" w:left="220"/>
    </w:pPr>
    <w:rPr/>
  </w:style>
  <w:style w:type="paragraph" w:styleId="Envelopeaddress">
    <w:name w:val="envelope address"/>
    <w:basedOn w:val="Normal"/>
    <w:uiPriority w:val="99"/>
    <w:semiHidden/>
    <w:unhideWhenUsed/>
    <w:qFormat/>
    <w:rsid w:val="0003148d"/>
    <w:pPr>
      <w:spacing w:lineRule="auto" w:line="240"/>
      <w:ind w:hanging="0" w:left="2880"/>
    </w:pPr>
    <w:rPr>
      <w:rFonts w:ascii="Cambria" w:hAnsi="Cambria" w:eastAsia="" w:cs="" w:asciiTheme="majorHAnsi" w:cstheme="majorBidi" w:eastAsiaTheme="majorEastAsia" w:hAnsiTheme="majorHAnsi"/>
      <w:sz w:val="24"/>
      <w:szCs w:val="24"/>
    </w:rPr>
  </w:style>
  <w:style w:type="paragraph" w:styleId="HTMLAddress">
    <w:name w:val="HTML Address"/>
    <w:basedOn w:val="Normal"/>
    <w:link w:val="IndirizzoHTMLCarattere"/>
    <w:uiPriority w:val="99"/>
    <w:semiHidden/>
    <w:unhideWhenUsed/>
    <w:qFormat/>
    <w:rsid w:val="0003148d"/>
    <w:pPr>
      <w:spacing w:lineRule="auto" w:line="240"/>
    </w:pPr>
    <w:rPr>
      <w:i/>
      <w:iCs/>
    </w:rPr>
  </w:style>
  <w:style w:type="paragraph" w:styleId="Envelopereturn">
    <w:name w:val="envelope return"/>
    <w:basedOn w:val="Normal"/>
    <w:uiPriority w:val="99"/>
    <w:semiHidden/>
    <w:unhideWhenUsed/>
    <w:qFormat/>
    <w:rsid w:val="0003148d"/>
    <w:pPr>
      <w:spacing w:lineRule="auto" w:line="240"/>
    </w:pPr>
    <w:rPr>
      <w:rFonts w:ascii="Cambria" w:hAnsi="Cambria" w:eastAsia="" w:cs="" w:asciiTheme="majorHAnsi" w:cstheme="majorBidi" w:eastAsiaTheme="majorEastAsia" w:hAnsiTheme="majorHAnsi"/>
    </w:rPr>
  </w:style>
  <w:style w:type="paragraph" w:styleId="MessageHeader">
    <w:name w:val="Message Header"/>
    <w:basedOn w:val="Normal"/>
    <w:link w:val="IntestazionemessaggioCarattere"/>
    <w:uiPriority w:val="99"/>
    <w:semiHidden/>
    <w:unhideWhenUsed/>
    <w:qFormat/>
    <w:rsid w:val="0003148d"/>
    <w:pPr>
      <w:pBdr>
        <w:top w:val="single" w:sz="6" w:space="1" w:color="000000"/>
        <w:left w:val="single" w:sz="6" w:space="1" w:color="000000"/>
        <w:bottom w:val="single" w:sz="6" w:space="1" w:color="000000"/>
        <w:right w:val="single" w:sz="6" w:space="1" w:color="000000"/>
      </w:pBdr>
      <w:shd w:val="pct20" w:color="auto" w:fill="auto"/>
      <w:spacing w:lineRule="auto" w:line="240"/>
      <w:ind w:hanging="1134" w:left="1134"/>
    </w:pPr>
    <w:rPr>
      <w:rFonts w:ascii="Cambria" w:hAnsi="Cambria" w:eastAsia="" w:cs="" w:asciiTheme="majorHAnsi" w:cstheme="majorBidi" w:eastAsiaTheme="majorEastAsia" w:hAnsiTheme="majorHAnsi"/>
      <w:sz w:val="24"/>
      <w:szCs w:val="24"/>
    </w:rPr>
  </w:style>
  <w:style w:type="paragraph" w:styleId="NoteHeading">
    <w:name w:val="Note Heading"/>
    <w:basedOn w:val="Normal"/>
    <w:next w:val="Normal"/>
    <w:link w:val="IntestazionenotaCarattere"/>
    <w:uiPriority w:val="99"/>
    <w:semiHidden/>
    <w:unhideWhenUsed/>
    <w:qFormat/>
    <w:rsid w:val="0003148d"/>
    <w:pPr>
      <w:spacing w:lineRule="auto" w:line="240"/>
    </w:pPr>
    <w:rPr/>
  </w:style>
  <w:style w:type="paragraph" w:styleId="DocumentMap">
    <w:name w:val="Document Map"/>
    <w:basedOn w:val="Normal"/>
    <w:link w:val="MappadocumentoCarattere"/>
    <w:uiPriority w:val="99"/>
    <w:semiHidden/>
    <w:unhideWhenUsed/>
    <w:qFormat/>
    <w:rsid w:val="0003148d"/>
    <w:pPr>
      <w:spacing w:lineRule="auto" w:line="240"/>
    </w:pPr>
    <w:rPr>
      <w:rFonts w:ascii="Tahoma" w:hAnsi="Tahoma" w:cs="Tahoma"/>
      <w:sz w:val="16"/>
      <w:szCs w:val="16"/>
    </w:rPr>
  </w:style>
  <w:style w:type="paragraph" w:styleId="NormalWeb">
    <w:name w:val="Normal (Web)"/>
    <w:basedOn w:val="Normal"/>
    <w:uiPriority w:val="99"/>
    <w:semiHidden/>
    <w:unhideWhenUsed/>
    <w:qFormat/>
    <w:rsid w:val="0003148d"/>
    <w:pPr/>
    <w:rPr>
      <w:sz w:val="24"/>
      <w:szCs w:val="24"/>
    </w:rPr>
  </w:style>
  <w:style w:type="paragraph" w:styleId="ListNumber2">
    <w:name w:val="List Number 2"/>
    <w:basedOn w:val="Normal"/>
    <w:uiPriority w:val="99"/>
    <w:semiHidden/>
    <w:unhideWhenUsed/>
    <w:qFormat/>
    <w:rsid w:val="0003148d"/>
    <w:pPr>
      <w:numPr>
        <w:ilvl w:val="0"/>
        <w:numId w:val="3"/>
      </w:numPr>
      <w:spacing w:before="0" w:after="0"/>
      <w:contextualSpacing/>
    </w:pPr>
    <w:rPr/>
  </w:style>
  <w:style w:type="paragraph" w:styleId="ListNumber3">
    <w:name w:val="List Number 3"/>
    <w:basedOn w:val="Normal"/>
    <w:uiPriority w:val="99"/>
    <w:semiHidden/>
    <w:unhideWhenUsed/>
    <w:qFormat/>
    <w:rsid w:val="0003148d"/>
    <w:pPr>
      <w:numPr>
        <w:ilvl w:val="0"/>
        <w:numId w:val="4"/>
      </w:numPr>
      <w:spacing w:before="0" w:after="0"/>
      <w:contextualSpacing/>
    </w:pPr>
    <w:rPr/>
  </w:style>
  <w:style w:type="paragraph" w:styleId="ListNumber4">
    <w:name w:val="List Number 4"/>
    <w:basedOn w:val="Normal"/>
    <w:uiPriority w:val="99"/>
    <w:semiHidden/>
    <w:unhideWhenUsed/>
    <w:qFormat/>
    <w:rsid w:val="0003148d"/>
    <w:pPr>
      <w:numPr>
        <w:ilvl w:val="0"/>
        <w:numId w:val="5"/>
      </w:numPr>
      <w:spacing w:before="0" w:after="0"/>
      <w:contextualSpacing/>
    </w:pPr>
    <w:rPr/>
  </w:style>
  <w:style w:type="paragraph" w:styleId="ListNumber5">
    <w:name w:val="List Number 5"/>
    <w:basedOn w:val="Normal"/>
    <w:uiPriority w:val="99"/>
    <w:semiHidden/>
    <w:unhideWhenUsed/>
    <w:qFormat/>
    <w:rsid w:val="0003148d"/>
    <w:pPr>
      <w:numPr>
        <w:ilvl w:val="0"/>
        <w:numId w:val="6"/>
      </w:numPr>
      <w:spacing w:before="0" w:after="0"/>
      <w:contextualSpacing/>
    </w:pPr>
    <w:rPr/>
  </w:style>
  <w:style w:type="paragraph" w:styleId="HTMLPreformatted">
    <w:name w:val="HTML Preformatted"/>
    <w:basedOn w:val="Normal"/>
    <w:link w:val="PreformattatoHTMLCarattere"/>
    <w:uiPriority w:val="99"/>
    <w:semiHidden/>
    <w:unhideWhenUsed/>
    <w:qFormat/>
    <w:rsid w:val="0003148d"/>
    <w:pPr>
      <w:spacing w:lineRule="auto" w:line="240"/>
    </w:pPr>
    <w:rPr>
      <w:rFonts w:ascii="Consolas" w:hAnsi="Consolas" w:cs="Consolas"/>
    </w:rPr>
  </w:style>
  <w:style w:type="paragraph" w:styleId="BodyTextIndent">
    <w:name w:val="Body Text Indent"/>
    <w:basedOn w:val="Normal"/>
    <w:link w:val="RientrocorpodeltestoCarattere"/>
    <w:uiPriority w:val="99"/>
    <w:semiHidden/>
    <w:unhideWhenUsed/>
    <w:rsid w:val="0003148d"/>
    <w:pPr>
      <w:spacing w:before="0" w:after="120"/>
      <w:ind w:hanging="0" w:left="283"/>
    </w:pPr>
    <w:rPr/>
  </w:style>
  <w:style w:type="paragraph" w:styleId="BodyTextFirstIndent2">
    <w:name w:val="Body Text First Indent 2"/>
    <w:basedOn w:val="BodyTextIndent"/>
    <w:link w:val="Primorientrocorpodeltesto2Carattere"/>
    <w:uiPriority w:val="99"/>
    <w:semiHidden/>
    <w:unhideWhenUsed/>
    <w:qFormat/>
    <w:rsid w:val="0003148d"/>
    <w:pPr>
      <w:spacing w:before="0" w:after="200"/>
      <w:ind w:firstLine="360" w:left="360"/>
    </w:pPr>
    <w:rPr/>
  </w:style>
  <w:style w:type="paragraph" w:styleId="ListBullet">
    <w:name w:val="List Bullet"/>
    <w:basedOn w:val="Normal"/>
    <w:uiPriority w:val="99"/>
    <w:semiHidden/>
    <w:unhideWhenUsed/>
    <w:qFormat/>
    <w:rsid w:val="0003148d"/>
    <w:pPr>
      <w:numPr>
        <w:ilvl w:val="0"/>
        <w:numId w:val="7"/>
      </w:numPr>
      <w:spacing w:before="0" w:after="0"/>
      <w:contextualSpacing/>
    </w:pPr>
    <w:rPr/>
  </w:style>
  <w:style w:type="paragraph" w:styleId="ListBullet2">
    <w:name w:val="List Bullet 2"/>
    <w:basedOn w:val="Normal"/>
    <w:uiPriority w:val="99"/>
    <w:semiHidden/>
    <w:unhideWhenUsed/>
    <w:qFormat/>
    <w:rsid w:val="0003148d"/>
    <w:pPr>
      <w:numPr>
        <w:ilvl w:val="0"/>
        <w:numId w:val="8"/>
      </w:numPr>
      <w:spacing w:before="0" w:after="0"/>
      <w:contextualSpacing/>
    </w:pPr>
    <w:rPr/>
  </w:style>
  <w:style w:type="paragraph" w:styleId="BodyTextIndent2">
    <w:name w:val="Body Text Indent 2"/>
    <w:basedOn w:val="Normal"/>
    <w:link w:val="Rientrocorpodeltesto2Carattere"/>
    <w:uiPriority w:val="99"/>
    <w:semiHidden/>
    <w:unhideWhenUsed/>
    <w:qFormat/>
    <w:rsid w:val="0003148d"/>
    <w:pPr>
      <w:spacing w:lineRule="auto" w:line="480" w:before="0" w:after="120"/>
      <w:ind w:hanging="0" w:left="283"/>
    </w:pPr>
    <w:rPr/>
  </w:style>
  <w:style w:type="paragraph" w:styleId="BodyTextIndent3">
    <w:name w:val="Body Text Indent 3"/>
    <w:basedOn w:val="Normal"/>
    <w:link w:val="Rientrocorpodeltesto3Carattere"/>
    <w:uiPriority w:val="99"/>
    <w:semiHidden/>
    <w:unhideWhenUsed/>
    <w:qFormat/>
    <w:rsid w:val="0003148d"/>
    <w:pPr>
      <w:spacing w:before="0" w:after="120"/>
      <w:ind w:hanging="0" w:left="283"/>
    </w:pPr>
    <w:rPr>
      <w:sz w:val="16"/>
      <w:szCs w:val="16"/>
    </w:rPr>
  </w:style>
  <w:style w:type="paragraph" w:styleId="NormalIndent">
    <w:name w:val="Normal Indent"/>
    <w:basedOn w:val="Normal"/>
    <w:uiPriority w:val="99"/>
    <w:semiHidden/>
    <w:unhideWhenUsed/>
    <w:qFormat/>
    <w:rsid w:val="0003148d"/>
    <w:pPr>
      <w:ind w:hanging="0" w:left="720"/>
    </w:pPr>
    <w:rPr/>
  </w:style>
  <w:style w:type="paragraph" w:styleId="Annotationtext">
    <w:name w:val="annotation text"/>
    <w:basedOn w:val="Normal"/>
    <w:link w:val="TestocommentoCarattere"/>
    <w:uiPriority w:val="99"/>
    <w:unhideWhenUsed/>
    <w:qFormat/>
    <w:rsid w:val="0003148d"/>
    <w:pPr>
      <w:spacing w:lineRule="auto" w:line="240"/>
    </w:pPr>
    <w:rPr/>
  </w:style>
  <w:style w:type="paragraph" w:styleId="Annotationsubject">
    <w:name w:val="annotation subject"/>
    <w:basedOn w:val="Annotationtext"/>
    <w:next w:val="Annotationtext"/>
    <w:link w:val="SoggettocommentoCarattere"/>
    <w:uiPriority w:val="99"/>
    <w:semiHidden/>
    <w:unhideWhenUsed/>
    <w:qFormat/>
    <w:rsid w:val="0003148d"/>
    <w:pPr/>
    <w:rPr>
      <w:b/>
      <w:bCs/>
    </w:rPr>
  </w:style>
  <w:style w:type="paragraph" w:styleId="TOC1">
    <w:name w:val="TOC 1"/>
    <w:basedOn w:val="Normal"/>
    <w:next w:val="Normal"/>
    <w:autoRedefine/>
    <w:uiPriority w:val="39"/>
    <w:semiHidden/>
    <w:unhideWhenUsed/>
    <w:rsid w:val="0003148d"/>
    <w:pPr>
      <w:spacing w:before="0" w:after="100"/>
    </w:pPr>
    <w:rPr/>
  </w:style>
  <w:style w:type="paragraph" w:styleId="TOC2">
    <w:name w:val="TOC 2"/>
    <w:basedOn w:val="Normal"/>
    <w:next w:val="Normal"/>
    <w:autoRedefine/>
    <w:uiPriority w:val="39"/>
    <w:semiHidden/>
    <w:unhideWhenUsed/>
    <w:rsid w:val="0003148d"/>
    <w:pPr>
      <w:spacing w:before="0" w:after="100"/>
      <w:ind w:hanging="0" w:left="220"/>
    </w:pPr>
    <w:rPr/>
  </w:style>
  <w:style w:type="paragraph" w:styleId="TOC3">
    <w:name w:val="TOC 3"/>
    <w:basedOn w:val="Normal"/>
    <w:next w:val="Normal"/>
    <w:autoRedefine/>
    <w:uiPriority w:val="39"/>
    <w:semiHidden/>
    <w:unhideWhenUsed/>
    <w:rsid w:val="0003148d"/>
    <w:pPr>
      <w:spacing w:before="0" w:after="100"/>
      <w:ind w:hanging="0" w:left="440"/>
    </w:pPr>
    <w:rPr/>
  </w:style>
  <w:style w:type="paragraph" w:styleId="TOC4">
    <w:name w:val="TOC 4"/>
    <w:basedOn w:val="Normal"/>
    <w:next w:val="Normal"/>
    <w:autoRedefine/>
    <w:uiPriority w:val="39"/>
    <w:semiHidden/>
    <w:unhideWhenUsed/>
    <w:rsid w:val="0003148d"/>
    <w:pPr>
      <w:spacing w:before="0" w:after="100"/>
      <w:ind w:hanging="0" w:left="660"/>
    </w:pPr>
    <w:rPr/>
  </w:style>
  <w:style w:type="paragraph" w:styleId="TOC5">
    <w:name w:val="TOC 5"/>
    <w:basedOn w:val="Normal"/>
    <w:next w:val="Normal"/>
    <w:autoRedefine/>
    <w:uiPriority w:val="39"/>
    <w:semiHidden/>
    <w:unhideWhenUsed/>
    <w:rsid w:val="0003148d"/>
    <w:pPr>
      <w:spacing w:before="0" w:after="100"/>
      <w:ind w:hanging="0" w:left="880"/>
    </w:pPr>
    <w:rPr/>
  </w:style>
  <w:style w:type="paragraph" w:styleId="TOC6">
    <w:name w:val="TOC 6"/>
    <w:basedOn w:val="Normal"/>
    <w:next w:val="Normal"/>
    <w:autoRedefine/>
    <w:uiPriority w:val="39"/>
    <w:semiHidden/>
    <w:unhideWhenUsed/>
    <w:rsid w:val="0003148d"/>
    <w:pPr>
      <w:spacing w:before="0" w:after="100"/>
      <w:ind w:hanging="0" w:left="1100"/>
    </w:pPr>
    <w:rPr/>
  </w:style>
  <w:style w:type="paragraph" w:styleId="TOC7">
    <w:name w:val="TOC 7"/>
    <w:basedOn w:val="Normal"/>
    <w:next w:val="Normal"/>
    <w:autoRedefine/>
    <w:uiPriority w:val="39"/>
    <w:semiHidden/>
    <w:unhideWhenUsed/>
    <w:rsid w:val="0003148d"/>
    <w:pPr>
      <w:spacing w:before="0" w:after="100"/>
      <w:ind w:hanging="0" w:left="1320"/>
    </w:pPr>
    <w:rPr/>
  </w:style>
  <w:style w:type="paragraph" w:styleId="TOC8">
    <w:name w:val="TOC 8"/>
    <w:basedOn w:val="Normal"/>
    <w:next w:val="Normal"/>
    <w:autoRedefine/>
    <w:uiPriority w:val="39"/>
    <w:semiHidden/>
    <w:unhideWhenUsed/>
    <w:rsid w:val="0003148d"/>
    <w:pPr>
      <w:spacing w:before="0" w:after="100"/>
      <w:ind w:hanging="0" w:left="1540"/>
    </w:pPr>
    <w:rPr/>
  </w:style>
  <w:style w:type="paragraph" w:styleId="TOC9">
    <w:name w:val="TOC 9"/>
    <w:basedOn w:val="Normal"/>
    <w:next w:val="Normal"/>
    <w:autoRedefine/>
    <w:uiPriority w:val="39"/>
    <w:semiHidden/>
    <w:unhideWhenUsed/>
    <w:rsid w:val="0003148d"/>
    <w:pPr>
      <w:spacing w:before="0" w:after="100"/>
      <w:ind w:hanging="0" w:left="1760"/>
    </w:pPr>
    <w:rPr/>
  </w:style>
  <w:style w:type="paragraph" w:styleId="BlockText">
    <w:name w:val="Block Text"/>
    <w:basedOn w:val="Normal"/>
    <w:uiPriority w:val="99"/>
    <w:semiHidden/>
    <w:unhideWhenUsed/>
    <w:qFormat/>
    <w:rsid w:val="0003148d"/>
    <w:pPr>
      <w:pBdr>
        <w:top w:val="single" w:sz="2" w:space="10" w:color="4F81BD"/>
        <w:left w:val="single" w:sz="2" w:space="10" w:color="4F81BD"/>
        <w:bottom w:val="single" w:sz="2" w:space="10" w:color="4F81BD"/>
        <w:right w:val="single" w:sz="2" w:space="10" w:color="4F81BD"/>
      </w:pBdr>
      <w:ind w:hanging="0" w:left="1152" w:right="1152"/>
    </w:pPr>
    <w:rPr>
      <w:rFonts w:eastAsia="" w:eastAsiaTheme="minorEastAsia"/>
      <w:i/>
      <w:iCs/>
      <w:color w:themeColor="accent1" w:val="4F81BD"/>
    </w:rPr>
  </w:style>
  <w:style w:type="paragraph" w:styleId="Macro">
    <w:name w:val="macro"/>
    <w:link w:val="TestomacroCarattere"/>
    <w:uiPriority w:val="99"/>
    <w:semiHidden/>
    <w:unhideWhenUsed/>
    <w:qFormat/>
    <w:rsid w:val="0003148d"/>
    <w:pPr>
      <w:widowControl/>
      <w:tabs>
        <w:tab w:val="clear" w:pos="708"/>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suppressAutoHyphens w:val="true"/>
      <w:bidi w:val="0"/>
      <w:spacing w:lineRule="auto" w:line="276" w:before="0" w:after="0"/>
      <w:jc w:val="left"/>
    </w:pPr>
    <w:rPr>
      <w:rFonts w:ascii="Consolas" w:hAnsi="Consolas" w:eastAsia="Calibri" w:cs="Consolas" w:eastAsiaTheme="minorHAnsi"/>
      <w:color w:val="auto"/>
      <w:kern w:val="0"/>
      <w:sz w:val="20"/>
      <w:szCs w:val="20"/>
      <w:lang w:val="it-IT" w:eastAsia="en-US" w:bidi="ar-SA"/>
    </w:rPr>
  </w:style>
  <w:style w:type="paragraph" w:styleId="PlainText">
    <w:name w:val="Plain Text"/>
    <w:basedOn w:val="Normal"/>
    <w:link w:val="TestonormaleCarattere"/>
    <w:uiPriority w:val="99"/>
    <w:semiHidden/>
    <w:unhideWhenUsed/>
    <w:qFormat/>
    <w:rsid w:val="0003148d"/>
    <w:pPr>
      <w:spacing w:lineRule="auto" w:line="240"/>
    </w:pPr>
    <w:rPr>
      <w:rFonts w:ascii="Consolas" w:hAnsi="Consolas" w:cs="Consolas"/>
      <w:sz w:val="21"/>
      <w:szCs w:val="21"/>
    </w:rPr>
  </w:style>
  <w:style w:type="paragraph" w:styleId="FootnoteText">
    <w:name w:val="Footnote Text"/>
    <w:basedOn w:val="Normal"/>
    <w:link w:val="TestonotaapidipaginaCarattere"/>
    <w:uiPriority w:val="99"/>
    <w:semiHidden/>
    <w:unhideWhenUsed/>
    <w:rsid w:val="0003148d"/>
    <w:pPr>
      <w:spacing w:lineRule="auto" w:line="240"/>
    </w:pPr>
    <w:rPr/>
  </w:style>
  <w:style w:type="paragraph" w:styleId="EndnoteText">
    <w:name w:val="Endnote Text"/>
    <w:basedOn w:val="Normal"/>
    <w:link w:val="TestonotadichiusuraCarattere"/>
    <w:uiPriority w:val="99"/>
    <w:semiHidden/>
    <w:unhideWhenUsed/>
    <w:rsid w:val="0003148d"/>
    <w:pPr>
      <w:spacing w:lineRule="auto" w:line="240"/>
    </w:pPr>
    <w:rPr/>
  </w:style>
  <w:style w:type="paragraph" w:styleId="Indexheading1">
    <w:name w:val="index heading1"/>
    <w:basedOn w:val="Normal"/>
    <w:next w:val="Index1"/>
    <w:uiPriority w:val="99"/>
    <w:semiHidden/>
    <w:unhideWhenUsed/>
    <w:qFormat/>
    <w:rsid w:val="0003148d"/>
    <w:pPr/>
    <w:rPr>
      <w:rFonts w:ascii="Cambria" w:hAnsi="Cambria" w:eastAsia="" w:cs="" w:asciiTheme="majorHAnsi" w:cstheme="majorBidi" w:eastAsiaTheme="majorEastAsia" w:hAnsiTheme="majorHAnsi"/>
      <w:b/>
      <w:bCs/>
    </w:rPr>
  </w:style>
  <w:style w:type="paragraph" w:styleId="Toaheading">
    <w:name w:val="toa heading"/>
    <w:basedOn w:val="Normal"/>
    <w:next w:val="Normal"/>
    <w:uiPriority w:val="99"/>
    <w:semiHidden/>
    <w:unhideWhenUsed/>
    <w:qFormat/>
    <w:rsid w:val="0003148d"/>
    <w:pPr>
      <w:spacing w:before="120" w:after="0"/>
    </w:pPr>
    <w:rPr>
      <w:rFonts w:ascii="Cambria" w:hAnsi="Cambria" w:eastAsia="" w:cs="" w:asciiTheme="majorHAnsi" w:cstheme="majorBidi" w:eastAsiaTheme="majorEastAsia" w:hAnsiTheme="majorHAnsi"/>
      <w:b/>
      <w:bCs/>
      <w:sz w:val="24"/>
      <w:szCs w:val="24"/>
    </w:rPr>
  </w:style>
  <w:style w:type="paragraph" w:styleId="IndexHeading">
    <w:name w:val="Index Heading"/>
    <w:basedOn w:val="Titolo"/>
    <w:pPr/>
    <w:rPr/>
  </w:style>
  <w:style w:type="paragraph" w:styleId="TOCHeading">
    <w:name w:val="TOC Heading"/>
    <w:basedOn w:val="Heading1"/>
    <w:next w:val="Normal"/>
    <w:uiPriority w:val="39"/>
    <w:semiHidden/>
    <w:unhideWhenUsed/>
    <w:qFormat/>
    <w:rsid w:val="0003148d"/>
    <w:pPr/>
    <w:rPr/>
  </w:style>
  <w:style w:type="paragraph" w:styleId="CETemail" w:customStyle="1">
    <w:name w:val="CET email"/>
    <w:next w:val="CETBodytext"/>
    <w:qFormat/>
    <w:rsid w:val="009e788a"/>
    <w:pPr>
      <w:widowControl/>
      <w:suppressAutoHyphens w:val="true"/>
      <w:bidi w:val="0"/>
      <w:spacing w:lineRule="auto" w:line="276" w:before="0" w:after="240"/>
      <w:jc w:val="left"/>
    </w:pPr>
    <w:rPr>
      <w:rFonts w:ascii="Arial" w:hAnsi="Arial" w:eastAsia="Times New Roman" w:cs="Times New Roman"/>
      <w:color w:val="auto"/>
      <w:kern w:val="0"/>
      <w:sz w:val="16"/>
      <w:szCs w:val="20"/>
      <w:lang w:val="en-GB" w:eastAsia="en-US" w:bidi="ar-SA"/>
    </w:rPr>
  </w:style>
  <w:style w:type="paragraph" w:styleId="CETBodytextBold" w:customStyle="1">
    <w:name w:val="CET Body text (Bold)"/>
    <w:basedOn w:val="CETBodytext"/>
    <w:qFormat/>
    <w:rsid w:val="00901eb6"/>
    <w:pPr/>
    <w:rPr>
      <w:b/>
    </w:rPr>
  </w:style>
  <w:style w:type="paragraph" w:styleId="CETnumberingbullets" w:customStyle="1">
    <w:name w:val="CET numbering (bullets)"/>
    <w:qFormat/>
    <w:rsid w:val="008d433b"/>
    <w:pPr>
      <w:widowControl/>
      <w:numPr>
        <w:ilvl w:val="0"/>
        <w:numId w:val="12"/>
      </w:numPr>
      <w:suppressAutoHyphens w:val="true"/>
      <w:bidi w:val="0"/>
      <w:spacing w:lineRule="auto" w:line="264" w:before="0" w:after="0"/>
      <w:jc w:val="left"/>
    </w:pPr>
    <w:rPr>
      <w:rFonts w:ascii="Arial" w:hAnsi="Arial" w:eastAsia="Times New Roman" w:cs="Times New Roman"/>
      <w:color w:val="auto"/>
      <w:kern w:val="0"/>
      <w:sz w:val="18"/>
      <w:szCs w:val="20"/>
      <w:lang w:val="en-GB" w:eastAsia="en-US" w:bidi="ar-SA"/>
    </w:rPr>
  </w:style>
  <w:style w:type="paragraph" w:styleId="CETnumbering1" w:customStyle="1">
    <w:name w:val="CET numbering (1"/>
    <w:qFormat/>
    <w:rsid w:val="00b57b36"/>
    <w:pPr>
      <w:widowControl/>
      <w:numPr>
        <w:ilvl w:val="0"/>
        <w:numId w:val="13"/>
      </w:numPr>
      <w:suppressAutoHyphens w:val="true"/>
      <w:bidi w:val="0"/>
      <w:spacing w:lineRule="auto" w:line="264" w:before="0" w:after="0"/>
      <w:ind w:hanging="227" w:left="340"/>
      <w:jc w:val="left"/>
    </w:pPr>
    <w:rPr>
      <w:rFonts w:ascii="Arial" w:hAnsi="Arial" w:eastAsia="Times New Roman" w:cs="Times New Roman"/>
      <w:color w:val="auto"/>
      <w:kern w:val="0"/>
      <w:sz w:val="18"/>
      <w:szCs w:val="20"/>
      <w:lang w:val="en-US" w:eastAsia="en-US" w:bidi="ar-SA"/>
    </w:rPr>
  </w:style>
  <w:style w:type="paragraph" w:styleId="CETnumberinga" w:customStyle="1">
    <w:name w:val="CET numbering (a"/>
    <w:qFormat/>
    <w:rsid w:val="00b57b36"/>
    <w:pPr>
      <w:widowControl/>
      <w:numPr>
        <w:ilvl w:val="0"/>
        <w:numId w:val="14"/>
      </w:numPr>
      <w:suppressAutoHyphens w:val="true"/>
      <w:bidi w:val="0"/>
      <w:spacing w:lineRule="auto" w:line="264" w:before="0" w:after="0"/>
      <w:jc w:val="left"/>
    </w:pPr>
    <w:rPr>
      <w:rFonts w:ascii="Arial" w:hAnsi="Arial" w:eastAsia="Times New Roman" w:cs="Times New Roman"/>
      <w:color w:val="auto"/>
      <w:kern w:val="0"/>
      <w:sz w:val="18"/>
      <w:szCs w:val="20"/>
      <w:lang w:val="en-GB" w:eastAsia="en-US" w:bidi="ar-SA"/>
    </w:rPr>
  </w:style>
  <w:style w:type="paragraph" w:styleId="Intestazioneepidipagina">
    <w:name w:val="Intestazione e piè di pagina"/>
    <w:basedOn w:val="Normal"/>
    <w:qFormat/>
    <w:pPr/>
    <w:rPr/>
  </w:style>
  <w:style w:type="paragraph" w:styleId="Header">
    <w:name w:val="Header"/>
    <w:basedOn w:val="Normal"/>
    <w:link w:val="IntestazioneCarattere"/>
    <w:uiPriority w:val="99"/>
    <w:unhideWhenUsed/>
    <w:rsid w:val="005278b7"/>
    <w:pPr>
      <w:tabs>
        <w:tab w:val="clear" w:pos="7100"/>
        <w:tab w:val="center" w:pos="4819" w:leader="none"/>
        <w:tab w:val="right" w:pos="9638" w:leader="none"/>
      </w:tabs>
      <w:spacing w:lineRule="auto" w:line="240"/>
    </w:pPr>
    <w:rPr/>
  </w:style>
  <w:style w:type="paragraph" w:styleId="Footer">
    <w:name w:val="Footer"/>
    <w:basedOn w:val="Normal"/>
    <w:link w:val="PidipaginaCarattere"/>
    <w:uiPriority w:val="99"/>
    <w:unhideWhenUsed/>
    <w:rsid w:val="005278b7"/>
    <w:pPr>
      <w:tabs>
        <w:tab w:val="clear" w:pos="7100"/>
        <w:tab w:val="center" w:pos="4819" w:leader="none"/>
        <w:tab w:val="right" w:pos="9638" w:leader="none"/>
      </w:tabs>
      <w:spacing w:lineRule="auto" w:line="240"/>
    </w:pPr>
    <w:rPr/>
  </w:style>
  <w:style w:type="paragraph" w:styleId="CETListbullets" w:customStyle="1">
    <w:name w:val="CET List bullets"/>
    <w:qFormat/>
    <w:rsid w:val="004577fe"/>
    <w:pPr>
      <w:widowControl/>
      <w:suppressAutoHyphens w:val="true"/>
      <w:bidi w:val="0"/>
      <w:spacing w:lineRule="auto" w:line="264" w:before="0" w:after="0"/>
      <w:ind w:hanging="227" w:left="340"/>
      <w:jc w:val="both"/>
    </w:pPr>
    <w:rPr>
      <w:rFonts w:ascii="Arial" w:hAnsi="Arial" w:eastAsia="Times New Roman" w:cs="Times New Roman"/>
      <w:color w:val="auto"/>
      <w:kern w:val="0"/>
      <w:sz w:val="18"/>
      <w:szCs w:val="20"/>
      <w:lang w:val="en-GB" w:eastAsia="en-US" w:bidi="ar-SA"/>
    </w:rPr>
  </w:style>
  <w:style w:type="paragraph" w:styleId="CETReferencetext" w:customStyle="1">
    <w:name w:val="CET Reference text"/>
    <w:qFormat/>
    <w:rsid w:val="00600535"/>
    <w:pPr>
      <w:widowControl/>
      <w:suppressAutoHyphens w:val="true"/>
      <w:bidi w:val="0"/>
      <w:spacing w:lineRule="auto" w:line="264" w:before="0" w:after="0"/>
      <w:ind w:hanging="284" w:left="284"/>
      <w:jc w:val="both"/>
    </w:pPr>
    <w:rPr>
      <w:rFonts w:ascii="Arial" w:hAnsi="Arial" w:eastAsia="Times New Roman" w:cs="Times New Roman"/>
      <w:color w:val="auto"/>
      <w:kern w:val="0"/>
      <w:sz w:val="18"/>
      <w:szCs w:val="20"/>
      <w:lang w:val="en-GB" w:eastAsia="en-US" w:bidi="ar-SA"/>
    </w:rPr>
  </w:style>
  <w:style w:type="paragraph" w:styleId="CETTabletitle" w:customStyle="1">
    <w:name w:val="CET Table title"/>
    <w:qFormat/>
    <w:rsid w:val="00600535"/>
    <w:pPr>
      <w:keepNext w:val="true"/>
      <w:widowControl/>
      <w:suppressAutoHyphens w:val="true"/>
      <w:bidi w:val="0"/>
      <w:spacing w:lineRule="exact" w:line="240" w:before="240" w:after="80"/>
      <w:jc w:val="left"/>
    </w:pPr>
    <w:rPr>
      <w:rFonts w:ascii="Arial" w:hAnsi="Arial" w:eastAsia="Times New Roman" w:cs="Times New Roman"/>
      <w:i/>
      <w:color w:val="auto"/>
      <w:kern w:val="0"/>
      <w:sz w:val="18"/>
      <w:szCs w:val="20"/>
      <w:lang w:val="en-GB" w:eastAsia="en-US" w:bidi="ar-SA"/>
    </w:rPr>
  </w:style>
  <w:style w:type="paragraph" w:styleId="CETAcknowledgementstitle" w:customStyle="1">
    <w:name w:val="CET Acknowledgements title"/>
    <w:next w:val="CETBodytext"/>
    <w:qFormat/>
    <w:rsid w:val="00600535"/>
    <w:pPr>
      <w:widowControl/>
      <w:suppressAutoHyphens w:val="true"/>
      <w:bidi w:val="0"/>
      <w:spacing w:lineRule="auto" w:line="276" w:before="200" w:after="120"/>
      <w:jc w:val="left"/>
    </w:pPr>
    <w:rPr>
      <w:rFonts w:ascii="Arial" w:hAnsi="Arial" w:eastAsia="Times New Roman" w:cs="Times New Roman"/>
      <w:b/>
      <w:color w:val="auto"/>
      <w:kern w:val="0"/>
      <w:sz w:val="18"/>
      <w:szCs w:val="20"/>
      <w:lang w:val="en-GB" w:eastAsia="en-US" w:bidi="ar-SA"/>
    </w:rPr>
  </w:style>
  <w:style w:type="paragraph" w:styleId="CETEquation" w:customStyle="1">
    <w:name w:val="CET Equation"/>
    <w:basedOn w:val="CETBodytext"/>
    <w:next w:val="CETBodytext"/>
    <w:qFormat/>
    <w:rsid w:val="00600535"/>
    <w:pPr>
      <w:spacing w:before="120" w:after="120"/>
      <w:jc w:val="left"/>
    </w:pPr>
    <w:rPr>
      <w:lang w:val="en-GB"/>
    </w:rPr>
  </w:style>
  <w:style w:type="paragraph" w:styleId="CETHeadingxx" w:customStyle="1">
    <w:name w:val="CET Headingxx"/>
    <w:basedOn w:val="CETheadingx"/>
    <w:link w:val="CETHeadingxxChar"/>
    <w:qFormat/>
    <w:rsid w:val="000f787b"/>
    <w:pPr>
      <w:numPr>
        <w:ilvl w:val="0"/>
        <w:numId w:val="0"/>
      </w:numPr>
    </w:pPr>
    <w:rPr/>
  </w:style>
  <w:style w:type="paragraph" w:styleId="ListParagraph">
    <w:name w:val="List Paragraph"/>
    <w:basedOn w:val="Normal"/>
    <w:uiPriority w:val="34"/>
    <w:qFormat/>
    <w:rsid w:val="00280faf"/>
    <w:pPr>
      <w:spacing w:before="0" w:after="0"/>
      <w:ind w:hanging="0" w:left="720"/>
      <w:contextualSpacing/>
    </w:pPr>
    <w:rPr/>
  </w:style>
  <w:style w:type="paragraph" w:styleId="Contenutotabella">
    <w:name w:val="Contenuto tabella"/>
    <w:basedOn w:val="Normal"/>
    <w:qFormat/>
    <w:pPr>
      <w:widowControl w:val="false"/>
      <w:suppressLineNumbers/>
    </w:pPr>
    <w:rPr/>
  </w:style>
  <w:style w:type="paragraph" w:styleId="Titolotabella">
    <w:name w:val="Titolo tabella"/>
    <w:basedOn w:val="Contenutotabella"/>
    <w:qFormat/>
    <w:pPr>
      <w:suppressLineNumbers/>
      <w:jc w:val="center"/>
    </w:pPr>
    <w:rPr>
      <w:b/>
      <w:bCs/>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Tabellasemplice1">
    <w:name w:val="Table Simple 1"/>
    <w:basedOn w:val="Tabellanormale"/>
    <w:semiHidden/>
    <w:rsid w:val="000e414a"/>
    <w:pPr>
      <w:spacing w:after="0" w:line="264" w:lineRule="auto"/>
      <w:jc w:val="both"/>
    </w:pPr>
    <w:rPr>
      <w:lang w:eastAsia="it-IT"/>
      <w:sz w:val="20"/>
      <w:szCs w:val="20"/>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Grigliatabella">
    <w:name w:val="Table Grid"/>
    <w:basedOn w:val="Tabellanormale"/>
    <w:uiPriority w:val="59"/>
    <w:rsid w:val="00660e3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3244</TotalTime>
  <Application>LibreOffice/24.2.3.2$Linux_X86_64 LibreOffice_project/433d9c2ded56988e8a90e6b2e771ee4e6a5ab2ba</Application>
  <AppVersion>15.0000</AppVersion>
  <Pages>6</Pages>
  <Words>3143</Words>
  <Characters>17476</Characters>
  <CharactersWithSpaces>20516</CharactersWithSpaces>
  <Paragraphs>128</Paragraphs>
  <Company>Dipartimento CMIC - Politecnico di Milano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2022-09-21T08:52:00Z</dcterms:created>
  <dc:creator>raffaella</dc:creator>
  <dc:description/>
  <dc:language>en-GB</dc:language>
  <cp:lastModifiedBy/>
  <cp:lastPrinted>2024-02-27T16:02:37Z</cp:lastPrinted>
  <dcterms:modified xsi:type="dcterms:W3CDTF">2024-06-27T16:29:00Z</dcterms:modified>
  <cp:revision>804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