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27365E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EF7CA4">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EF7CA4">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00A3611B"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F7CA4">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w:t>
            </w:r>
            <w:r w:rsidR="00EF7CA4">
              <w:rPr>
                <w:rFonts w:ascii="Tahoma" w:hAnsi="Tahoma" w:cs="Tahoma"/>
                <w:sz w:val="14"/>
                <w:szCs w:val="14"/>
              </w:rPr>
              <w:t>9</w:t>
            </w:r>
            <w:r w:rsidR="008D32B9">
              <w:rPr>
                <w:rFonts w:ascii="Tahoma" w:hAnsi="Tahoma" w:cs="Tahoma"/>
                <w:sz w:val="14"/>
                <w:szCs w:val="14"/>
              </w:rPr>
              <w:t>-</w:t>
            </w:r>
            <w:r w:rsidR="00EF7CA4">
              <w:rPr>
                <w:rFonts w:ascii="Tahoma" w:hAnsi="Tahoma" w:cs="Tahoma"/>
                <w:sz w:val="14"/>
                <w:szCs w:val="14"/>
              </w:rPr>
              <w:t>12</w:t>
            </w:r>
            <w:r w:rsidR="008D32B9">
              <w:rPr>
                <w:rFonts w:ascii="Tahoma" w:hAnsi="Tahoma" w:cs="Tahoma"/>
                <w:sz w:val="14"/>
                <w:szCs w:val="14"/>
              </w:rPr>
              <w:t>-</w:t>
            </w:r>
            <w:r w:rsidR="00EF7CA4">
              <w:rPr>
                <w:rFonts w:ascii="Tahoma" w:hAnsi="Tahoma" w:cs="Tahoma"/>
                <w:sz w:val="14"/>
                <w:szCs w:val="14"/>
              </w:rPr>
              <w:t>81206</w:t>
            </w:r>
            <w:r w:rsidR="00D46B7E">
              <w:rPr>
                <w:rFonts w:ascii="Tahoma" w:hAnsi="Tahoma" w:cs="Tahoma"/>
                <w:sz w:val="14"/>
                <w:szCs w:val="14"/>
              </w:rPr>
              <w:t>-</w:t>
            </w:r>
            <w:r w:rsidR="00EF7CA4">
              <w:rPr>
                <w:rFonts w:ascii="Tahoma" w:hAnsi="Tahoma" w:cs="Tahoma"/>
                <w:sz w:val="14"/>
                <w:szCs w:val="14"/>
              </w:rPr>
              <w:t>1</w:t>
            </w:r>
            <w:r w:rsidR="006B5269">
              <w:rPr>
                <w:rFonts w:ascii="Tahoma" w:hAnsi="Tahoma" w:cs="Tahoma"/>
                <w:sz w:val="14"/>
                <w:szCs w:val="14"/>
              </w:rPr>
              <w:t>3</w:t>
            </w:r>
            <w:r w:rsidR="00D46B7E">
              <w:rPr>
                <w:rFonts w:ascii="Tahoma" w:hAnsi="Tahoma" w:cs="Tahoma"/>
                <w:sz w:val="14"/>
                <w:szCs w:val="14"/>
              </w:rPr>
              <w:t>-</w:t>
            </w:r>
            <w:r w:rsidR="006B5269">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09C53323" w:rsidR="00E978D0" w:rsidRPr="00B57B36" w:rsidRDefault="002B2061" w:rsidP="00E978D0">
      <w:pPr>
        <w:pStyle w:val="CETTitle"/>
      </w:pPr>
      <w:r>
        <w:t>Odour dispersion modelling of ideal sources due to different meteorological condition</w:t>
      </w:r>
    </w:p>
    <w:p w14:paraId="0488FED2" w14:textId="046389FD" w:rsidR="00B57E6F" w:rsidRPr="002B2061" w:rsidRDefault="009B2F00" w:rsidP="00B57E6F">
      <w:pPr>
        <w:pStyle w:val="CETAuthors"/>
        <w:rPr>
          <w:lang w:val="it-IT"/>
        </w:rPr>
      </w:pPr>
      <w:r w:rsidRPr="002B2061">
        <w:rPr>
          <w:lang w:val="it-IT"/>
        </w:rPr>
        <w:t>Matteo</w:t>
      </w:r>
      <w:r w:rsidR="00B57E6F" w:rsidRPr="002B2061">
        <w:rPr>
          <w:lang w:val="it-IT"/>
        </w:rPr>
        <w:t xml:space="preserve"> </w:t>
      </w:r>
      <w:r w:rsidRPr="002B2061">
        <w:rPr>
          <w:lang w:val="it-IT"/>
        </w:rPr>
        <w:t>Gazzabin</w:t>
      </w:r>
      <w:r w:rsidR="00B57E6F" w:rsidRPr="002B2061">
        <w:rPr>
          <w:lang w:val="it-IT"/>
        </w:rPr>
        <w:t xml:space="preserve">*, </w:t>
      </w:r>
      <w:r w:rsidRPr="002B2061">
        <w:rPr>
          <w:lang w:val="it-IT"/>
        </w:rPr>
        <w:t>Filippo Robbiati, Andrea N. Rossi</w:t>
      </w:r>
    </w:p>
    <w:p w14:paraId="6B2D21B3" w14:textId="74CA1487" w:rsidR="00B57E6F" w:rsidRPr="00C305E0" w:rsidRDefault="009B2F00" w:rsidP="00B57E6F">
      <w:pPr>
        <w:pStyle w:val="CETAddress"/>
        <w:rPr>
          <w:lang w:val="it-IT"/>
        </w:rPr>
      </w:pPr>
      <w:r w:rsidRPr="00C305E0">
        <w:rPr>
          <w:lang w:val="it-IT"/>
        </w:rPr>
        <w:t xml:space="preserve">Progress S.r.l., </w:t>
      </w:r>
      <w:r w:rsidR="00C305E0">
        <w:rPr>
          <w:lang w:val="it-IT"/>
        </w:rPr>
        <w:t>V</w:t>
      </w:r>
      <w:r w:rsidRPr="00C305E0">
        <w:rPr>
          <w:lang w:val="it-IT"/>
        </w:rPr>
        <w:t>ia Nicola A. Porpora</w:t>
      </w:r>
      <w:r w:rsidR="00C305E0">
        <w:rPr>
          <w:lang w:val="it-IT"/>
        </w:rPr>
        <w:t xml:space="preserve"> </w:t>
      </w:r>
      <w:r w:rsidRPr="00C305E0">
        <w:rPr>
          <w:lang w:val="it-IT"/>
        </w:rPr>
        <w:t xml:space="preserve">145, </w:t>
      </w:r>
      <w:r w:rsidR="00C305E0">
        <w:rPr>
          <w:lang w:val="it-IT"/>
        </w:rPr>
        <w:t xml:space="preserve">20133 </w:t>
      </w:r>
      <w:r w:rsidRPr="00C305E0">
        <w:rPr>
          <w:lang w:val="it-IT"/>
        </w:rPr>
        <w:t>Milano</w:t>
      </w:r>
      <w:r w:rsidR="00C305E0">
        <w:rPr>
          <w:lang w:val="it-IT"/>
        </w:rPr>
        <w:t>, Italy</w:t>
      </w:r>
    </w:p>
    <w:p w14:paraId="73F1267A" w14:textId="5B5504D8" w:rsidR="00B57E6F" w:rsidRPr="00D6439E" w:rsidRDefault="009B2F00" w:rsidP="00B57E6F">
      <w:pPr>
        <w:pStyle w:val="CETemail"/>
      </w:pPr>
      <w:r w:rsidRPr="00D6439E">
        <w:t>*m</w:t>
      </w:r>
      <w:r w:rsidR="00B57E6F" w:rsidRPr="00D6439E">
        <w:t>.</w:t>
      </w:r>
      <w:r w:rsidRPr="00D6439E">
        <w:t>gazzabin</w:t>
      </w:r>
      <w:r w:rsidR="00B57E6F" w:rsidRPr="00D6439E">
        <w:t>@</w:t>
      </w:r>
      <w:r w:rsidRPr="00D6439E">
        <w:t>olfattometria</w:t>
      </w:r>
      <w:r w:rsidR="00B57E6F" w:rsidRPr="00D6439E">
        <w:t>.com</w:t>
      </w:r>
    </w:p>
    <w:p w14:paraId="09EC1192" w14:textId="3CF2B93E" w:rsidR="00EE568A" w:rsidRDefault="002B7914" w:rsidP="00600535">
      <w:pPr>
        <w:pStyle w:val="CETBodytext"/>
        <w:rPr>
          <w:lang w:val="en-GB"/>
        </w:rPr>
      </w:pPr>
      <w:r>
        <w:rPr>
          <w:lang w:val="en-GB"/>
        </w:rPr>
        <w:t>Meteorological</w:t>
      </w:r>
      <w:r w:rsidR="006E1892" w:rsidRPr="002B7914">
        <w:rPr>
          <w:lang w:val="en-GB"/>
        </w:rPr>
        <w:t xml:space="preserve"> parameters strongly affect </w:t>
      </w:r>
      <w:r w:rsidRPr="00F56FF3">
        <w:t>atmospheric</w:t>
      </w:r>
      <w:r w:rsidR="006E1892" w:rsidRPr="00F56FF3">
        <w:t xml:space="preserve"> dispersion</w:t>
      </w:r>
      <w:r w:rsidR="00F56FF3" w:rsidRPr="00F56FF3">
        <w:t xml:space="preserve"> which makes developing a simulation to get a prediction of the odour impact significant to</w:t>
      </w:r>
      <w:r w:rsidR="006E1892" w:rsidRPr="00F56FF3">
        <w:t xml:space="preserve"> </w:t>
      </w:r>
      <w:r w:rsidR="006E1892" w:rsidRPr="002B7914">
        <w:rPr>
          <w:lang w:val="en-GB"/>
        </w:rPr>
        <w:t xml:space="preserve">understand the </w:t>
      </w:r>
      <w:r w:rsidR="00923688">
        <w:rPr>
          <w:lang w:val="en-GB"/>
        </w:rPr>
        <w:t>effect</w:t>
      </w:r>
      <w:r w:rsidRPr="002B7914">
        <w:rPr>
          <w:lang w:val="en-GB"/>
        </w:rPr>
        <w:t xml:space="preserve"> of</w:t>
      </w:r>
      <w:r>
        <w:rPr>
          <w:lang w:val="en-GB"/>
        </w:rPr>
        <w:t xml:space="preserve"> </w:t>
      </w:r>
      <w:r w:rsidR="00923688">
        <w:rPr>
          <w:lang w:val="en-GB"/>
        </w:rPr>
        <w:t xml:space="preserve">the same sources located in different sites. </w:t>
      </w:r>
      <w:r w:rsidR="00EE568A" w:rsidRPr="00EE568A">
        <w:rPr>
          <w:lang w:val="en-GB"/>
        </w:rPr>
        <w:t>T</w:t>
      </w:r>
      <w:r w:rsidR="001761BC">
        <w:rPr>
          <w:lang w:val="en-GB"/>
        </w:rPr>
        <w:t>his study evaluates t</w:t>
      </w:r>
      <w:r w:rsidR="00EE568A" w:rsidRPr="00EE568A">
        <w:rPr>
          <w:lang w:val="en-GB"/>
        </w:rPr>
        <w:t xml:space="preserve">he impact of two </w:t>
      </w:r>
      <w:r w:rsidR="002D1B9B">
        <w:rPr>
          <w:lang w:val="en-GB"/>
        </w:rPr>
        <w:t xml:space="preserve">ideal </w:t>
      </w:r>
      <w:r w:rsidR="00EE568A" w:rsidRPr="00EE568A">
        <w:rPr>
          <w:lang w:val="en-GB"/>
        </w:rPr>
        <w:t>sources, one areal on the ground and one point source at altitude, having different meteorological characteristics.</w:t>
      </w:r>
    </w:p>
    <w:p w14:paraId="4CF4357F" w14:textId="10004435" w:rsidR="001761BC" w:rsidRPr="00DC1F71" w:rsidRDefault="001761BC" w:rsidP="00600535">
      <w:pPr>
        <w:pStyle w:val="CETBodytext"/>
        <w:rPr>
          <w:lang w:val="en-GB"/>
        </w:rPr>
      </w:pPr>
      <w:r>
        <w:rPr>
          <w:lang w:val="en-GB"/>
        </w:rPr>
        <w:t>The findings consistently demonstrate that the ground-level source yields the most significant odour impact, while wind speed at altitude primarily influences dispersion from the point source. Despite the areal ground-level source has a greater impact at all locations, the difference between its impact and that of the stack decreases linearly with distance.</w:t>
      </w:r>
    </w:p>
    <w:p w14:paraId="476B2F2E" w14:textId="77777777" w:rsidR="00600535" w:rsidRPr="00B57B36" w:rsidRDefault="00600535" w:rsidP="00600535">
      <w:pPr>
        <w:pStyle w:val="CETHeading1"/>
        <w:rPr>
          <w:lang w:val="en-GB"/>
        </w:rPr>
      </w:pPr>
      <w:r w:rsidRPr="00B57B36">
        <w:rPr>
          <w:lang w:val="en-GB"/>
        </w:rPr>
        <w:t>Introduction</w:t>
      </w:r>
    </w:p>
    <w:p w14:paraId="2F6440EA" w14:textId="38FA2423" w:rsidR="00304BBF" w:rsidRDefault="00304BBF" w:rsidP="002F49AE">
      <w:pPr>
        <w:pStyle w:val="CETBodytext"/>
        <w:rPr>
          <w:lang w:val="en-GB"/>
        </w:rPr>
      </w:pPr>
      <w:r w:rsidRPr="002F49AE">
        <w:rPr>
          <w:lang w:val="en-GB"/>
        </w:rPr>
        <w:t xml:space="preserve">Changes in emission sources, land use and topography influence </w:t>
      </w:r>
      <w:r>
        <w:rPr>
          <w:lang w:val="en-GB"/>
        </w:rPr>
        <w:t xml:space="preserve">odour </w:t>
      </w:r>
      <w:r w:rsidRPr="002F49AE">
        <w:rPr>
          <w:lang w:val="en-GB"/>
        </w:rPr>
        <w:t>concentrations</w:t>
      </w:r>
      <w:r>
        <w:rPr>
          <w:lang w:val="en-GB"/>
        </w:rPr>
        <w:t xml:space="preserve"> </w:t>
      </w:r>
      <w:r w:rsidR="004E4C4E">
        <w:rPr>
          <w:lang w:val="en-GB"/>
        </w:rPr>
        <w:t>(</w:t>
      </w:r>
      <w:r w:rsidR="004E4C4E" w:rsidRPr="00D43090">
        <w:t xml:space="preserve">Arregocés </w:t>
      </w:r>
      <w:r w:rsidR="00B12BFF">
        <w:t>and</w:t>
      </w:r>
      <w:r w:rsidR="004E4C4E" w:rsidRPr="00D43090">
        <w:t xml:space="preserve"> Rojano,</w:t>
      </w:r>
      <w:r w:rsidR="004E4C4E">
        <w:t xml:space="preserve"> 2023</w:t>
      </w:r>
      <w:r w:rsidR="004E4C4E">
        <w:rPr>
          <w:lang w:val="en-GB"/>
        </w:rPr>
        <w:t>). However, t</w:t>
      </w:r>
      <w:r w:rsidRPr="00304BBF">
        <w:rPr>
          <w:lang w:val="en-GB"/>
        </w:rPr>
        <w:t xml:space="preserve">he </w:t>
      </w:r>
      <w:r w:rsidR="001761BC">
        <w:rPr>
          <w:lang w:val="en-GB"/>
        </w:rPr>
        <w:t>greate</w:t>
      </w:r>
      <w:r w:rsidRPr="00304BBF">
        <w:rPr>
          <w:lang w:val="en-GB"/>
        </w:rPr>
        <w:t xml:space="preserve">st contribution to the </w:t>
      </w:r>
      <w:r w:rsidR="001761BC">
        <w:rPr>
          <w:lang w:val="en-GB"/>
        </w:rPr>
        <w:t>concentration changes lies predominantl</w:t>
      </w:r>
      <w:r w:rsidR="0000239E">
        <w:rPr>
          <w:lang w:val="en-GB"/>
        </w:rPr>
        <w:t>y in</w:t>
      </w:r>
      <w:r w:rsidRPr="00304BBF">
        <w:rPr>
          <w:lang w:val="en-GB"/>
        </w:rPr>
        <w:t xml:space="preserve"> meteorological parameters</w:t>
      </w:r>
      <w:r w:rsidR="00995495">
        <w:rPr>
          <w:lang w:val="en-GB"/>
        </w:rPr>
        <w:t xml:space="preserve"> </w:t>
      </w:r>
      <w:r w:rsidRPr="00D97BC7">
        <w:rPr>
          <w:lang w:val="en-GB"/>
        </w:rPr>
        <w:t>(Juneng et al., 2011).</w:t>
      </w:r>
    </w:p>
    <w:p w14:paraId="4301E65B" w14:textId="1A3F6273" w:rsidR="00D97BC7" w:rsidRDefault="0000239E" w:rsidP="00B425B0">
      <w:pPr>
        <w:pStyle w:val="CETBodytext"/>
        <w:rPr>
          <w:lang w:val="en-GB"/>
        </w:rPr>
      </w:pPr>
      <w:r>
        <w:rPr>
          <w:lang w:val="en-GB"/>
        </w:rPr>
        <w:t>The use of atmospheric dispersion models offers a valid approach to assess odour annoyance in these scenarios.</w:t>
      </w:r>
      <w:r w:rsidR="00B425B0">
        <w:rPr>
          <w:lang w:val="en-GB"/>
        </w:rPr>
        <w:t xml:space="preserve"> </w:t>
      </w:r>
      <w:r w:rsidR="00D97BC7" w:rsidRPr="00D97BC7">
        <w:rPr>
          <w:lang w:val="en-GB"/>
        </w:rPr>
        <w:t xml:space="preserve">After emission, </w:t>
      </w:r>
      <w:r w:rsidR="00594CBC">
        <w:rPr>
          <w:lang w:val="en-GB"/>
        </w:rPr>
        <w:t>odours</w:t>
      </w:r>
      <w:r w:rsidR="00D97BC7" w:rsidRPr="00D97BC7">
        <w:rPr>
          <w:lang w:val="en-GB"/>
        </w:rPr>
        <w:t xml:space="preserve"> can </w:t>
      </w:r>
      <w:r>
        <w:rPr>
          <w:lang w:val="en-GB"/>
        </w:rPr>
        <w:t xml:space="preserve">either </w:t>
      </w:r>
      <w:r w:rsidR="00D97BC7" w:rsidRPr="00D97BC7">
        <w:rPr>
          <w:lang w:val="en-GB"/>
        </w:rPr>
        <w:t>disperse and dilute</w:t>
      </w:r>
      <w:r w:rsidR="00D97BC7">
        <w:rPr>
          <w:lang w:val="en-GB"/>
        </w:rPr>
        <w:t xml:space="preserve"> </w:t>
      </w:r>
      <w:r w:rsidR="00D97BC7" w:rsidRPr="00D97BC7">
        <w:rPr>
          <w:lang w:val="en-GB"/>
        </w:rPr>
        <w:t>quickly, resulting in low concentrations levels</w:t>
      </w:r>
      <w:r>
        <w:rPr>
          <w:lang w:val="en-GB"/>
        </w:rPr>
        <w:t xml:space="preserve">, or </w:t>
      </w:r>
      <w:r w:rsidR="00D97BC7" w:rsidRPr="00D97BC7">
        <w:rPr>
          <w:lang w:val="en-GB"/>
        </w:rPr>
        <w:t xml:space="preserve">concentrate in a relatively small volume, </w:t>
      </w:r>
      <w:r>
        <w:rPr>
          <w:lang w:val="en-GB"/>
        </w:rPr>
        <w:t>resulting in an</w:t>
      </w:r>
      <w:r w:rsidR="00D97BC7" w:rsidRPr="00D97BC7">
        <w:rPr>
          <w:lang w:val="en-GB"/>
        </w:rPr>
        <w:t xml:space="preserve"> </w:t>
      </w:r>
      <w:r w:rsidR="00594CBC">
        <w:rPr>
          <w:lang w:val="en-GB"/>
        </w:rPr>
        <w:t>odour nuisance</w:t>
      </w:r>
      <w:r>
        <w:rPr>
          <w:lang w:val="en-GB"/>
        </w:rPr>
        <w:t xml:space="preserve"> episode</w:t>
      </w:r>
      <w:r w:rsidR="00D97BC7" w:rsidRPr="00D97BC7">
        <w:rPr>
          <w:lang w:val="en-GB"/>
        </w:rPr>
        <w:t>. Th</w:t>
      </w:r>
      <w:r>
        <w:rPr>
          <w:lang w:val="en-GB"/>
        </w:rPr>
        <w:t>e</w:t>
      </w:r>
      <w:r w:rsidR="00D97BC7" w:rsidRPr="00D97BC7">
        <w:rPr>
          <w:lang w:val="en-GB"/>
        </w:rPr>
        <w:t xml:space="preserve"> extent of mixture is largely determined by the temperature proﬁle of the atmosphere and the wind</w:t>
      </w:r>
      <w:r w:rsidR="00D97BC7">
        <w:rPr>
          <w:lang w:val="en-GB"/>
        </w:rPr>
        <w:t xml:space="preserve"> </w:t>
      </w:r>
      <w:r w:rsidR="00D97BC7" w:rsidRPr="00D97BC7">
        <w:rPr>
          <w:lang w:val="en-GB"/>
        </w:rPr>
        <w:t>speed</w:t>
      </w:r>
      <w:r w:rsidR="00995495">
        <w:rPr>
          <w:lang w:val="en-GB"/>
        </w:rPr>
        <w:t xml:space="preserve"> </w:t>
      </w:r>
      <w:r w:rsidR="00D97BC7" w:rsidRPr="00D97BC7">
        <w:rPr>
          <w:lang w:val="en-GB"/>
        </w:rPr>
        <w:t>(Seinfeld and Pandis, 2006).</w:t>
      </w:r>
    </w:p>
    <w:p w14:paraId="6B59CBE8" w14:textId="5617C706" w:rsidR="00594CBC" w:rsidRDefault="00594CBC" w:rsidP="002F49AE">
      <w:pPr>
        <w:pStyle w:val="CETBodytext"/>
        <w:rPr>
          <w:lang w:val="en-GB"/>
        </w:rPr>
      </w:pPr>
      <w:r w:rsidRPr="00D43090">
        <w:rPr>
          <w:lang w:val="en-GB"/>
        </w:rPr>
        <w:t>Air quality models are useful tools to determine the impact of odo</w:t>
      </w:r>
      <w:r>
        <w:rPr>
          <w:lang w:val="en-GB"/>
        </w:rPr>
        <w:t>urous</w:t>
      </w:r>
      <w:r w:rsidRPr="00D43090">
        <w:rPr>
          <w:lang w:val="en-GB"/>
        </w:rPr>
        <w:t xml:space="preserve"> emissions on the </w:t>
      </w:r>
      <w:r w:rsidR="0000239E">
        <w:rPr>
          <w:lang w:val="en-GB"/>
        </w:rPr>
        <w:t>environment</w:t>
      </w:r>
      <w:r w:rsidRPr="00D43090">
        <w:rPr>
          <w:lang w:val="en-GB"/>
        </w:rPr>
        <w:t xml:space="preserve"> and </w:t>
      </w:r>
      <w:r w:rsidR="0000239E">
        <w:rPr>
          <w:lang w:val="en-GB"/>
        </w:rPr>
        <w:t>for</w:t>
      </w:r>
      <w:r w:rsidRPr="00D43090">
        <w:rPr>
          <w:lang w:val="en-GB"/>
        </w:rPr>
        <w:t xml:space="preserve"> observ</w:t>
      </w:r>
      <w:r w:rsidR="0000239E">
        <w:rPr>
          <w:lang w:val="en-GB"/>
        </w:rPr>
        <w:t>ing</w:t>
      </w:r>
      <w:r w:rsidRPr="00D43090">
        <w:rPr>
          <w:lang w:val="en-GB"/>
        </w:rPr>
        <w:t xml:space="preserve"> any exceedances of reference values established by the various regional guidelines.</w:t>
      </w:r>
    </w:p>
    <w:p w14:paraId="2F183863" w14:textId="181A17ED" w:rsidR="00752D27" w:rsidRDefault="0000239E" w:rsidP="00752D27">
      <w:pPr>
        <w:pStyle w:val="CETBodytext"/>
        <w:rPr>
          <w:lang w:val="en-GB"/>
        </w:rPr>
      </w:pPr>
      <w:r>
        <w:rPr>
          <w:lang w:val="en-GB"/>
        </w:rPr>
        <w:t xml:space="preserve">The </w:t>
      </w:r>
      <w:r w:rsidR="00752D27" w:rsidRPr="00752D27">
        <w:rPr>
          <w:lang w:val="en-GB"/>
        </w:rPr>
        <w:t xml:space="preserve">CALPUFF model is a non-steady Gaussian-Lagrangian wind model containing modules for complex terrain effects, coastal interaction effects, building downwash, and wet and dry removal. </w:t>
      </w:r>
      <w:r>
        <w:rPr>
          <w:lang w:val="en-GB"/>
        </w:rPr>
        <w:t xml:space="preserve">Additionally, </w:t>
      </w:r>
      <w:r w:rsidR="00626ECC" w:rsidRPr="00752D27">
        <w:rPr>
          <w:lang w:val="en-GB"/>
        </w:rPr>
        <w:t>CALPUFF estimates</w:t>
      </w:r>
      <w:r w:rsidR="009318E3">
        <w:rPr>
          <w:lang w:val="en-GB"/>
        </w:rPr>
        <w:t xml:space="preserve"> </w:t>
      </w:r>
      <w:r w:rsidR="00752D27" w:rsidRPr="00752D27">
        <w:rPr>
          <w:lang w:val="en-GB"/>
        </w:rPr>
        <w:t xml:space="preserve">the </w:t>
      </w:r>
      <w:r w:rsidR="00752D27">
        <w:rPr>
          <w:lang w:val="en-GB"/>
        </w:rPr>
        <w:t>odour</w:t>
      </w:r>
      <w:r w:rsidR="00752D27" w:rsidRPr="00752D27">
        <w:rPr>
          <w:lang w:val="en-GB"/>
        </w:rPr>
        <w:t xml:space="preserve"> dispersion in space and time using meteorological variations </w:t>
      </w:r>
      <w:r w:rsidR="00B12BFF">
        <w:rPr>
          <w:lang w:val="en-GB"/>
        </w:rPr>
        <w:t>(Scire et al</w:t>
      </w:r>
      <w:r w:rsidR="00752D27" w:rsidRPr="00752D27">
        <w:rPr>
          <w:lang w:val="en-GB"/>
        </w:rPr>
        <w:t>.</w:t>
      </w:r>
      <w:r w:rsidR="00B12BFF">
        <w:rPr>
          <w:lang w:val="en-GB"/>
        </w:rPr>
        <w:t>, 2000).</w:t>
      </w:r>
    </w:p>
    <w:p w14:paraId="6836877F" w14:textId="5D21A9B9" w:rsidR="001108CB" w:rsidRPr="00761271" w:rsidRDefault="00761271" w:rsidP="00600535">
      <w:pPr>
        <w:pStyle w:val="CETBodytext"/>
        <w:rPr>
          <w:lang w:val="en-GB"/>
        </w:rPr>
      </w:pPr>
      <w:r>
        <w:rPr>
          <w:lang w:val="en-GB"/>
        </w:rPr>
        <w:t xml:space="preserve">Its meteorological processor, CALMET, </w:t>
      </w:r>
      <w:r w:rsidRPr="00761271">
        <w:rPr>
          <w:lang w:val="en-GB"/>
        </w:rPr>
        <w:t xml:space="preserve">generates three-dimensional gridded meteorological data </w:t>
      </w:r>
      <w:r w:rsidR="0000239E">
        <w:rPr>
          <w:lang w:val="en-GB"/>
        </w:rPr>
        <w:t>with</w:t>
      </w:r>
      <w:r w:rsidRPr="00761271">
        <w:rPr>
          <w:lang w:val="en-GB"/>
        </w:rPr>
        <w:t xml:space="preserve">in the computational domain </w:t>
      </w:r>
      <w:r w:rsidR="00360CA0">
        <w:rPr>
          <w:lang w:val="en-GB"/>
        </w:rPr>
        <w:t>through</w:t>
      </w:r>
      <w:r w:rsidRPr="00761271">
        <w:rPr>
          <w:lang w:val="en-GB"/>
        </w:rPr>
        <w:t xml:space="preserve"> refined </w:t>
      </w:r>
      <w:r w:rsidR="00360CA0">
        <w:rPr>
          <w:lang w:val="en-GB"/>
        </w:rPr>
        <w:t>processing</w:t>
      </w:r>
      <w:r w:rsidRPr="00761271">
        <w:rPr>
          <w:lang w:val="en-GB"/>
        </w:rPr>
        <w:t xml:space="preserve"> and assimilation of available surface and upper air observation</w:t>
      </w:r>
      <w:r w:rsidR="00360CA0">
        <w:rPr>
          <w:lang w:val="en-GB"/>
        </w:rPr>
        <w:t>s, as well as</w:t>
      </w:r>
      <w:r w:rsidRPr="00761271">
        <w:rPr>
          <w:lang w:val="en-GB"/>
        </w:rPr>
        <w:t xml:space="preserve"> geophysical dat</w:t>
      </w:r>
      <w:r>
        <w:rPr>
          <w:lang w:val="en-GB"/>
        </w:rPr>
        <w:t>a.</w:t>
      </w:r>
    </w:p>
    <w:p w14:paraId="2337590F" w14:textId="092D3972" w:rsidR="00F67F05" w:rsidRPr="00D6439E" w:rsidRDefault="002571D5" w:rsidP="00F67F05">
      <w:pPr>
        <w:pStyle w:val="CETBodytext"/>
        <w:rPr>
          <w:lang w:val="en-GB"/>
        </w:rPr>
      </w:pPr>
      <w:r w:rsidRPr="00D6439E">
        <w:rPr>
          <w:lang w:val="en-GB"/>
        </w:rPr>
        <w:t xml:space="preserve">The </w:t>
      </w:r>
      <w:r w:rsidR="00360CA0">
        <w:rPr>
          <w:lang w:val="en-GB"/>
        </w:rPr>
        <w:t>outcomes</w:t>
      </w:r>
      <w:r w:rsidRPr="00D6439E">
        <w:rPr>
          <w:lang w:val="en-GB"/>
        </w:rPr>
        <w:t xml:space="preserve"> of CALPUFF simulation provide data to create i</w:t>
      </w:r>
      <w:r w:rsidR="00F67F05" w:rsidRPr="00D6439E">
        <w:rPr>
          <w:lang w:val="en-GB"/>
        </w:rPr>
        <w:t>mpact maps</w:t>
      </w:r>
      <w:r w:rsidRPr="00D6439E">
        <w:rPr>
          <w:lang w:val="en-GB"/>
        </w:rPr>
        <w:t xml:space="preserve">, </w:t>
      </w:r>
      <w:r w:rsidR="00F67F05" w:rsidRPr="00D6439E">
        <w:rPr>
          <w:lang w:val="en-GB"/>
        </w:rPr>
        <w:t>referr</w:t>
      </w:r>
      <w:r w:rsidR="00360CA0">
        <w:rPr>
          <w:lang w:val="en-GB"/>
        </w:rPr>
        <w:t>ing</w:t>
      </w:r>
      <w:r w:rsidR="00F67F05" w:rsidRPr="00D6439E">
        <w:rPr>
          <w:lang w:val="en-GB"/>
        </w:rPr>
        <w:t xml:space="preserve"> to the peak odour concentration values, expressed in terms of 98</w:t>
      </w:r>
      <w:r w:rsidR="00F67F05" w:rsidRPr="00D6439E">
        <w:rPr>
          <w:vertAlign w:val="superscript"/>
          <w:lang w:val="en-GB"/>
        </w:rPr>
        <w:t>th</w:t>
      </w:r>
      <w:r w:rsidR="00F67F05" w:rsidRPr="00D6439E">
        <w:rPr>
          <w:lang w:val="en-GB"/>
        </w:rPr>
        <w:t xml:space="preserve"> percentile on an annual basis. </w:t>
      </w:r>
    </w:p>
    <w:p w14:paraId="16BC468C" w14:textId="339FBDA5" w:rsidR="00CD3217" w:rsidRPr="001D7E7B" w:rsidRDefault="00360CA0" w:rsidP="00CD3217">
      <w:pPr>
        <w:pStyle w:val="CETBodytext"/>
        <w:rPr>
          <w:lang w:val="en-GB"/>
        </w:rPr>
      </w:pPr>
      <w:r>
        <w:rPr>
          <w:lang w:val="en-GB"/>
        </w:rPr>
        <w:t>T</w:t>
      </w:r>
      <w:r w:rsidR="00F67F05" w:rsidRPr="00594CBC">
        <w:rPr>
          <w:lang w:val="en-GB"/>
        </w:rPr>
        <w:t xml:space="preserve">his paper </w:t>
      </w:r>
      <w:r>
        <w:rPr>
          <w:lang w:val="en-GB"/>
        </w:rPr>
        <w:t xml:space="preserve">delineates a comparative analysis of </w:t>
      </w:r>
      <w:r w:rsidR="00F67F05">
        <w:rPr>
          <w:lang w:val="en-GB"/>
        </w:rPr>
        <w:t>odour concentrations from two sources</w:t>
      </w:r>
      <w:r>
        <w:rPr>
          <w:lang w:val="en-GB"/>
        </w:rPr>
        <w:t xml:space="preserve"> across</w:t>
      </w:r>
      <w:r w:rsidR="00F67F05">
        <w:rPr>
          <w:lang w:val="en-GB"/>
        </w:rPr>
        <w:t xml:space="preserve"> f</w:t>
      </w:r>
      <w:r w:rsidR="00F56FF3">
        <w:rPr>
          <w:lang w:val="en-GB"/>
        </w:rPr>
        <w:t>our</w:t>
      </w:r>
      <w:r w:rsidR="00F67F05">
        <w:rPr>
          <w:lang w:val="en-GB"/>
        </w:rPr>
        <w:t xml:space="preserve"> different locations. </w:t>
      </w:r>
      <w:r w:rsidR="00F67F05" w:rsidRPr="00594CBC">
        <w:rPr>
          <w:lang w:val="en-GB"/>
        </w:rPr>
        <w:t xml:space="preserve"> </w:t>
      </w:r>
      <w:r>
        <w:rPr>
          <w:lang w:val="en-GB"/>
        </w:rPr>
        <w:t>Additionally,</w:t>
      </w:r>
      <w:r w:rsidR="00F67F05">
        <w:rPr>
          <w:lang w:val="en-GB"/>
        </w:rPr>
        <w:t xml:space="preserve"> meteorological conditions are</w:t>
      </w:r>
      <w:r w:rsidR="00F67F05" w:rsidRPr="00594CBC">
        <w:rPr>
          <w:lang w:val="en-GB"/>
        </w:rPr>
        <w:t xml:space="preserve"> also discussed.</w:t>
      </w:r>
    </w:p>
    <w:p w14:paraId="5741900F" w14:textId="59BA647B" w:rsidR="00453E24" w:rsidRPr="002B2061" w:rsidRDefault="00CD3217" w:rsidP="00CD3217">
      <w:pPr>
        <w:pStyle w:val="CETHeading1"/>
      </w:pPr>
      <w:r>
        <w:lastRenderedPageBreak/>
        <w:t>Ma</w:t>
      </w:r>
      <w:r w:rsidR="00C305E0" w:rsidRPr="002B2061">
        <w:t>terials and methods</w:t>
      </w:r>
    </w:p>
    <w:p w14:paraId="08CF4C79" w14:textId="6BCF5274" w:rsidR="001339A9" w:rsidRDefault="009676DD" w:rsidP="001339A9">
      <w:pPr>
        <w:pStyle w:val="CETheadingx"/>
      </w:pPr>
      <w:r>
        <w:rPr>
          <w:noProof/>
          <w:lang w:val="it-IT"/>
        </w:rPr>
        <w:drawing>
          <wp:anchor distT="0" distB="0" distL="114300" distR="114300" simplePos="0" relativeHeight="251702272" behindDoc="0" locked="0" layoutInCell="1" allowOverlap="1" wp14:anchorId="0AB6952D" wp14:editId="3B5E5B35">
            <wp:simplePos x="0" y="0"/>
            <wp:positionH relativeFrom="margin">
              <wp:align>left</wp:align>
            </wp:positionH>
            <wp:positionV relativeFrom="paragraph">
              <wp:posOffset>212090</wp:posOffset>
            </wp:positionV>
            <wp:extent cx="1671320" cy="2228850"/>
            <wp:effectExtent l="0" t="0" r="5080" b="0"/>
            <wp:wrapSquare wrapText="bothSides"/>
            <wp:docPr id="1146550155" name="Immagine 1" descr="Immagine che contiene testo, mapp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50155" name="Immagine 1" descr="Immagine che contiene testo, mappa, diagramma&#10;&#10;Descrizione generata automaticamente"/>
                    <pic:cNvPicPr/>
                  </pic:nvPicPr>
                  <pic:blipFill>
                    <a:blip r:embed="rId10"/>
                    <a:stretch>
                      <a:fillRect/>
                    </a:stretch>
                  </pic:blipFill>
                  <pic:spPr>
                    <a:xfrm>
                      <a:off x="0" y="0"/>
                      <a:ext cx="1686816" cy="2249246"/>
                    </a:xfrm>
                    <a:prstGeom prst="rect">
                      <a:avLst/>
                    </a:prstGeom>
                  </pic:spPr>
                </pic:pic>
              </a:graphicData>
            </a:graphic>
            <wp14:sizeRelH relativeFrom="margin">
              <wp14:pctWidth>0</wp14:pctWidth>
            </wp14:sizeRelH>
            <wp14:sizeRelV relativeFrom="margin">
              <wp14:pctHeight>0</wp14:pctHeight>
            </wp14:sizeRelV>
          </wp:anchor>
        </w:drawing>
      </w:r>
      <w:r w:rsidR="00F2572E">
        <w:t>S</w:t>
      </w:r>
      <w:r w:rsidR="001339A9">
        <w:t>ite</w:t>
      </w:r>
      <w:r w:rsidR="006E1892">
        <w:t>s</w:t>
      </w:r>
      <w:r w:rsidR="001339A9">
        <w:t xml:space="preserve"> location</w:t>
      </w:r>
    </w:p>
    <w:p w14:paraId="3257A4F3" w14:textId="1505E31C" w:rsidR="003A16F0" w:rsidRPr="003A3ACD" w:rsidRDefault="00D91A64" w:rsidP="001339A9">
      <w:pPr>
        <w:pStyle w:val="CETBodytext"/>
        <w:keepNext/>
        <w:rPr>
          <w:lang w:val="en-GB"/>
        </w:rPr>
      </w:pPr>
      <w:r>
        <w:rPr>
          <w:noProof/>
          <w:lang w:val="it-IT"/>
        </w:rPr>
        <w:drawing>
          <wp:anchor distT="0" distB="0" distL="114300" distR="114300" simplePos="0" relativeHeight="251670528" behindDoc="0" locked="0" layoutInCell="1" allowOverlap="1" wp14:anchorId="7B129172" wp14:editId="442FD8E0">
            <wp:simplePos x="0" y="0"/>
            <wp:positionH relativeFrom="margin">
              <wp:align>left</wp:align>
            </wp:positionH>
            <wp:positionV relativeFrom="paragraph">
              <wp:posOffset>29845</wp:posOffset>
            </wp:positionV>
            <wp:extent cx="1581150" cy="2101850"/>
            <wp:effectExtent l="0" t="0" r="0" b="0"/>
            <wp:wrapSquare wrapText="bothSides"/>
            <wp:docPr id="450058390" name="Immagine 1" descr="Immagine che contiene testo, mapp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58390" name="Immagine 1" descr="Immagine che contiene testo, mappa, diagramma&#10;&#10;Descrizione generata automaticamente"/>
                    <pic:cNvPicPr/>
                  </pic:nvPicPr>
                  <pic:blipFill>
                    <a:blip r:embed="rId11"/>
                    <a:stretch>
                      <a:fillRect/>
                    </a:stretch>
                  </pic:blipFill>
                  <pic:spPr>
                    <a:xfrm>
                      <a:off x="0" y="0"/>
                      <a:ext cx="1585411" cy="2107590"/>
                    </a:xfrm>
                    <a:prstGeom prst="rect">
                      <a:avLst/>
                    </a:prstGeom>
                  </pic:spPr>
                </pic:pic>
              </a:graphicData>
            </a:graphic>
            <wp14:sizeRelH relativeFrom="margin">
              <wp14:pctWidth>0</wp14:pctWidth>
            </wp14:sizeRelH>
            <wp14:sizeRelV relativeFrom="margin">
              <wp14:pctHeight>0</wp14:pctHeight>
            </wp14:sizeRelV>
          </wp:anchor>
        </w:drawing>
      </w:r>
      <w:r w:rsidR="003A3ACD" w:rsidRPr="003A3ACD">
        <w:rPr>
          <w:noProof/>
          <w:lang w:val="en-GB"/>
        </w:rPr>
        <w:t>The study is performed by choosing</w:t>
      </w:r>
      <w:r w:rsidR="00674862">
        <w:rPr>
          <w:noProof/>
          <w:lang w:val="en-GB"/>
        </w:rPr>
        <w:t xml:space="preserve"> 4</w:t>
      </w:r>
      <w:r w:rsidR="003A3ACD" w:rsidRPr="003A3ACD">
        <w:rPr>
          <w:noProof/>
          <w:lang w:val="en-GB"/>
        </w:rPr>
        <w:t xml:space="preserve"> locations on the Italian territory (Figure 1). Three of them are located in a </w:t>
      </w:r>
      <w:r w:rsidR="00812636">
        <w:rPr>
          <w:noProof/>
          <w:lang w:val="en-GB"/>
        </w:rPr>
        <w:t>flat terrain</w:t>
      </w:r>
      <w:r w:rsidR="003A3ACD" w:rsidRPr="003A3ACD">
        <w:rPr>
          <w:noProof/>
          <w:lang w:val="en-GB"/>
        </w:rPr>
        <w:t>, one is located in a hilly terrain</w:t>
      </w:r>
      <w:r w:rsidR="00812636">
        <w:rPr>
          <w:noProof/>
          <w:lang w:val="en-GB"/>
        </w:rPr>
        <w:t xml:space="preserve">. </w:t>
      </w:r>
      <w:r w:rsidR="003A3ACD" w:rsidRPr="003A3ACD">
        <w:rPr>
          <w:noProof/>
          <w:lang w:val="en-GB"/>
        </w:rPr>
        <w:t>Table 1 shows the elevations of the terrain at the center of the installation and the average height of the terrain in the center of the cell, as well as</w:t>
      </w:r>
      <w:r w:rsidR="00360CA0">
        <w:rPr>
          <w:noProof/>
          <w:lang w:val="en-GB"/>
        </w:rPr>
        <w:t xml:space="preserve"> outlining</w:t>
      </w:r>
      <w:r w:rsidR="003A3ACD" w:rsidRPr="003A3ACD">
        <w:rPr>
          <w:noProof/>
          <w:lang w:val="en-GB"/>
        </w:rPr>
        <w:t xml:space="preserve"> the </w:t>
      </w:r>
      <w:r w:rsidR="00360CA0">
        <w:rPr>
          <w:noProof/>
          <w:lang w:val="en-GB"/>
        </w:rPr>
        <w:t xml:space="preserve">predominant </w:t>
      </w:r>
      <w:r w:rsidR="003A3ACD" w:rsidRPr="003A3ACD">
        <w:rPr>
          <w:noProof/>
          <w:lang w:val="en-GB"/>
        </w:rPr>
        <w:t xml:space="preserve">terrain </w:t>
      </w:r>
      <w:r w:rsidR="00360CA0">
        <w:rPr>
          <w:noProof/>
          <w:lang w:val="en-GB"/>
        </w:rPr>
        <w:t xml:space="preserve">types in the respective </w:t>
      </w:r>
      <w:r w:rsidR="003A3ACD" w:rsidRPr="003A3ACD">
        <w:rPr>
          <w:noProof/>
          <w:lang w:val="en-GB"/>
        </w:rPr>
        <w:t>surrounding area</w:t>
      </w:r>
      <w:r w:rsidR="003A3ACD">
        <w:rPr>
          <w:noProof/>
          <w:lang w:val="en-GB"/>
        </w:rPr>
        <w:t>.</w:t>
      </w:r>
    </w:p>
    <w:tbl>
      <w:tblPr>
        <w:tblpPr w:leftFromText="141" w:rightFromText="141" w:vertAnchor="text" w:horzAnchor="margin" w:tblpXSpec="right" w:tblpY="745"/>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60"/>
        <w:gridCol w:w="1984"/>
        <w:gridCol w:w="1417"/>
      </w:tblGrid>
      <w:tr w:rsidR="00355395" w:rsidRPr="00B57B36" w14:paraId="3FC455EC" w14:textId="77777777" w:rsidTr="00355395">
        <w:tc>
          <w:tcPr>
            <w:tcW w:w="1134" w:type="dxa"/>
            <w:tcBorders>
              <w:top w:val="single" w:sz="12" w:space="0" w:color="008000"/>
              <w:bottom w:val="single" w:sz="6" w:space="0" w:color="008000"/>
            </w:tcBorders>
            <w:shd w:val="clear" w:color="auto" w:fill="FFFFFF"/>
          </w:tcPr>
          <w:p w14:paraId="3AE4098E" w14:textId="77777777" w:rsidR="00355395" w:rsidRPr="00B57B36" w:rsidRDefault="00355395" w:rsidP="00355395">
            <w:pPr>
              <w:pStyle w:val="CETBodytext"/>
              <w:jc w:val="center"/>
              <w:rPr>
                <w:lang w:val="en-GB"/>
              </w:rPr>
            </w:pPr>
            <w:bookmarkStart w:id="0" w:name="_Ref160543368"/>
            <w:r>
              <w:rPr>
                <w:lang w:val="en-GB"/>
              </w:rPr>
              <w:t>Site name</w:t>
            </w:r>
          </w:p>
        </w:tc>
        <w:tc>
          <w:tcPr>
            <w:tcW w:w="1560" w:type="dxa"/>
            <w:tcBorders>
              <w:top w:val="single" w:sz="12" w:space="0" w:color="008000"/>
              <w:bottom w:val="single" w:sz="6" w:space="0" w:color="008000"/>
            </w:tcBorders>
            <w:shd w:val="clear" w:color="auto" w:fill="FFFFFF"/>
          </w:tcPr>
          <w:p w14:paraId="594F5B69" w14:textId="77777777" w:rsidR="00355395" w:rsidRPr="00B57B36" w:rsidRDefault="00355395" w:rsidP="00355395">
            <w:pPr>
              <w:pStyle w:val="CETBodytext"/>
              <w:jc w:val="center"/>
              <w:rPr>
                <w:lang w:val="en-GB"/>
              </w:rPr>
            </w:pPr>
            <w:r>
              <w:rPr>
                <w:lang w:val="en-GB"/>
              </w:rPr>
              <w:t>Orography</w:t>
            </w:r>
          </w:p>
        </w:tc>
        <w:tc>
          <w:tcPr>
            <w:tcW w:w="1984" w:type="dxa"/>
            <w:tcBorders>
              <w:top w:val="single" w:sz="12" w:space="0" w:color="008000"/>
              <w:bottom w:val="single" w:sz="6" w:space="0" w:color="008000"/>
            </w:tcBorders>
            <w:shd w:val="clear" w:color="auto" w:fill="FFFFFF"/>
          </w:tcPr>
          <w:p w14:paraId="5472A848" w14:textId="77777777" w:rsidR="00355395" w:rsidRPr="00B57B36" w:rsidRDefault="00355395" w:rsidP="00355395">
            <w:pPr>
              <w:pStyle w:val="CETBodytext"/>
              <w:jc w:val="center"/>
              <w:rPr>
                <w:lang w:val="en-GB"/>
              </w:rPr>
            </w:pPr>
            <w:r>
              <w:rPr>
                <w:lang w:val="en-GB"/>
              </w:rPr>
              <w:t>Mean cell height [m]</w:t>
            </w:r>
          </w:p>
        </w:tc>
        <w:tc>
          <w:tcPr>
            <w:tcW w:w="1417" w:type="dxa"/>
            <w:tcBorders>
              <w:top w:val="single" w:sz="12" w:space="0" w:color="008000"/>
              <w:bottom w:val="single" w:sz="6" w:space="0" w:color="008000"/>
            </w:tcBorders>
            <w:shd w:val="clear" w:color="auto" w:fill="FFFFFF"/>
          </w:tcPr>
          <w:p w14:paraId="4DAEA387" w14:textId="77777777" w:rsidR="00355395" w:rsidRPr="00B57B36" w:rsidRDefault="00355395" w:rsidP="00355395">
            <w:pPr>
              <w:pStyle w:val="CETBodytext"/>
              <w:ind w:right="-1"/>
              <w:jc w:val="center"/>
              <w:rPr>
                <w:rFonts w:cs="Arial"/>
                <w:szCs w:val="18"/>
                <w:lang w:val="en-GB"/>
              </w:rPr>
            </w:pPr>
            <w:r>
              <w:rPr>
                <w:rFonts w:cs="Arial"/>
                <w:szCs w:val="18"/>
                <w:lang w:val="en-GB"/>
              </w:rPr>
              <w:t>Site height [m]</w:t>
            </w:r>
          </w:p>
        </w:tc>
      </w:tr>
      <w:tr w:rsidR="00355395" w:rsidRPr="00B57B36" w14:paraId="68F332B1" w14:textId="77777777" w:rsidTr="00355395">
        <w:tc>
          <w:tcPr>
            <w:tcW w:w="1134" w:type="dxa"/>
            <w:shd w:val="clear" w:color="auto" w:fill="FFFFFF"/>
          </w:tcPr>
          <w:p w14:paraId="6A211D71" w14:textId="77777777" w:rsidR="00355395" w:rsidRPr="00B57B36" w:rsidRDefault="00355395" w:rsidP="00355395">
            <w:pPr>
              <w:pStyle w:val="CETBodytext"/>
              <w:rPr>
                <w:lang w:val="en-GB"/>
              </w:rPr>
            </w:pPr>
            <w:r>
              <w:rPr>
                <w:lang w:val="en-GB"/>
              </w:rPr>
              <w:t>Boara</w:t>
            </w:r>
          </w:p>
        </w:tc>
        <w:tc>
          <w:tcPr>
            <w:tcW w:w="1560" w:type="dxa"/>
            <w:shd w:val="clear" w:color="auto" w:fill="FFFFFF"/>
          </w:tcPr>
          <w:p w14:paraId="137368AC" w14:textId="77777777" w:rsidR="00355395" w:rsidRPr="00B57B36" w:rsidRDefault="00355395" w:rsidP="00355395">
            <w:pPr>
              <w:pStyle w:val="CETBodytext"/>
              <w:rPr>
                <w:lang w:val="en-GB"/>
              </w:rPr>
            </w:pPr>
            <w:r>
              <w:rPr>
                <w:lang w:val="en-GB"/>
              </w:rPr>
              <w:t>Flat</w:t>
            </w:r>
          </w:p>
        </w:tc>
        <w:tc>
          <w:tcPr>
            <w:tcW w:w="1984" w:type="dxa"/>
            <w:shd w:val="clear" w:color="auto" w:fill="FFFFFF"/>
          </w:tcPr>
          <w:p w14:paraId="4D83422F" w14:textId="77777777" w:rsidR="00355395" w:rsidRPr="00B57B36" w:rsidRDefault="00355395" w:rsidP="00355395">
            <w:pPr>
              <w:pStyle w:val="CETBodytext"/>
              <w:jc w:val="center"/>
              <w:rPr>
                <w:lang w:val="en-GB"/>
              </w:rPr>
            </w:pPr>
            <w:r>
              <w:rPr>
                <w:lang w:val="en-GB"/>
              </w:rPr>
              <w:t>4,1</w:t>
            </w:r>
          </w:p>
        </w:tc>
        <w:tc>
          <w:tcPr>
            <w:tcW w:w="1417" w:type="dxa"/>
            <w:shd w:val="clear" w:color="auto" w:fill="FFFFFF"/>
          </w:tcPr>
          <w:p w14:paraId="3F8EEBA7" w14:textId="039A24DA" w:rsidR="00355395" w:rsidRPr="00B57B36" w:rsidRDefault="00D768B3" w:rsidP="00355395">
            <w:pPr>
              <w:pStyle w:val="CETBodytext"/>
              <w:ind w:right="-1"/>
              <w:jc w:val="center"/>
              <w:rPr>
                <w:rFonts w:cs="Arial"/>
                <w:szCs w:val="18"/>
                <w:lang w:val="en-GB"/>
              </w:rPr>
            </w:pPr>
            <w:r>
              <w:rPr>
                <w:rFonts w:cs="Arial"/>
                <w:szCs w:val="18"/>
                <w:lang w:val="en-GB"/>
              </w:rPr>
              <w:t>2,0</w:t>
            </w:r>
          </w:p>
        </w:tc>
      </w:tr>
      <w:tr w:rsidR="00355395" w:rsidRPr="00B57B36" w14:paraId="793E875A" w14:textId="77777777" w:rsidTr="00355395">
        <w:tc>
          <w:tcPr>
            <w:tcW w:w="1134" w:type="dxa"/>
            <w:shd w:val="clear" w:color="auto" w:fill="FFFFFF"/>
          </w:tcPr>
          <w:p w14:paraId="54ECA603" w14:textId="77777777" w:rsidR="00355395" w:rsidRDefault="00355395" w:rsidP="00355395">
            <w:pPr>
              <w:pStyle w:val="CETBodytext"/>
              <w:rPr>
                <w:lang w:val="en-GB"/>
              </w:rPr>
            </w:pPr>
            <w:r>
              <w:rPr>
                <w:lang w:val="en-GB"/>
              </w:rPr>
              <w:t>Grosseto</w:t>
            </w:r>
          </w:p>
        </w:tc>
        <w:tc>
          <w:tcPr>
            <w:tcW w:w="1560" w:type="dxa"/>
            <w:shd w:val="clear" w:color="auto" w:fill="FFFFFF"/>
          </w:tcPr>
          <w:p w14:paraId="15A9A8A5" w14:textId="77777777" w:rsidR="00355395" w:rsidRPr="00B57B36" w:rsidRDefault="00355395" w:rsidP="00355395">
            <w:pPr>
              <w:pStyle w:val="CETBodytext"/>
              <w:rPr>
                <w:lang w:val="en-GB"/>
              </w:rPr>
            </w:pPr>
            <w:r>
              <w:rPr>
                <w:lang w:val="en-GB"/>
              </w:rPr>
              <w:t>Flat – near the Sea</w:t>
            </w:r>
          </w:p>
        </w:tc>
        <w:tc>
          <w:tcPr>
            <w:tcW w:w="1984" w:type="dxa"/>
            <w:shd w:val="clear" w:color="auto" w:fill="FFFFFF"/>
          </w:tcPr>
          <w:p w14:paraId="28B77678" w14:textId="77777777" w:rsidR="00355395" w:rsidRPr="00B57B36" w:rsidRDefault="00355395" w:rsidP="00355395">
            <w:pPr>
              <w:pStyle w:val="CETBodytext"/>
              <w:jc w:val="center"/>
              <w:rPr>
                <w:lang w:val="en-GB"/>
              </w:rPr>
            </w:pPr>
            <w:r>
              <w:rPr>
                <w:lang w:val="en-GB"/>
              </w:rPr>
              <w:t>19,7</w:t>
            </w:r>
          </w:p>
        </w:tc>
        <w:tc>
          <w:tcPr>
            <w:tcW w:w="1417" w:type="dxa"/>
            <w:shd w:val="clear" w:color="auto" w:fill="FFFFFF"/>
          </w:tcPr>
          <w:p w14:paraId="214899BC" w14:textId="3BD6E1D0" w:rsidR="00355395" w:rsidRPr="00B57B36" w:rsidRDefault="00D768B3" w:rsidP="00355395">
            <w:pPr>
              <w:pStyle w:val="CETBodytext"/>
              <w:ind w:right="-1"/>
              <w:jc w:val="center"/>
              <w:rPr>
                <w:rFonts w:cs="Arial"/>
                <w:szCs w:val="18"/>
                <w:lang w:val="en-GB"/>
              </w:rPr>
            </w:pPr>
            <w:r>
              <w:rPr>
                <w:rFonts w:cs="Arial"/>
                <w:szCs w:val="18"/>
                <w:lang w:val="en-GB"/>
              </w:rPr>
              <w:t>6,0</w:t>
            </w:r>
          </w:p>
        </w:tc>
      </w:tr>
      <w:tr w:rsidR="00355395" w:rsidRPr="00B57B36" w14:paraId="36763346" w14:textId="77777777" w:rsidTr="00355395">
        <w:tc>
          <w:tcPr>
            <w:tcW w:w="1134" w:type="dxa"/>
            <w:shd w:val="clear" w:color="auto" w:fill="FFFFFF"/>
          </w:tcPr>
          <w:p w14:paraId="6EDB8187" w14:textId="77777777" w:rsidR="00355395" w:rsidRDefault="00355395" w:rsidP="00355395">
            <w:pPr>
              <w:pStyle w:val="CETBodytext"/>
              <w:rPr>
                <w:lang w:val="en-GB"/>
              </w:rPr>
            </w:pPr>
            <w:r>
              <w:rPr>
                <w:lang w:val="en-GB"/>
              </w:rPr>
              <w:t>Taranto</w:t>
            </w:r>
          </w:p>
        </w:tc>
        <w:tc>
          <w:tcPr>
            <w:tcW w:w="1560" w:type="dxa"/>
            <w:shd w:val="clear" w:color="auto" w:fill="FFFFFF"/>
          </w:tcPr>
          <w:p w14:paraId="7604FF5E" w14:textId="77777777" w:rsidR="00355395" w:rsidRPr="00B57B36" w:rsidRDefault="00355395" w:rsidP="00355395">
            <w:pPr>
              <w:pStyle w:val="CETBodytext"/>
              <w:rPr>
                <w:lang w:val="en-GB"/>
              </w:rPr>
            </w:pPr>
            <w:r>
              <w:rPr>
                <w:lang w:val="en-GB"/>
              </w:rPr>
              <w:t>Flat – near the Sea</w:t>
            </w:r>
          </w:p>
        </w:tc>
        <w:tc>
          <w:tcPr>
            <w:tcW w:w="1984" w:type="dxa"/>
            <w:shd w:val="clear" w:color="auto" w:fill="FFFFFF"/>
          </w:tcPr>
          <w:p w14:paraId="38C5A592" w14:textId="77777777" w:rsidR="00355395" w:rsidRPr="00B57B36" w:rsidRDefault="00355395" w:rsidP="00355395">
            <w:pPr>
              <w:pStyle w:val="CETBodytext"/>
              <w:jc w:val="center"/>
              <w:rPr>
                <w:lang w:val="en-GB"/>
              </w:rPr>
            </w:pPr>
            <w:r>
              <w:rPr>
                <w:lang w:val="en-GB"/>
              </w:rPr>
              <w:t>38,6</w:t>
            </w:r>
          </w:p>
        </w:tc>
        <w:tc>
          <w:tcPr>
            <w:tcW w:w="1417" w:type="dxa"/>
            <w:shd w:val="clear" w:color="auto" w:fill="FFFFFF"/>
          </w:tcPr>
          <w:p w14:paraId="116DA596" w14:textId="4FA7831E" w:rsidR="00355395" w:rsidRPr="00B57B36" w:rsidRDefault="00D768B3" w:rsidP="00355395">
            <w:pPr>
              <w:pStyle w:val="CETBodytext"/>
              <w:ind w:right="-1"/>
              <w:jc w:val="center"/>
              <w:rPr>
                <w:rFonts w:cs="Arial"/>
                <w:szCs w:val="18"/>
                <w:lang w:val="en-GB"/>
              </w:rPr>
            </w:pPr>
            <w:r>
              <w:rPr>
                <w:rFonts w:cs="Arial"/>
                <w:szCs w:val="18"/>
                <w:lang w:val="en-GB"/>
              </w:rPr>
              <w:t>15,0</w:t>
            </w:r>
          </w:p>
        </w:tc>
      </w:tr>
      <w:tr w:rsidR="00355395" w:rsidRPr="00B57B36" w14:paraId="3048741E" w14:textId="77777777" w:rsidTr="00355395">
        <w:tc>
          <w:tcPr>
            <w:tcW w:w="1134" w:type="dxa"/>
            <w:shd w:val="clear" w:color="auto" w:fill="FFFFFF"/>
          </w:tcPr>
          <w:p w14:paraId="6F99DEB7" w14:textId="77777777" w:rsidR="00355395" w:rsidRDefault="00355395" w:rsidP="00355395">
            <w:pPr>
              <w:pStyle w:val="CETBodytext"/>
              <w:rPr>
                <w:lang w:val="en-GB"/>
              </w:rPr>
            </w:pPr>
            <w:r>
              <w:rPr>
                <w:lang w:val="en-GB"/>
              </w:rPr>
              <w:t>Tolentino</w:t>
            </w:r>
          </w:p>
        </w:tc>
        <w:tc>
          <w:tcPr>
            <w:tcW w:w="1560" w:type="dxa"/>
            <w:shd w:val="clear" w:color="auto" w:fill="FFFFFF"/>
          </w:tcPr>
          <w:p w14:paraId="7D020DF5" w14:textId="77777777" w:rsidR="00355395" w:rsidRPr="00B57B36" w:rsidRDefault="00355395" w:rsidP="00355395">
            <w:pPr>
              <w:pStyle w:val="CETBodytext"/>
              <w:rPr>
                <w:lang w:val="en-GB"/>
              </w:rPr>
            </w:pPr>
            <w:r>
              <w:rPr>
                <w:lang w:val="en-GB"/>
              </w:rPr>
              <w:t>Hilly</w:t>
            </w:r>
          </w:p>
        </w:tc>
        <w:tc>
          <w:tcPr>
            <w:tcW w:w="1984" w:type="dxa"/>
            <w:shd w:val="clear" w:color="auto" w:fill="FFFFFF"/>
          </w:tcPr>
          <w:p w14:paraId="52DE7D65" w14:textId="77777777" w:rsidR="00355395" w:rsidRPr="00B57B36" w:rsidRDefault="00355395" w:rsidP="00355395">
            <w:pPr>
              <w:pStyle w:val="CETBodytext"/>
              <w:jc w:val="center"/>
              <w:rPr>
                <w:lang w:val="en-GB"/>
              </w:rPr>
            </w:pPr>
            <w:r>
              <w:rPr>
                <w:lang w:val="en-GB"/>
              </w:rPr>
              <w:t>219,7</w:t>
            </w:r>
          </w:p>
        </w:tc>
        <w:tc>
          <w:tcPr>
            <w:tcW w:w="1417" w:type="dxa"/>
            <w:shd w:val="clear" w:color="auto" w:fill="FFFFFF"/>
          </w:tcPr>
          <w:p w14:paraId="3C7D5C3D" w14:textId="6406CEDE" w:rsidR="00355395" w:rsidRPr="00B57B36" w:rsidRDefault="00D768B3" w:rsidP="00355395">
            <w:pPr>
              <w:pStyle w:val="CETBodytext"/>
              <w:ind w:right="-1"/>
              <w:jc w:val="center"/>
              <w:rPr>
                <w:rFonts w:cs="Arial"/>
                <w:szCs w:val="18"/>
                <w:lang w:val="en-GB"/>
              </w:rPr>
            </w:pPr>
            <w:r>
              <w:rPr>
                <w:rFonts w:cs="Arial"/>
                <w:szCs w:val="18"/>
                <w:lang w:val="en-GB"/>
              </w:rPr>
              <w:t>204,0</w:t>
            </w:r>
          </w:p>
        </w:tc>
      </w:tr>
    </w:tbl>
    <w:p w14:paraId="637142E1" w14:textId="32295DE0" w:rsidR="003A16F0" w:rsidRPr="00603DD0" w:rsidRDefault="003A16F0" w:rsidP="008B7E10">
      <w:pPr>
        <w:pStyle w:val="CETCaption"/>
      </w:pPr>
      <w:r w:rsidRPr="00603DD0">
        <w:t>Tab</w:t>
      </w:r>
      <w:r w:rsidR="003A3ACD" w:rsidRPr="00603DD0">
        <w:t>le</w:t>
      </w:r>
      <w:r w:rsidRPr="00603DD0">
        <w:t xml:space="preserve"> </w:t>
      </w:r>
      <w:r>
        <w:fldChar w:fldCharType="begin"/>
      </w:r>
      <w:r w:rsidRPr="00603DD0">
        <w:instrText xml:space="preserve"> SEQ Tabella \* ARABIC </w:instrText>
      </w:r>
      <w:r>
        <w:fldChar w:fldCharType="separate"/>
      </w:r>
      <w:r w:rsidRPr="00603DD0">
        <w:rPr>
          <w:noProof/>
        </w:rPr>
        <w:t>1</w:t>
      </w:r>
      <w:r>
        <w:fldChar w:fldCharType="end"/>
      </w:r>
      <w:bookmarkEnd w:id="0"/>
      <w:r w:rsidRPr="00603DD0">
        <w:t xml:space="preserve">: </w:t>
      </w:r>
      <w:r w:rsidR="00603DD0" w:rsidRPr="00603DD0">
        <w:t>Si</w:t>
      </w:r>
      <w:r w:rsidR="00603DD0">
        <w:t>mulation domain orographic characteristics. Three station</w:t>
      </w:r>
      <w:r w:rsidR="009676DD">
        <w:t>s</w:t>
      </w:r>
      <w:r w:rsidR="00603DD0">
        <w:t xml:space="preserve"> are located in plains, one in a hilly </w:t>
      </w:r>
      <w:r w:rsidR="009676DD">
        <w:t>terrain.</w:t>
      </w:r>
    </w:p>
    <w:p w14:paraId="62556CBB" w14:textId="77777777" w:rsidR="00355395" w:rsidRDefault="00355395" w:rsidP="003A5C8D">
      <w:pPr>
        <w:pStyle w:val="CETCaption"/>
        <w:spacing w:line="240" w:lineRule="auto"/>
        <w:jc w:val="left"/>
      </w:pPr>
    </w:p>
    <w:p w14:paraId="7AF8F65D" w14:textId="4C8A353C" w:rsidR="003A5C8D" w:rsidRPr="003A5C8D" w:rsidRDefault="003A5C8D" w:rsidP="003A5C8D">
      <w:pPr>
        <w:pStyle w:val="CETCaption"/>
        <w:spacing w:line="240" w:lineRule="auto"/>
        <w:jc w:val="left"/>
        <w:rPr>
          <w:noProof/>
        </w:rPr>
      </w:pPr>
      <w:r w:rsidRPr="003A5C8D">
        <w:t xml:space="preserve">Figure 1: </w:t>
      </w:r>
      <w:r w:rsidR="00CD3217">
        <w:t>S</w:t>
      </w:r>
      <w:r w:rsidRPr="003A5C8D">
        <w:t>ites location on m</w:t>
      </w:r>
      <w:r>
        <w:t>ap</w:t>
      </w:r>
      <w:r w:rsidR="00603DD0">
        <w:t xml:space="preserve">. </w:t>
      </w:r>
      <w:r w:rsidR="002D1B9B">
        <w:t>The sea is</w:t>
      </w:r>
      <w:r w:rsidR="00603DD0">
        <w:t>: 40 km f</w:t>
      </w:r>
      <w:r w:rsidR="002D1B9B">
        <w:t>rom</w:t>
      </w:r>
      <w:r w:rsidR="00603DD0">
        <w:t xml:space="preserve"> Boara, 3.5 km f</w:t>
      </w:r>
      <w:r w:rsidR="002D1B9B">
        <w:t>rom</w:t>
      </w:r>
      <w:r w:rsidR="00603DD0">
        <w:t xml:space="preserve"> Grosseto, </w:t>
      </w:r>
      <w:r w:rsidR="002D1B9B">
        <w:t>1.7 km from Taranto, 38 km from Tolentino</w:t>
      </w:r>
      <w:r w:rsidR="00124A35">
        <w:t>.</w:t>
      </w:r>
    </w:p>
    <w:p w14:paraId="366C87F9" w14:textId="0E32C8DF" w:rsidR="00E07568" w:rsidRPr="00DC1F71" w:rsidRDefault="00DC1F71" w:rsidP="001339A9">
      <w:pPr>
        <w:pStyle w:val="CETBodytext"/>
        <w:rPr>
          <w:lang w:val="en-GB"/>
        </w:rPr>
      </w:pPr>
      <w:r w:rsidRPr="00DC1F71">
        <w:rPr>
          <w:lang w:val="en-GB"/>
        </w:rPr>
        <w:t xml:space="preserve">The </w:t>
      </w:r>
      <w:r>
        <w:rPr>
          <w:lang w:val="en-GB"/>
        </w:rPr>
        <w:t>terrain</w:t>
      </w:r>
      <w:r w:rsidRPr="00DC1F71">
        <w:rPr>
          <w:lang w:val="en-GB"/>
        </w:rPr>
        <w:t xml:space="preserve"> elevations calculated for each grid point and used as input for the CALMET model are obtained from the EU-DEM v1.1 dataset, while land uses are obtained from the raster database V2020_20u1</w:t>
      </w:r>
      <w:r w:rsidR="00360CA0">
        <w:rPr>
          <w:lang w:val="en-GB"/>
        </w:rPr>
        <w:t>. B</w:t>
      </w:r>
      <w:r w:rsidRPr="00DC1F71">
        <w:rPr>
          <w:lang w:val="en-GB"/>
        </w:rPr>
        <w:t>oth databases are made under the EU Copernicus program of the European Environmental Agency</w:t>
      </w:r>
      <w:r w:rsidR="00B12BFF">
        <w:rPr>
          <w:lang w:val="en-GB"/>
        </w:rPr>
        <w:t xml:space="preserve"> (Copernicus website).</w:t>
      </w:r>
    </w:p>
    <w:p w14:paraId="39F4F49A" w14:textId="5FBFF141" w:rsidR="001339A9" w:rsidRPr="001339A9" w:rsidRDefault="00014604" w:rsidP="001339A9">
      <w:pPr>
        <w:pStyle w:val="CETheadingx"/>
      </w:pPr>
      <w:r>
        <w:t>Emission s</w:t>
      </w:r>
      <w:r w:rsidR="001339A9">
        <w:t>ource</w:t>
      </w:r>
    </w:p>
    <w:p w14:paraId="6142EB46" w14:textId="0B13351A" w:rsidR="003A3ACD" w:rsidRPr="00D6439E" w:rsidRDefault="003A3ACD" w:rsidP="00453E24">
      <w:pPr>
        <w:pStyle w:val="CETBodytext"/>
        <w:rPr>
          <w:lang w:val="en-GB"/>
        </w:rPr>
      </w:pPr>
      <w:r w:rsidRPr="003A3ACD">
        <w:rPr>
          <w:lang w:val="en-GB"/>
        </w:rPr>
        <w:t xml:space="preserve">For each </w:t>
      </w:r>
      <w:r w:rsidR="004D7213">
        <w:rPr>
          <w:lang w:val="en-GB"/>
        </w:rPr>
        <w:t>selected</w:t>
      </w:r>
      <w:r w:rsidRPr="003A3ACD">
        <w:rPr>
          <w:lang w:val="en-GB"/>
        </w:rPr>
        <w:t xml:space="preserve"> locations,</w:t>
      </w:r>
      <w:r w:rsidR="004D7213">
        <w:rPr>
          <w:lang w:val="en-GB"/>
        </w:rPr>
        <w:t xml:space="preserve"> </w:t>
      </w:r>
      <w:r w:rsidRPr="003A3ACD">
        <w:rPr>
          <w:lang w:val="en-GB"/>
        </w:rPr>
        <w:t>simulation</w:t>
      </w:r>
      <w:r w:rsidR="004D7213">
        <w:rPr>
          <w:lang w:val="en-GB"/>
        </w:rPr>
        <w:t>s are</w:t>
      </w:r>
      <w:r w:rsidRPr="003A3ACD">
        <w:rPr>
          <w:lang w:val="en-GB"/>
        </w:rPr>
        <w:t xml:space="preserve"> carried out considering two scenarios </w:t>
      </w:r>
      <w:r w:rsidR="004D7213">
        <w:rPr>
          <w:lang w:val="en-GB"/>
        </w:rPr>
        <w:t>spanning a one-year period</w:t>
      </w:r>
      <w:r w:rsidR="006D0268">
        <w:rPr>
          <w:lang w:val="en-GB"/>
        </w:rPr>
        <w:t xml:space="preserve">. The reference simulation grid is set at </w:t>
      </w:r>
      <w:r w:rsidRPr="00D6439E">
        <w:rPr>
          <w:lang w:val="en-GB"/>
        </w:rPr>
        <w:t>3 x 3 km, with a resolution of 100 m.</w:t>
      </w:r>
    </w:p>
    <w:p w14:paraId="01F88CAA" w14:textId="78096D2D" w:rsidR="001320E5" w:rsidRPr="00D6439E" w:rsidRDefault="001320E5" w:rsidP="001320E5">
      <w:pPr>
        <w:pStyle w:val="CETBodytext"/>
        <w:rPr>
          <w:lang w:val="en-GB"/>
        </w:rPr>
      </w:pPr>
      <w:r w:rsidRPr="006D0268">
        <w:rPr>
          <w:lang w:val="en-GB"/>
        </w:rPr>
        <w:t>T</w:t>
      </w:r>
      <w:r w:rsidR="006B42DF">
        <w:rPr>
          <w:lang w:val="en-GB"/>
        </w:rPr>
        <w:t>welve</w:t>
      </w:r>
      <w:r w:rsidRPr="006D0268">
        <w:rPr>
          <w:lang w:val="en-GB"/>
        </w:rPr>
        <w:t xml:space="preserve"> vertical layers are identified with the cell face heights </w:t>
      </w:r>
      <w:r w:rsidR="006D0268" w:rsidRPr="006D0268">
        <w:rPr>
          <w:lang w:val="en-GB"/>
        </w:rPr>
        <w:t>from</w:t>
      </w:r>
      <w:r w:rsidRPr="006D0268">
        <w:rPr>
          <w:lang w:val="en-GB"/>
        </w:rPr>
        <w:t xml:space="preserve"> 10</w:t>
      </w:r>
      <w:r w:rsidR="006D0268" w:rsidRPr="006D0268">
        <w:rPr>
          <w:lang w:val="en-GB"/>
        </w:rPr>
        <w:t xml:space="preserve"> m.</w:t>
      </w:r>
    </w:p>
    <w:p w14:paraId="1D0DA1D1" w14:textId="6ED7E092" w:rsidR="0056409E" w:rsidRPr="00D91A64" w:rsidRDefault="0056409E" w:rsidP="00453E24">
      <w:pPr>
        <w:pStyle w:val="CETBodytext"/>
        <w:rPr>
          <w:lang w:val="en-GB"/>
        </w:rPr>
      </w:pPr>
      <w:r w:rsidRPr="00D91A64">
        <w:rPr>
          <w:lang w:val="en-GB"/>
        </w:rPr>
        <w:t>The first scenario involves a point source (stack) with a height equal to 20 m</w:t>
      </w:r>
      <w:r w:rsidR="00552402">
        <w:rPr>
          <w:lang w:val="en-GB"/>
        </w:rPr>
        <w:t>. T</w:t>
      </w:r>
      <w:r w:rsidRPr="00D91A64">
        <w:rPr>
          <w:lang w:val="en-GB"/>
        </w:rPr>
        <w:t>he exit air flow velocity is 10.4 m/s, and the stack diameter is 0.35 m.</w:t>
      </w:r>
    </w:p>
    <w:p w14:paraId="04C6D44C" w14:textId="67FDB691" w:rsidR="0056409E" w:rsidRDefault="0056409E" w:rsidP="00453E24">
      <w:pPr>
        <w:pStyle w:val="CETBodytext"/>
        <w:rPr>
          <w:lang w:val="en-GB"/>
        </w:rPr>
      </w:pPr>
      <w:r w:rsidRPr="0056409E">
        <w:rPr>
          <w:lang w:val="en-GB"/>
        </w:rPr>
        <w:t xml:space="preserve">In the second scenario, </w:t>
      </w:r>
      <w:r w:rsidR="00552402">
        <w:rPr>
          <w:lang w:val="en-GB"/>
        </w:rPr>
        <w:t>an areal emissive source measuring</w:t>
      </w:r>
      <w:r>
        <w:rPr>
          <w:lang w:val="en-GB"/>
        </w:rPr>
        <w:t xml:space="preserve"> 400 m</w:t>
      </w:r>
      <w:r w:rsidRPr="0056409E">
        <w:rPr>
          <w:vertAlign w:val="superscript"/>
          <w:lang w:val="en-GB"/>
        </w:rPr>
        <w:t>2</w:t>
      </w:r>
      <w:r>
        <w:rPr>
          <w:lang w:val="en-GB"/>
        </w:rPr>
        <w:t xml:space="preserve"> and placed on the ground</w:t>
      </w:r>
      <w:r w:rsidR="00552402">
        <w:rPr>
          <w:lang w:val="en-GB"/>
        </w:rPr>
        <w:t xml:space="preserve"> is considered</w:t>
      </w:r>
      <w:r>
        <w:rPr>
          <w:lang w:val="en-GB"/>
        </w:rPr>
        <w:t>.</w:t>
      </w:r>
    </w:p>
    <w:p w14:paraId="50017ADF" w14:textId="3F42E4A1" w:rsidR="00A80D5C" w:rsidRPr="00A80D5C" w:rsidRDefault="00D91A64" w:rsidP="00A80D5C">
      <w:pPr>
        <w:pStyle w:val="CETBodytext"/>
        <w:rPr>
          <w:lang w:val="en-GB"/>
        </w:rPr>
      </w:pPr>
      <w:r>
        <w:rPr>
          <w:noProof/>
          <w:lang w:val="it-IT"/>
        </w:rPr>
        <w:drawing>
          <wp:anchor distT="0" distB="0" distL="114300" distR="114300" simplePos="0" relativeHeight="251683840" behindDoc="0" locked="0" layoutInCell="1" allowOverlap="1" wp14:anchorId="4F23D73A" wp14:editId="14FA565A">
            <wp:simplePos x="0" y="0"/>
            <wp:positionH relativeFrom="margin">
              <wp:align>left</wp:align>
            </wp:positionH>
            <wp:positionV relativeFrom="paragraph">
              <wp:posOffset>338455</wp:posOffset>
            </wp:positionV>
            <wp:extent cx="2528570" cy="1961515"/>
            <wp:effectExtent l="0" t="0" r="5080" b="635"/>
            <wp:wrapSquare wrapText="bothSides"/>
            <wp:docPr id="1852640755" name="Immagine 1" descr="Immagine che contiene cerchio, diagramma, linea, Simmetr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40755" name="Immagine 1" descr="Immagine che contiene cerchio, diagramma, linea, Simmetria&#10;&#10;Descrizione generata automaticamente"/>
                    <pic:cNvPicPr/>
                  </pic:nvPicPr>
                  <pic:blipFill rotWithShape="1">
                    <a:blip r:embed="rId12"/>
                    <a:srcRect b="2374"/>
                    <a:stretch/>
                  </pic:blipFill>
                  <pic:spPr bwMode="auto">
                    <a:xfrm>
                      <a:off x="0" y="0"/>
                      <a:ext cx="2528570" cy="1961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2402">
        <w:rPr>
          <w:lang w:val="en-GB"/>
        </w:rPr>
        <w:t>For both scenarios, t</w:t>
      </w:r>
      <w:r w:rsidR="0056409E">
        <w:rPr>
          <w:lang w:val="en-GB"/>
        </w:rPr>
        <w:t>he odour flow rate is assumed equal to 20,000 ouE/s.</w:t>
      </w:r>
      <w:r w:rsidR="00A80D5C">
        <w:rPr>
          <w:lang w:val="en-GB"/>
        </w:rPr>
        <w:t xml:space="preserve"> </w:t>
      </w:r>
      <w:r w:rsidR="00552402">
        <w:rPr>
          <w:lang w:val="en-GB"/>
        </w:rPr>
        <w:t>Given that the effluent temperature is not significantly higher than the ambient temperature, buoyancy effects are conservatively assumed to be negligible.</w:t>
      </w:r>
    </w:p>
    <w:p w14:paraId="239000D0" w14:textId="4624C015" w:rsidR="0056409E" w:rsidRPr="0056409E" w:rsidRDefault="00A80D5C" w:rsidP="00A80D5C">
      <w:pPr>
        <w:pStyle w:val="CETBodytext"/>
        <w:rPr>
          <w:lang w:val="en-GB"/>
        </w:rPr>
      </w:pPr>
      <w:r w:rsidRPr="00A80D5C">
        <w:rPr>
          <w:lang w:val="en-GB"/>
        </w:rPr>
        <w:t xml:space="preserve">The initial </w:t>
      </w:r>
      <w:r w:rsidR="00552402">
        <w:rPr>
          <w:lang w:val="en-GB"/>
        </w:rPr>
        <w:t xml:space="preserve">puff </w:t>
      </w:r>
      <w:r w:rsidRPr="00A80D5C">
        <w:rPr>
          <w:lang w:val="en-GB"/>
        </w:rPr>
        <w:t>size on the axis perpendicular to the motion (sigma Y at time t0) is calculated from the area of the source</w:t>
      </w:r>
      <w:r w:rsidR="00626ECC">
        <w:rPr>
          <w:lang w:val="en-GB"/>
        </w:rPr>
        <w:t>.</w:t>
      </w:r>
    </w:p>
    <w:p w14:paraId="4C6B8432" w14:textId="2B9DDD37" w:rsidR="00F573E0" w:rsidRPr="0056409E" w:rsidRDefault="00552402" w:rsidP="00453E24">
      <w:pPr>
        <w:pStyle w:val="CETBodytext"/>
        <w:rPr>
          <w:lang w:val="en-GB"/>
        </w:rPr>
      </w:pPr>
      <w:r>
        <w:rPr>
          <w:lang w:val="en-GB"/>
        </w:rPr>
        <w:t>As n</w:t>
      </w:r>
      <w:r w:rsidR="0056409E" w:rsidRPr="0056409E">
        <w:rPr>
          <w:lang w:val="en-GB"/>
        </w:rPr>
        <w:t xml:space="preserve">o buildings are planned around the sources, the </w:t>
      </w:r>
      <w:r w:rsidR="0056409E">
        <w:rPr>
          <w:lang w:val="en-GB"/>
        </w:rPr>
        <w:t>building downwash</w:t>
      </w:r>
      <w:r w:rsidR="0056409E" w:rsidRPr="0056409E">
        <w:rPr>
          <w:lang w:val="en-GB"/>
        </w:rPr>
        <w:t xml:space="preserve"> effect that might be generated </w:t>
      </w:r>
      <w:r w:rsidR="002D1B9B">
        <w:rPr>
          <w:lang w:val="en-GB"/>
        </w:rPr>
        <w:t>has been</w:t>
      </w:r>
      <w:r w:rsidR="0056409E" w:rsidRPr="0056409E">
        <w:rPr>
          <w:lang w:val="en-GB"/>
        </w:rPr>
        <w:t xml:space="preserve"> neglected.</w:t>
      </w:r>
    </w:p>
    <w:p w14:paraId="34E96557" w14:textId="1B77C487" w:rsidR="00D91A64" w:rsidRPr="00D91A64" w:rsidRDefault="00552402" w:rsidP="00D91A64">
      <w:pPr>
        <w:pStyle w:val="CETBodytext"/>
        <w:rPr>
          <w:lang w:val="en-GB"/>
        </w:rPr>
      </w:pPr>
      <w:r>
        <w:rPr>
          <w:lang w:val="en-GB"/>
        </w:rPr>
        <w:t>Results are presented in term of s</w:t>
      </w:r>
      <w:r w:rsidR="00D91A64" w:rsidRPr="00D91A64">
        <w:rPr>
          <w:lang w:val="en-GB"/>
        </w:rPr>
        <w:t>imulated odo</w:t>
      </w:r>
      <w:r w:rsidR="00B076FA">
        <w:rPr>
          <w:lang w:val="en-GB"/>
        </w:rPr>
        <w:t>u</w:t>
      </w:r>
      <w:r w:rsidR="00D91A64" w:rsidRPr="00D91A64">
        <w:rPr>
          <w:lang w:val="en-GB"/>
        </w:rPr>
        <w:t xml:space="preserve">r concentration at 24 receptors placed every 45° </w:t>
      </w:r>
      <w:r>
        <w:rPr>
          <w:lang w:val="en-GB"/>
        </w:rPr>
        <w:t xml:space="preserve">intervals </w:t>
      </w:r>
      <w:r w:rsidR="00D91A64" w:rsidRPr="00D91A64">
        <w:rPr>
          <w:lang w:val="en-GB"/>
        </w:rPr>
        <w:t>around the sources</w:t>
      </w:r>
      <w:r>
        <w:rPr>
          <w:lang w:val="en-GB"/>
        </w:rPr>
        <w:t>,</w:t>
      </w:r>
      <w:r w:rsidR="00D91A64" w:rsidRPr="00D91A64">
        <w:rPr>
          <w:lang w:val="en-GB"/>
        </w:rPr>
        <w:t xml:space="preserve"> and at </w:t>
      </w:r>
      <w:r>
        <w:rPr>
          <w:lang w:val="en-GB"/>
        </w:rPr>
        <w:t xml:space="preserve">distances of </w:t>
      </w:r>
      <w:r w:rsidR="00D91A64" w:rsidRPr="00D91A64">
        <w:rPr>
          <w:lang w:val="en-GB"/>
        </w:rPr>
        <w:t>300, 600, 1200 m from the central location of the sources</w:t>
      </w:r>
      <w:r>
        <w:rPr>
          <w:lang w:val="en-GB"/>
        </w:rPr>
        <w:t xml:space="preserve"> location</w:t>
      </w:r>
      <w:r w:rsidR="00D91A64" w:rsidRPr="00D91A64">
        <w:rPr>
          <w:lang w:val="en-GB"/>
        </w:rPr>
        <w:t>.</w:t>
      </w:r>
    </w:p>
    <w:p w14:paraId="3F866D7D" w14:textId="4D5B66D3" w:rsidR="00FC45BF" w:rsidRPr="00D91A64" w:rsidRDefault="00D91A64" w:rsidP="00D91A64">
      <w:pPr>
        <w:pStyle w:val="CETBodytext"/>
        <w:rPr>
          <w:lang w:val="en-GB"/>
        </w:rPr>
      </w:pPr>
      <w:r w:rsidRPr="00D91A64">
        <w:rPr>
          <w:lang w:val="en-GB"/>
        </w:rPr>
        <w:t>Receptors are named according to the direction from N to NW clockwise</w:t>
      </w:r>
      <w:r w:rsidR="00552402">
        <w:rPr>
          <w:lang w:val="en-GB"/>
        </w:rPr>
        <w:t>,</w:t>
      </w:r>
      <w:r w:rsidRPr="00D91A64">
        <w:rPr>
          <w:lang w:val="en-GB"/>
        </w:rPr>
        <w:t xml:space="preserve"> and</w:t>
      </w:r>
      <w:r w:rsidR="00552402">
        <w:rPr>
          <w:lang w:val="en-GB"/>
        </w:rPr>
        <w:t xml:space="preserve"> numerically labeled</w:t>
      </w:r>
      <w:r w:rsidRPr="00D91A64">
        <w:rPr>
          <w:lang w:val="en-GB"/>
        </w:rPr>
        <w:t xml:space="preserve"> 1 to 3 </w:t>
      </w:r>
      <w:r w:rsidR="00552402">
        <w:rPr>
          <w:lang w:val="en-GB"/>
        </w:rPr>
        <w:t>in</w:t>
      </w:r>
      <w:r w:rsidRPr="00D91A64">
        <w:rPr>
          <w:lang w:val="en-GB"/>
        </w:rPr>
        <w:t xml:space="preserve"> increasing distance from the center.</w:t>
      </w:r>
    </w:p>
    <w:p w14:paraId="7569FF77" w14:textId="5246F690" w:rsidR="00F2572E" w:rsidRPr="00D6439E" w:rsidRDefault="00EB2761" w:rsidP="00D91A64">
      <w:pPr>
        <w:pStyle w:val="CETCaption"/>
        <w:spacing w:line="240" w:lineRule="auto"/>
        <w:jc w:val="left"/>
        <w:rPr>
          <w:noProof/>
        </w:rPr>
      </w:pPr>
      <w:bookmarkStart w:id="1" w:name="_Ref160544295"/>
      <w:r w:rsidRPr="00D6439E">
        <w:t>Figu</w:t>
      </w:r>
      <w:r w:rsidR="00D91A64" w:rsidRPr="00D6439E">
        <w:t>re</w:t>
      </w:r>
      <w:r w:rsidRPr="00D6439E">
        <w:t xml:space="preserve"> </w:t>
      </w:r>
      <w:r w:rsidRPr="00F2572E">
        <w:fldChar w:fldCharType="begin"/>
      </w:r>
      <w:r w:rsidRPr="00D6439E">
        <w:instrText xml:space="preserve"> SEQ Figura \* ARABIC </w:instrText>
      </w:r>
      <w:r w:rsidRPr="00F2572E">
        <w:fldChar w:fldCharType="separate"/>
      </w:r>
      <w:r w:rsidRPr="00D6439E">
        <w:rPr>
          <w:noProof/>
        </w:rPr>
        <w:t>2</w:t>
      </w:r>
      <w:r w:rsidRPr="00F2572E">
        <w:fldChar w:fldCharType="end"/>
      </w:r>
      <w:bookmarkEnd w:id="1"/>
      <w:r w:rsidRPr="00D6439E">
        <w:t xml:space="preserve">: </w:t>
      </w:r>
      <w:r w:rsidR="00CD3217" w:rsidRPr="00D6439E">
        <w:t>Receptors position around source cente</w:t>
      </w:r>
      <w:r w:rsidR="00626ECC">
        <w:t>r. For each location</w:t>
      </w:r>
      <w:r w:rsidR="0075400D">
        <w:t xml:space="preserve"> three distances are chosen</w:t>
      </w:r>
      <w:r w:rsidR="00626ECC">
        <w:t xml:space="preserve">: </w:t>
      </w:r>
      <w:r w:rsidR="0075400D">
        <w:t>300 m, 600 m, 1200 m.</w:t>
      </w:r>
    </w:p>
    <w:p w14:paraId="0636B784" w14:textId="263B5A49" w:rsidR="00453E24" w:rsidRDefault="003A5C8D" w:rsidP="00F2572E">
      <w:pPr>
        <w:pStyle w:val="CETheadingx"/>
      </w:pPr>
      <w:r>
        <w:rPr>
          <w:lang w:val="it-IT"/>
        </w:rPr>
        <w:t>Dispersion model and meteorological data</w:t>
      </w:r>
    </w:p>
    <w:p w14:paraId="58CAC59F" w14:textId="78E8502E" w:rsidR="00EB704E" w:rsidRPr="00626ECC" w:rsidRDefault="00626ECC" w:rsidP="00EB704E">
      <w:pPr>
        <w:pStyle w:val="CETBodytext"/>
        <w:rPr>
          <w:lang w:val="en-GB"/>
        </w:rPr>
      </w:pPr>
      <w:r>
        <w:rPr>
          <w:rFonts w:cs="Arial"/>
          <w:szCs w:val="18"/>
          <w:lang w:val="en-GB"/>
        </w:rPr>
        <w:t xml:space="preserve">The </w:t>
      </w:r>
      <w:r w:rsidRPr="003A5C8D">
        <w:rPr>
          <w:lang w:val="en-GB"/>
        </w:rPr>
        <w:t>atmospheric dispersion model used to perform the simulations is CALPUFF</w:t>
      </w:r>
      <w:r>
        <w:rPr>
          <w:lang w:val="en-GB"/>
        </w:rPr>
        <w:t>. It includes three main components:</w:t>
      </w:r>
      <w:r w:rsidRPr="00064C9D">
        <w:rPr>
          <w:rFonts w:cs="Arial"/>
          <w:szCs w:val="18"/>
          <w:lang w:val="en-GB"/>
        </w:rPr>
        <w:t xml:space="preserve"> </w:t>
      </w:r>
      <w:r w:rsidRPr="00EB704E">
        <w:rPr>
          <w:rFonts w:cs="Arial"/>
          <w:szCs w:val="18"/>
          <w:lang w:val="en-GB"/>
        </w:rPr>
        <w:t>3D meteorological model CALMET, air</w:t>
      </w:r>
      <w:r>
        <w:rPr>
          <w:rFonts w:cs="Arial"/>
          <w:szCs w:val="18"/>
          <w:lang w:val="en-GB"/>
        </w:rPr>
        <w:t xml:space="preserve"> </w:t>
      </w:r>
      <w:r w:rsidRPr="00EB704E">
        <w:rPr>
          <w:rFonts w:cs="Arial"/>
          <w:szCs w:val="18"/>
          <w:lang w:val="en-GB"/>
        </w:rPr>
        <w:t>quality dispersion model CALPUFF and the postprocessing tool</w:t>
      </w:r>
      <w:r>
        <w:rPr>
          <w:rFonts w:cs="Arial"/>
          <w:szCs w:val="18"/>
          <w:lang w:val="en-GB"/>
        </w:rPr>
        <w:t xml:space="preserve"> </w:t>
      </w:r>
      <w:r w:rsidRPr="00EB704E">
        <w:rPr>
          <w:rFonts w:cs="Arial"/>
          <w:szCs w:val="18"/>
          <w:lang w:val="en-GB"/>
        </w:rPr>
        <w:t>CALPOST</w:t>
      </w:r>
      <w:r w:rsidR="00B12BFF">
        <w:rPr>
          <w:rFonts w:cs="Arial"/>
          <w:szCs w:val="18"/>
          <w:lang w:val="en-GB"/>
        </w:rPr>
        <w:t xml:space="preserve"> (Tagliaferri et al., 2023).</w:t>
      </w:r>
    </w:p>
    <w:p w14:paraId="651654B6" w14:textId="1BFE5EF3" w:rsidR="001F0D54" w:rsidRDefault="00B92564" w:rsidP="001F0D54">
      <w:pPr>
        <w:pStyle w:val="CETBodytext"/>
        <w:rPr>
          <w:lang w:val="en-GB"/>
        </w:rPr>
      </w:pPr>
      <w:r w:rsidRPr="00B92564">
        <w:rPr>
          <w:rFonts w:cs="Arial"/>
          <w:szCs w:val="18"/>
          <w:lang w:val="en-GB"/>
        </w:rPr>
        <w:lastRenderedPageBreak/>
        <w:t xml:space="preserve">Weather data </w:t>
      </w:r>
      <w:r w:rsidR="00626ECC">
        <w:rPr>
          <w:rFonts w:cs="Arial"/>
          <w:szCs w:val="18"/>
          <w:lang w:val="en-GB"/>
        </w:rPr>
        <w:t xml:space="preserve">were sourced from </w:t>
      </w:r>
      <w:r w:rsidRPr="00B92564">
        <w:rPr>
          <w:rFonts w:cs="Arial"/>
          <w:szCs w:val="18"/>
          <w:lang w:val="en-GB"/>
        </w:rPr>
        <w:t xml:space="preserve">LAMA dataset provided by </w:t>
      </w:r>
      <w:r w:rsidR="00626ECC">
        <w:rPr>
          <w:rFonts w:cs="Arial"/>
          <w:szCs w:val="18"/>
          <w:lang w:val="en-GB"/>
        </w:rPr>
        <w:t>Emilia</w:t>
      </w:r>
      <w:r w:rsidR="002D1B9B">
        <w:rPr>
          <w:rFonts w:cs="Arial"/>
          <w:szCs w:val="18"/>
          <w:lang w:val="en-GB"/>
        </w:rPr>
        <w:t>-Romagna’s Environmental Protection Regional Agency (</w:t>
      </w:r>
      <w:r w:rsidRPr="00B92564">
        <w:rPr>
          <w:rFonts w:cs="Arial"/>
          <w:szCs w:val="18"/>
          <w:lang w:val="en-GB"/>
        </w:rPr>
        <w:t>ARPAE</w:t>
      </w:r>
      <w:r w:rsidR="002D1B9B">
        <w:rPr>
          <w:rFonts w:cs="Arial"/>
          <w:szCs w:val="18"/>
          <w:lang w:val="en-GB"/>
        </w:rPr>
        <w:t>)</w:t>
      </w:r>
      <w:r w:rsidRPr="00B92564">
        <w:rPr>
          <w:rFonts w:cs="Arial"/>
          <w:szCs w:val="18"/>
          <w:lang w:val="en-GB"/>
        </w:rPr>
        <w:t>. Th</w:t>
      </w:r>
      <w:r w:rsidR="00626ECC">
        <w:rPr>
          <w:rFonts w:cs="Arial"/>
          <w:szCs w:val="18"/>
          <w:lang w:val="en-GB"/>
        </w:rPr>
        <w:t>e dataset generated by the</w:t>
      </w:r>
      <w:r w:rsidRPr="00B92564">
        <w:rPr>
          <w:rFonts w:cs="Arial"/>
          <w:szCs w:val="18"/>
          <w:lang w:val="en-GB"/>
        </w:rPr>
        <w:t xml:space="preserve"> ARPAE-SIMC </w:t>
      </w:r>
      <w:r w:rsidR="00626ECC">
        <w:rPr>
          <w:rFonts w:cs="Arial"/>
          <w:szCs w:val="18"/>
          <w:lang w:val="en-GB"/>
        </w:rPr>
        <w:t>using the</w:t>
      </w:r>
      <w:r w:rsidRPr="00B92564">
        <w:rPr>
          <w:rFonts w:cs="Arial"/>
          <w:szCs w:val="18"/>
          <w:lang w:val="en-GB"/>
        </w:rPr>
        <w:t xml:space="preserve"> COSMO model</w:t>
      </w:r>
      <w:r w:rsidR="00626ECC">
        <w:rPr>
          <w:rFonts w:cs="Arial"/>
          <w:szCs w:val="18"/>
          <w:lang w:val="en-GB"/>
        </w:rPr>
        <w:t>, covers the entire Italian territory and incorporates observations from radiosondes, aircraft measurements, oceanographic buoys, satellite data and surface observations.</w:t>
      </w:r>
      <w:r w:rsidRPr="00B92564">
        <w:rPr>
          <w:rFonts w:cs="Arial"/>
          <w:szCs w:val="18"/>
          <w:lang w:val="en-GB"/>
        </w:rPr>
        <w:t xml:space="preserve"> </w:t>
      </w:r>
      <w:r w:rsidRPr="00B023BC">
        <w:rPr>
          <w:rFonts w:cs="Arial"/>
          <w:szCs w:val="18"/>
          <w:lang w:val="en-GB"/>
        </w:rPr>
        <w:t xml:space="preserve">The dataset produced by the COSMO model is </w:t>
      </w:r>
      <w:r w:rsidR="002F49AE">
        <w:rPr>
          <w:rFonts w:cs="Arial"/>
          <w:szCs w:val="18"/>
          <w:lang w:val="en-GB"/>
        </w:rPr>
        <w:t>integra</w:t>
      </w:r>
      <w:r w:rsidRPr="00B023BC">
        <w:rPr>
          <w:rFonts w:cs="Arial"/>
          <w:szCs w:val="18"/>
          <w:lang w:val="en-GB"/>
        </w:rPr>
        <w:t xml:space="preserve">ted with some additional parameters (friction velocity, Monin-Obukhov length, </w:t>
      </w:r>
      <w:r w:rsidR="002F49AE">
        <w:rPr>
          <w:rFonts w:cs="Arial"/>
          <w:szCs w:val="18"/>
          <w:lang w:val="en-GB"/>
        </w:rPr>
        <w:t>mix</w:t>
      </w:r>
      <w:r w:rsidRPr="00B023BC">
        <w:rPr>
          <w:rFonts w:cs="Arial"/>
          <w:szCs w:val="18"/>
          <w:lang w:val="en-GB"/>
        </w:rPr>
        <w:t>ing height, stability class) by means of the chemical and transport model meteorological pre-processor Chimere</w:t>
      </w:r>
      <w:r w:rsidR="00B12BFF">
        <w:rPr>
          <w:rFonts w:cs="Arial"/>
          <w:szCs w:val="18"/>
          <w:lang w:val="en-GB"/>
        </w:rPr>
        <w:t xml:space="preserve"> (ARPAE website)</w:t>
      </w:r>
      <w:r w:rsidRPr="00B023BC">
        <w:rPr>
          <w:rFonts w:cs="Arial"/>
          <w:szCs w:val="18"/>
          <w:lang w:val="en-GB"/>
        </w:rPr>
        <w:t>.</w:t>
      </w:r>
    </w:p>
    <w:p w14:paraId="52160CDE" w14:textId="18553BDB" w:rsidR="00501B5D" w:rsidRPr="00D6439E" w:rsidRDefault="00501B5D" w:rsidP="001F0D54">
      <w:pPr>
        <w:pStyle w:val="CETBodytext"/>
        <w:rPr>
          <w:lang w:val="en-GB"/>
        </w:rPr>
      </w:pPr>
      <w:r w:rsidRPr="00D6439E">
        <w:rPr>
          <w:lang w:val="en-GB"/>
        </w:rPr>
        <w:t>The time span covered by these data is one year</w:t>
      </w:r>
      <w:r w:rsidR="006F7DCB">
        <w:rPr>
          <w:lang w:val="en-GB"/>
        </w:rPr>
        <w:t xml:space="preserve">: </w:t>
      </w:r>
      <w:r w:rsidRPr="00D6439E">
        <w:rPr>
          <w:lang w:val="en-GB"/>
        </w:rPr>
        <w:t>specifically</w:t>
      </w:r>
      <w:r w:rsidR="006F7DCB">
        <w:rPr>
          <w:lang w:val="en-GB"/>
        </w:rPr>
        <w:t xml:space="preserve"> referring to</w:t>
      </w:r>
      <w:r w:rsidRPr="00D6439E">
        <w:rPr>
          <w:lang w:val="en-GB"/>
        </w:rPr>
        <w:t xml:space="preserve"> weather data</w:t>
      </w:r>
      <w:r w:rsidR="006F7DCB">
        <w:rPr>
          <w:lang w:val="en-GB"/>
        </w:rPr>
        <w:t xml:space="preserve"> from</w:t>
      </w:r>
      <w:r w:rsidRPr="00D6439E">
        <w:rPr>
          <w:lang w:val="en-GB"/>
        </w:rPr>
        <w:t xml:space="preserve"> the year 2017 for the Tolentino site and </w:t>
      </w:r>
      <w:r w:rsidR="006F7DCB">
        <w:rPr>
          <w:lang w:val="en-GB"/>
        </w:rPr>
        <w:t>from</w:t>
      </w:r>
      <w:r w:rsidRPr="00D6439E">
        <w:rPr>
          <w:lang w:val="en-GB"/>
        </w:rPr>
        <w:t xml:space="preserve"> the year 2022 for other locations.</w:t>
      </w:r>
    </w:p>
    <w:p w14:paraId="4C19AB95" w14:textId="55907984" w:rsidR="009318E3" w:rsidRPr="00D6439E" w:rsidRDefault="00501B5D" w:rsidP="001F0D54">
      <w:pPr>
        <w:pStyle w:val="CETBodytext"/>
        <w:rPr>
          <w:lang w:val="en-GB"/>
        </w:rPr>
      </w:pPr>
      <w:r w:rsidRPr="00D6439E">
        <w:rPr>
          <w:lang w:val="en-GB"/>
        </w:rPr>
        <w:t xml:space="preserve">Any missing data and </w:t>
      </w:r>
      <w:r w:rsidR="006F7DCB">
        <w:rPr>
          <w:lang w:val="en-GB"/>
        </w:rPr>
        <w:t xml:space="preserve">instances of </w:t>
      </w:r>
      <w:r w:rsidRPr="00D6439E">
        <w:rPr>
          <w:lang w:val="en-GB"/>
        </w:rPr>
        <w:t xml:space="preserve">wind calm values (Table 2) </w:t>
      </w:r>
      <w:r w:rsidR="006F7DCB">
        <w:rPr>
          <w:lang w:val="en-GB"/>
        </w:rPr>
        <w:t xml:space="preserve">where handled according to the guidelines outlined for </w:t>
      </w:r>
      <w:r w:rsidRPr="00D6439E">
        <w:rPr>
          <w:lang w:val="en-GB"/>
        </w:rPr>
        <w:t xml:space="preserve">the Lombardy region </w:t>
      </w:r>
      <w:r w:rsidR="00B12BFF">
        <w:rPr>
          <w:lang w:val="en-GB"/>
        </w:rPr>
        <w:t>(D.G.R. n. IX/2018)</w:t>
      </w:r>
      <w:r w:rsidRPr="00D6439E">
        <w:rPr>
          <w:lang w:val="en-GB"/>
        </w:rPr>
        <w:t>.</w:t>
      </w:r>
    </w:p>
    <w:tbl>
      <w:tblPr>
        <w:tblpPr w:leftFromText="141" w:rightFromText="141" w:vertAnchor="text" w:horzAnchor="margin" w:tblpY="631"/>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843"/>
        <w:gridCol w:w="2552"/>
        <w:gridCol w:w="3118"/>
      </w:tblGrid>
      <w:tr w:rsidR="00AE6A01" w:rsidRPr="00B57B36" w14:paraId="261372D7" w14:textId="77777777" w:rsidTr="00AE6A01">
        <w:tc>
          <w:tcPr>
            <w:tcW w:w="1134" w:type="dxa"/>
            <w:tcBorders>
              <w:top w:val="single" w:sz="12" w:space="0" w:color="008000"/>
              <w:bottom w:val="single" w:sz="6" w:space="0" w:color="008000"/>
            </w:tcBorders>
            <w:shd w:val="clear" w:color="auto" w:fill="FFFFFF"/>
          </w:tcPr>
          <w:p w14:paraId="43D22156" w14:textId="77777777" w:rsidR="00AE6A01" w:rsidRPr="00B57B36" w:rsidRDefault="00AE6A01" w:rsidP="00AE6A01">
            <w:pPr>
              <w:pStyle w:val="CETBodytext"/>
              <w:jc w:val="center"/>
              <w:rPr>
                <w:lang w:val="en-GB"/>
              </w:rPr>
            </w:pPr>
            <w:r>
              <w:rPr>
                <w:lang w:val="en-GB"/>
              </w:rPr>
              <w:t>Site name</w:t>
            </w:r>
          </w:p>
        </w:tc>
        <w:tc>
          <w:tcPr>
            <w:tcW w:w="1843" w:type="dxa"/>
            <w:tcBorders>
              <w:top w:val="single" w:sz="12" w:space="0" w:color="008000"/>
              <w:bottom w:val="single" w:sz="6" w:space="0" w:color="008000"/>
            </w:tcBorders>
            <w:shd w:val="clear" w:color="auto" w:fill="FFFFFF"/>
          </w:tcPr>
          <w:p w14:paraId="6F55B8F4" w14:textId="77777777" w:rsidR="00AE6A01" w:rsidRPr="00B57B36" w:rsidRDefault="00AE6A01" w:rsidP="00AE6A01">
            <w:pPr>
              <w:pStyle w:val="CETBodytext"/>
              <w:jc w:val="center"/>
              <w:rPr>
                <w:lang w:val="en-GB"/>
              </w:rPr>
            </w:pPr>
            <w:r>
              <w:rPr>
                <w:lang w:val="en-GB"/>
              </w:rPr>
              <w:t>Year weather data</w:t>
            </w:r>
          </w:p>
        </w:tc>
        <w:tc>
          <w:tcPr>
            <w:tcW w:w="2552" w:type="dxa"/>
            <w:tcBorders>
              <w:top w:val="single" w:sz="12" w:space="0" w:color="008000"/>
              <w:bottom w:val="single" w:sz="6" w:space="0" w:color="008000"/>
            </w:tcBorders>
            <w:shd w:val="clear" w:color="auto" w:fill="FFFFFF"/>
          </w:tcPr>
          <w:p w14:paraId="46A56B3E" w14:textId="77777777" w:rsidR="00AE6A01" w:rsidRPr="00B57B36" w:rsidRDefault="00AE6A01" w:rsidP="00AE6A01">
            <w:pPr>
              <w:pStyle w:val="CETBodytext"/>
              <w:jc w:val="center"/>
              <w:rPr>
                <w:lang w:val="en-GB"/>
              </w:rPr>
            </w:pPr>
            <w:r>
              <w:rPr>
                <w:lang w:val="en-GB"/>
              </w:rPr>
              <w:t>Number of missing data [hours]</w:t>
            </w:r>
          </w:p>
        </w:tc>
        <w:tc>
          <w:tcPr>
            <w:tcW w:w="3118" w:type="dxa"/>
            <w:tcBorders>
              <w:top w:val="single" w:sz="12" w:space="0" w:color="008000"/>
              <w:bottom w:val="single" w:sz="6" w:space="0" w:color="008000"/>
            </w:tcBorders>
            <w:shd w:val="clear" w:color="auto" w:fill="FFFFFF"/>
          </w:tcPr>
          <w:p w14:paraId="530FF414" w14:textId="77777777" w:rsidR="00AE6A01" w:rsidRPr="00B57B36" w:rsidRDefault="00AE6A01" w:rsidP="00AE6A01">
            <w:pPr>
              <w:pStyle w:val="CETBodytext"/>
              <w:ind w:right="-1"/>
              <w:jc w:val="center"/>
              <w:rPr>
                <w:rFonts w:cs="Arial"/>
                <w:szCs w:val="18"/>
                <w:lang w:val="en-GB"/>
              </w:rPr>
            </w:pPr>
            <w:r>
              <w:rPr>
                <w:rFonts w:cs="Arial"/>
                <w:szCs w:val="18"/>
                <w:lang w:val="en-GB"/>
              </w:rPr>
              <w:t>Wind calm (v &lt; 0.2 m/s) [hours]</w:t>
            </w:r>
          </w:p>
        </w:tc>
      </w:tr>
      <w:tr w:rsidR="00AE6A01" w:rsidRPr="00B57B36" w14:paraId="11E9ACC4" w14:textId="77777777" w:rsidTr="00AE6A01">
        <w:tc>
          <w:tcPr>
            <w:tcW w:w="1134" w:type="dxa"/>
            <w:shd w:val="clear" w:color="auto" w:fill="FFFFFF"/>
          </w:tcPr>
          <w:p w14:paraId="53297832" w14:textId="77777777" w:rsidR="00AE6A01" w:rsidRPr="00B57B36" w:rsidRDefault="00AE6A01" w:rsidP="00AE6A01">
            <w:pPr>
              <w:pStyle w:val="CETBodytext"/>
              <w:rPr>
                <w:lang w:val="en-GB"/>
              </w:rPr>
            </w:pPr>
            <w:r>
              <w:rPr>
                <w:lang w:val="en-GB"/>
              </w:rPr>
              <w:t>Boara</w:t>
            </w:r>
          </w:p>
        </w:tc>
        <w:tc>
          <w:tcPr>
            <w:tcW w:w="1843" w:type="dxa"/>
            <w:shd w:val="clear" w:color="auto" w:fill="FFFFFF"/>
          </w:tcPr>
          <w:p w14:paraId="78F50B0D" w14:textId="77777777" w:rsidR="00AE6A01" w:rsidRPr="00B57B36" w:rsidRDefault="00AE6A01" w:rsidP="00AE6A01">
            <w:pPr>
              <w:pStyle w:val="CETBodytext"/>
              <w:jc w:val="center"/>
              <w:rPr>
                <w:lang w:val="en-GB"/>
              </w:rPr>
            </w:pPr>
            <w:r>
              <w:rPr>
                <w:lang w:val="en-GB"/>
              </w:rPr>
              <w:t>2022</w:t>
            </w:r>
          </w:p>
        </w:tc>
        <w:tc>
          <w:tcPr>
            <w:tcW w:w="2552" w:type="dxa"/>
            <w:shd w:val="clear" w:color="auto" w:fill="FFFFFF"/>
          </w:tcPr>
          <w:p w14:paraId="6BB5D959" w14:textId="77777777" w:rsidR="00AE6A01" w:rsidRPr="00B57B36" w:rsidRDefault="00AE6A01" w:rsidP="00AE6A01">
            <w:pPr>
              <w:pStyle w:val="CETBodytext"/>
              <w:jc w:val="center"/>
              <w:rPr>
                <w:lang w:val="en-GB"/>
              </w:rPr>
            </w:pPr>
            <w:r>
              <w:rPr>
                <w:lang w:val="en-GB"/>
              </w:rPr>
              <w:t>34</w:t>
            </w:r>
          </w:p>
        </w:tc>
        <w:tc>
          <w:tcPr>
            <w:tcW w:w="3118" w:type="dxa"/>
            <w:shd w:val="clear" w:color="auto" w:fill="FFFFFF"/>
          </w:tcPr>
          <w:p w14:paraId="3A600D44" w14:textId="77777777" w:rsidR="00AE6A01" w:rsidRPr="00B57B36" w:rsidRDefault="00AE6A01" w:rsidP="00AE6A01">
            <w:pPr>
              <w:pStyle w:val="CETBodytext"/>
              <w:ind w:right="-1"/>
              <w:jc w:val="center"/>
              <w:rPr>
                <w:rFonts w:cs="Arial"/>
                <w:szCs w:val="18"/>
                <w:lang w:val="en-GB"/>
              </w:rPr>
            </w:pPr>
            <w:r>
              <w:rPr>
                <w:rFonts w:cs="Arial"/>
                <w:szCs w:val="18"/>
                <w:lang w:val="en-GB"/>
              </w:rPr>
              <w:t>50</w:t>
            </w:r>
          </w:p>
        </w:tc>
      </w:tr>
      <w:tr w:rsidR="00AE6A01" w:rsidRPr="00B57B36" w14:paraId="586A9D21" w14:textId="77777777" w:rsidTr="00AE6A01">
        <w:tc>
          <w:tcPr>
            <w:tcW w:w="1134" w:type="dxa"/>
            <w:shd w:val="clear" w:color="auto" w:fill="FFFFFF"/>
          </w:tcPr>
          <w:p w14:paraId="4C95A47C" w14:textId="77777777" w:rsidR="00AE6A01" w:rsidRDefault="00AE6A01" w:rsidP="00AE6A01">
            <w:pPr>
              <w:pStyle w:val="CETBodytext"/>
              <w:rPr>
                <w:lang w:val="en-GB"/>
              </w:rPr>
            </w:pPr>
            <w:r>
              <w:rPr>
                <w:lang w:val="en-GB"/>
              </w:rPr>
              <w:t>Grosseto</w:t>
            </w:r>
          </w:p>
        </w:tc>
        <w:tc>
          <w:tcPr>
            <w:tcW w:w="1843" w:type="dxa"/>
            <w:shd w:val="clear" w:color="auto" w:fill="FFFFFF"/>
          </w:tcPr>
          <w:p w14:paraId="23D3F540" w14:textId="77777777" w:rsidR="00AE6A01" w:rsidRPr="00B57B36" w:rsidRDefault="00AE6A01" w:rsidP="00AE6A01">
            <w:pPr>
              <w:pStyle w:val="CETBodytext"/>
              <w:jc w:val="center"/>
              <w:rPr>
                <w:lang w:val="en-GB"/>
              </w:rPr>
            </w:pPr>
            <w:r>
              <w:rPr>
                <w:lang w:val="en-GB"/>
              </w:rPr>
              <w:t>2017</w:t>
            </w:r>
          </w:p>
        </w:tc>
        <w:tc>
          <w:tcPr>
            <w:tcW w:w="2552" w:type="dxa"/>
            <w:shd w:val="clear" w:color="auto" w:fill="FFFFFF"/>
          </w:tcPr>
          <w:p w14:paraId="157467AD" w14:textId="77777777" w:rsidR="00AE6A01" w:rsidRPr="00B57B36" w:rsidRDefault="00AE6A01" w:rsidP="00AE6A01">
            <w:pPr>
              <w:pStyle w:val="CETBodytext"/>
              <w:jc w:val="center"/>
              <w:rPr>
                <w:lang w:val="en-GB"/>
              </w:rPr>
            </w:pPr>
            <w:r>
              <w:rPr>
                <w:lang w:val="en-GB"/>
              </w:rPr>
              <w:t>24</w:t>
            </w:r>
          </w:p>
        </w:tc>
        <w:tc>
          <w:tcPr>
            <w:tcW w:w="3118" w:type="dxa"/>
            <w:shd w:val="clear" w:color="auto" w:fill="FFFFFF"/>
          </w:tcPr>
          <w:p w14:paraId="2DBA2001" w14:textId="77777777" w:rsidR="00AE6A01" w:rsidRPr="00B57B36" w:rsidRDefault="00AE6A01" w:rsidP="00AE6A01">
            <w:pPr>
              <w:pStyle w:val="CETBodytext"/>
              <w:ind w:right="-1"/>
              <w:jc w:val="center"/>
              <w:rPr>
                <w:rFonts w:cs="Arial"/>
                <w:szCs w:val="18"/>
                <w:lang w:val="en-GB"/>
              </w:rPr>
            </w:pPr>
            <w:r>
              <w:rPr>
                <w:rFonts w:cs="Arial"/>
                <w:szCs w:val="18"/>
                <w:lang w:val="en-GB"/>
              </w:rPr>
              <w:t>52</w:t>
            </w:r>
          </w:p>
        </w:tc>
      </w:tr>
      <w:tr w:rsidR="00AE6A01" w:rsidRPr="00B57B36" w14:paraId="04AFBDFC" w14:textId="77777777" w:rsidTr="00AE6A01">
        <w:tc>
          <w:tcPr>
            <w:tcW w:w="1134" w:type="dxa"/>
            <w:shd w:val="clear" w:color="auto" w:fill="FFFFFF"/>
          </w:tcPr>
          <w:p w14:paraId="0D1AE1DE" w14:textId="77777777" w:rsidR="00AE6A01" w:rsidRDefault="00AE6A01" w:rsidP="00AE6A01">
            <w:pPr>
              <w:pStyle w:val="CETBodytext"/>
              <w:rPr>
                <w:lang w:val="en-GB"/>
              </w:rPr>
            </w:pPr>
            <w:r>
              <w:rPr>
                <w:lang w:val="en-GB"/>
              </w:rPr>
              <w:t>Taranto</w:t>
            </w:r>
          </w:p>
        </w:tc>
        <w:tc>
          <w:tcPr>
            <w:tcW w:w="1843" w:type="dxa"/>
            <w:shd w:val="clear" w:color="auto" w:fill="FFFFFF"/>
          </w:tcPr>
          <w:p w14:paraId="5B57C42F" w14:textId="77777777" w:rsidR="00AE6A01" w:rsidRPr="00B57B36" w:rsidRDefault="00AE6A01" w:rsidP="00AE6A01">
            <w:pPr>
              <w:pStyle w:val="CETBodytext"/>
              <w:jc w:val="center"/>
              <w:rPr>
                <w:lang w:val="en-GB"/>
              </w:rPr>
            </w:pPr>
            <w:r>
              <w:rPr>
                <w:lang w:val="en-GB"/>
              </w:rPr>
              <w:t>2022</w:t>
            </w:r>
          </w:p>
        </w:tc>
        <w:tc>
          <w:tcPr>
            <w:tcW w:w="2552" w:type="dxa"/>
            <w:shd w:val="clear" w:color="auto" w:fill="FFFFFF"/>
          </w:tcPr>
          <w:p w14:paraId="510E244D" w14:textId="77777777" w:rsidR="00AE6A01" w:rsidRPr="00B57B36" w:rsidRDefault="00AE6A01" w:rsidP="00AE6A01">
            <w:pPr>
              <w:pStyle w:val="CETBodytext"/>
              <w:jc w:val="center"/>
              <w:rPr>
                <w:lang w:val="en-GB"/>
              </w:rPr>
            </w:pPr>
            <w:r>
              <w:rPr>
                <w:lang w:val="en-GB"/>
              </w:rPr>
              <w:t>34</w:t>
            </w:r>
          </w:p>
        </w:tc>
        <w:tc>
          <w:tcPr>
            <w:tcW w:w="3118" w:type="dxa"/>
            <w:shd w:val="clear" w:color="auto" w:fill="FFFFFF"/>
          </w:tcPr>
          <w:p w14:paraId="26938706" w14:textId="77777777" w:rsidR="00AE6A01" w:rsidRPr="00B57B36" w:rsidRDefault="00AE6A01" w:rsidP="00AE6A01">
            <w:pPr>
              <w:pStyle w:val="CETBodytext"/>
              <w:ind w:right="-1"/>
              <w:jc w:val="center"/>
              <w:rPr>
                <w:rFonts w:cs="Arial"/>
                <w:szCs w:val="18"/>
                <w:lang w:val="en-GB"/>
              </w:rPr>
            </w:pPr>
            <w:r>
              <w:rPr>
                <w:rFonts w:cs="Arial"/>
                <w:szCs w:val="18"/>
                <w:lang w:val="en-GB"/>
              </w:rPr>
              <w:t>48</w:t>
            </w:r>
          </w:p>
        </w:tc>
      </w:tr>
      <w:tr w:rsidR="00AE6A01" w:rsidRPr="00B57B36" w14:paraId="5A171AE9" w14:textId="77777777" w:rsidTr="00AE6A01">
        <w:tc>
          <w:tcPr>
            <w:tcW w:w="1134" w:type="dxa"/>
            <w:shd w:val="clear" w:color="auto" w:fill="FFFFFF"/>
          </w:tcPr>
          <w:p w14:paraId="651826FD" w14:textId="77777777" w:rsidR="00AE6A01" w:rsidRDefault="00AE6A01" w:rsidP="00AE6A01">
            <w:pPr>
              <w:pStyle w:val="CETBodytext"/>
              <w:rPr>
                <w:lang w:val="en-GB"/>
              </w:rPr>
            </w:pPr>
            <w:r>
              <w:rPr>
                <w:lang w:val="en-GB"/>
              </w:rPr>
              <w:t>Tolentino</w:t>
            </w:r>
          </w:p>
        </w:tc>
        <w:tc>
          <w:tcPr>
            <w:tcW w:w="1843" w:type="dxa"/>
            <w:shd w:val="clear" w:color="auto" w:fill="FFFFFF"/>
          </w:tcPr>
          <w:p w14:paraId="6A9CABD2" w14:textId="77777777" w:rsidR="00AE6A01" w:rsidRPr="00B57B36" w:rsidRDefault="00AE6A01" w:rsidP="00AE6A01">
            <w:pPr>
              <w:pStyle w:val="CETBodytext"/>
              <w:jc w:val="center"/>
              <w:rPr>
                <w:lang w:val="en-GB"/>
              </w:rPr>
            </w:pPr>
            <w:r>
              <w:rPr>
                <w:lang w:val="en-GB"/>
              </w:rPr>
              <w:t>2022</w:t>
            </w:r>
          </w:p>
        </w:tc>
        <w:tc>
          <w:tcPr>
            <w:tcW w:w="2552" w:type="dxa"/>
            <w:shd w:val="clear" w:color="auto" w:fill="FFFFFF"/>
          </w:tcPr>
          <w:p w14:paraId="1778976B" w14:textId="77777777" w:rsidR="00AE6A01" w:rsidRPr="00B57B36" w:rsidRDefault="00AE6A01" w:rsidP="00AE6A01">
            <w:pPr>
              <w:pStyle w:val="CETBodytext"/>
              <w:jc w:val="center"/>
              <w:rPr>
                <w:lang w:val="en-GB"/>
              </w:rPr>
            </w:pPr>
            <w:r>
              <w:rPr>
                <w:lang w:val="en-GB"/>
              </w:rPr>
              <w:t>34</w:t>
            </w:r>
          </w:p>
        </w:tc>
        <w:tc>
          <w:tcPr>
            <w:tcW w:w="3118" w:type="dxa"/>
            <w:shd w:val="clear" w:color="auto" w:fill="FFFFFF"/>
          </w:tcPr>
          <w:p w14:paraId="0855AE94" w14:textId="77777777" w:rsidR="00AE6A01" w:rsidRPr="00B57B36" w:rsidRDefault="00AE6A01" w:rsidP="00AE6A01">
            <w:pPr>
              <w:pStyle w:val="CETBodytext"/>
              <w:ind w:right="-1"/>
              <w:jc w:val="center"/>
              <w:rPr>
                <w:rFonts w:cs="Arial"/>
                <w:szCs w:val="18"/>
                <w:lang w:val="en-GB"/>
              </w:rPr>
            </w:pPr>
            <w:r>
              <w:rPr>
                <w:rFonts w:cs="Arial"/>
                <w:szCs w:val="18"/>
                <w:lang w:val="en-GB"/>
              </w:rPr>
              <w:t>42</w:t>
            </w:r>
          </w:p>
        </w:tc>
      </w:tr>
    </w:tbl>
    <w:p w14:paraId="1F84CFD2" w14:textId="74A82067" w:rsidR="00AE6A01" w:rsidRDefault="003C1EAC" w:rsidP="00AE6A01">
      <w:pPr>
        <w:pStyle w:val="CETCaption"/>
        <w:spacing w:line="240" w:lineRule="auto"/>
      </w:pPr>
      <w:r w:rsidRPr="00D6439E">
        <w:t xml:space="preserve">Table </w:t>
      </w:r>
      <w:r>
        <w:t>2</w:t>
      </w:r>
      <w:r w:rsidRPr="00D6439E">
        <w:t>: Missing data and wind calm in the meteorological dataset</w:t>
      </w:r>
      <w:r w:rsidR="006F7DCB">
        <w:t>.</w:t>
      </w:r>
      <w:r w:rsidRPr="00D6439E">
        <w:t xml:space="preserve"> </w:t>
      </w:r>
    </w:p>
    <w:p w14:paraId="70E590F1" w14:textId="77777777" w:rsidR="00AE6A01" w:rsidRPr="00D6439E" w:rsidRDefault="00AE6A01" w:rsidP="00AE6A01">
      <w:pPr>
        <w:pStyle w:val="CETCaption"/>
        <w:spacing w:line="240" w:lineRule="auto"/>
      </w:pPr>
    </w:p>
    <w:p w14:paraId="677EBFF0" w14:textId="2E597A49" w:rsidR="00600535" w:rsidRPr="00B57B36" w:rsidRDefault="00C305E0" w:rsidP="00245B16">
      <w:pPr>
        <w:pStyle w:val="CETHeading1"/>
        <w:numPr>
          <w:ilvl w:val="1"/>
          <w:numId w:val="24"/>
        </w:numPr>
      </w:pPr>
      <w:r>
        <w:t>Results and critical discussion</w:t>
      </w:r>
    </w:p>
    <w:p w14:paraId="04963A06" w14:textId="7061E181" w:rsidR="00600535" w:rsidRDefault="004F4262" w:rsidP="00FA5F5F">
      <w:pPr>
        <w:pStyle w:val="CETheadingx"/>
      </w:pPr>
      <w:r>
        <w:t>Meteo</w:t>
      </w:r>
      <w:r w:rsidR="005C49C3">
        <w:t>rological</w:t>
      </w:r>
      <w:r>
        <w:t xml:space="preserve"> data analysis</w:t>
      </w:r>
    </w:p>
    <w:p w14:paraId="4B77F0B3" w14:textId="76150DB7" w:rsidR="00A1327A" w:rsidRDefault="001762C4" w:rsidP="00A1327A">
      <w:pPr>
        <w:pStyle w:val="CETBodytext"/>
      </w:pPr>
      <w:r>
        <w:rPr>
          <w:noProof/>
          <w:lang w:val="it-IT"/>
        </w:rPr>
        <w:drawing>
          <wp:anchor distT="0" distB="0" distL="114300" distR="114300" simplePos="0" relativeHeight="251705344" behindDoc="0" locked="0" layoutInCell="1" allowOverlap="1" wp14:anchorId="2994A9F8" wp14:editId="2E5C5226">
            <wp:simplePos x="0" y="0"/>
            <wp:positionH relativeFrom="page">
              <wp:align>center</wp:align>
            </wp:positionH>
            <wp:positionV relativeFrom="paragraph">
              <wp:posOffset>1265580</wp:posOffset>
            </wp:positionV>
            <wp:extent cx="5236999" cy="3927600"/>
            <wp:effectExtent l="0" t="0" r="1905" b="0"/>
            <wp:wrapTopAndBottom/>
            <wp:docPr id="610957206" name="Immagine 1" descr="Immagine che contiene testo, schermat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57206" name="Immagine 1" descr="Immagine che contiene testo, schermata, Policromia&#10;&#10;Descrizione generata automaticamente"/>
                    <pic:cNvPicPr/>
                  </pic:nvPicPr>
                  <pic:blipFill>
                    <a:blip r:embed="rId13"/>
                    <a:stretch>
                      <a:fillRect/>
                    </a:stretch>
                  </pic:blipFill>
                  <pic:spPr>
                    <a:xfrm>
                      <a:off x="0" y="0"/>
                      <a:ext cx="5236999" cy="3927600"/>
                    </a:xfrm>
                    <a:prstGeom prst="rect">
                      <a:avLst/>
                    </a:prstGeom>
                  </pic:spPr>
                </pic:pic>
              </a:graphicData>
            </a:graphic>
            <wp14:sizeRelH relativeFrom="margin">
              <wp14:pctWidth>0</wp14:pctWidth>
            </wp14:sizeRelH>
            <wp14:sizeRelV relativeFrom="margin">
              <wp14:pctHeight>0</wp14:pctHeight>
            </wp14:sizeRelV>
          </wp:anchor>
        </w:drawing>
      </w:r>
      <w:r w:rsidR="00A1327A">
        <w:t>Odor dispersion is strongly influenced by meteorological parameters such as mixing height, wind speed and temperature. Looking at the vertical profiles of the last two variables</w:t>
      </w:r>
      <w:r w:rsidR="00B4390A">
        <w:t xml:space="preserve"> reveals a consistent pattern across loc</w:t>
      </w:r>
      <w:r w:rsidR="00A1327A">
        <w:t>ations</w:t>
      </w:r>
      <w:r w:rsidR="00B4390A">
        <w:t>:</w:t>
      </w:r>
      <w:r w:rsidR="00A1327A">
        <w:t xml:space="preserve"> wind speed generally increases with increasing altitude</w:t>
      </w:r>
      <w:r w:rsidR="00891834">
        <w:t xml:space="preserve"> (Figure 3a)</w:t>
      </w:r>
      <w:r w:rsidR="00B4390A">
        <w:t>. A trend particularly marked during</w:t>
      </w:r>
      <w:r w:rsidR="00A1327A">
        <w:t xml:space="preserve"> winter months. </w:t>
      </w:r>
      <w:r w:rsidR="00B4390A">
        <w:t xml:space="preserve">Conversely, </w:t>
      </w:r>
      <w:r w:rsidR="00A1327A" w:rsidRPr="00A1327A">
        <w:t>temperature profile</w:t>
      </w:r>
      <w:r w:rsidR="00B4390A">
        <w:t xml:space="preserve"> exhibits an</w:t>
      </w:r>
      <w:r w:rsidR="00A1327A" w:rsidRPr="00A1327A">
        <w:t xml:space="preserve"> inverse </w:t>
      </w:r>
      <w:r w:rsidR="00E141E9">
        <w:t>trend with elevation, decreasing as altitude rises.</w:t>
      </w:r>
      <w:r w:rsidR="00A1327A">
        <w:t xml:space="preserve"> A</w:t>
      </w:r>
      <w:r w:rsidR="00A1327A" w:rsidRPr="00A1327A">
        <w:t>t all sites the highest temperatures are recorded at all elevations in June, July and August</w:t>
      </w:r>
      <w:r w:rsidR="00E141E9">
        <w:t xml:space="preserve">. During </w:t>
      </w:r>
      <w:r w:rsidR="00A1327A" w:rsidRPr="00A1327A">
        <w:t xml:space="preserve">winter months </w:t>
      </w:r>
      <w:r w:rsidR="00E141E9">
        <w:t>a notable thermal inversion effect is evident, with lower temperatures recorded in lower atmospheric layers compared to higher elevations, as illustrated in Figure 3b.</w:t>
      </w:r>
    </w:p>
    <w:p w14:paraId="042284A6" w14:textId="2D359F28" w:rsidR="00C577F2" w:rsidRPr="00891834" w:rsidRDefault="00891834" w:rsidP="00891834">
      <w:pPr>
        <w:pStyle w:val="CETCaption"/>
      </w:pPr>
      <w:r>
        <w:lastRenderedPageBreak/>
        <w:t>Figure 3: a) Wind speed and b) Temperature vertical profiles.</w:t>
      </w:r>
      <w:r w:rsidR="0075400D">
        <w:t xml:space="preserve"> Wind speed increases with altitude especially in the colder months; temperature decreases moving away from the first layers near the ground.</w:t>
      </w:r>
    </w:p>
    <w:p w14:paraId="0244AF1F" w14:textId="0AECAFD5" w:rsidR="008B220A" w:rsidRPr="00B3704B" w:rsidRDefault="00F77534" w:rsidP="00600535">
      <w:pPr>
        <w:pStyle w:val="CETBodytext"/>
        <w:rPr>
          <w:lang w:val="en-GB"/>
        </w:rPr>
      </w:pPr>
      <w:r>
        <w:rPr>
          <w:noProof/>
          <w:lang w:val="it-IT"/>
        </w:rPr>
        <w:drawing>
          <wp:anchor distT="0" distB="0" distL="114300" distR="114300" simplePos="0" relativeHeight="251698176" behindDoc="0" locked="0" layoutInCell="1" allowOverlap="1" wp14:anchorId="2AC4D245" wp14:editId="04E429D1">
            <wp:simplePos x="0" y="0"/>
            <wp:positionH relativeFrom="margin">
              <wp:align>right</wp:align>
            </wp:positionH>
            <wp:positionV relativeFrom="paragraph">
              <wp:posOffset>823124</wp:posOffset>
            </wp:positionV>
            <wp:extent cx="3940810" cy="1927860"/>
            <wp:effectExtent l="0" t="0" r="2540" b="0"/>
            <wp:wrapSquare wrapText="bothSides"/>
            <wp:docPr id="117617571" name="Immagine 7" descr="Immagine che contiene schermata, Diagramma, testo,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7571" name="Immagine 7" descr="Immagine che contiene schermata, Diagramma, testo, diagramma&#10;&#10;Descrizione generata automaticamente"/>
                    <pic:cNvPicPr/>
                  </pic:nvPicPr>
                  <pic:blipFill rotWithShape="1">
                    <a:blip r:embed="rId14"/>
                    <a:srcRect l="1366" t="1707" r="2697" b="4416"/>
                    <a:stretch/>
                  </pic:blipFill>
                  <pic:spPr bwMode="auto">
                    <a:xfrm>
                      <a:off x="0" y="0"/>
                      <a:ext cx="3940810" cy="1927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1834" w:rsidRPr="00B3704B">
        <w:rPr>
          <w:lang w:val="en-GB"/>
        </w:rPr>
        <w:t>Thermal inversion generates a highly stable</w:t>
      </w:r>
      <w:r w:rsidR="00E141E9">
        <w:rPr>
          <w:lang w:val="en-GB"/>
        </w:rPr>
        <w:t xml:space="preserve"> atmospheric</w:t>
      </w:r>
      <w:r w:rsidR="00891834" w:rsidRPr="00B3704B">
        <w:rPr>
          <w:lang w:val="en-GB"/>
        </w:rPr>
        <w:t xml:space="preserve"> layer</w:t>
      </w:r>
      <w:r w:rsidR="00E141E9">
        <w:rPr>
          <w:lang w:val="en-GB"/>
        </w:rPr>
        <w:t xml:space="preserve"> that restricts</w:t>
      </w:r>
      <w:r w:rsidR="00891834" w:rsidRPr="00B3704B">
        <w:rPr>
          <w:lang w:val="en-GB"/>
        </w:rPr>
        <w:t xml:space="preserve"> convection and any vertical mixing. Poor mixing promotes the persistence of odo</w:t>
      </w:r>
      <w:r w:rsidR="00B076FA">
        <w:rPr>
          <w:lang w:val="en-GB"/>
        </w:rPr>
        <w:t>u</w:t>
      </w:r>
      <w:r w:rsidR="00891834" w:rsidRPr="00B3704B">
        <w:rPr>
          <w:lang w:val="en-GB"/>
        </w:rPr>
        <w:t>rs near the source limiting their dispersion, especially in the case of a ground source.</w:t>
      </w:r>
      <w:r w:rsidR="00430D7A" w:rsidRPr="00B3704B">
        <w:rPr>
          <w:lang w:val="en-GB"/>
        </w:rPr>
        <w:t xml:space="preserve"> </w:t>
      </w:r>
      <w:r w:rsidR="00E141E9">
        <w:rPr>
          <w:lang w:val="en-GB"/>
        </w:rPr>
        <w:t>The thickness of planetary boundary layer, commonly referred to as the mixing height, acts as a</w:t>
      </w:r>
      <w:r w:rsidR="00430D7A" w:rsidRPr="00B3704B">
        <w:rPr>
          <w:lang w:val="en-GB"/>
        </w:rPr>
        <w:t xml:space="preserve"> barrier </w:t>
      </w:r>
      <w:r w:rsidR="00E141E9">
        <w:rPr>
          <w:lang w:val="en-GB"/>
        </w:rPr>
        <w:t>to</w:t>
      </w:r>
      <w:r w:rsidR="00430D7A" w:rsidRPr="00B3704B">
        <w:rPr>
          <w:lang w:val="en-GB"/>
        </w:rPr>
        <w:t xml:space="preserve"> the vertical dispersion of odo</w:t>
      </w:r>
      <w:r w:rsidR="00B076FA">
        <w:rPr>
          <w:lang w:val="en-GB"/>
        </w:rPr>
        <w:t>u</w:t>
      </w:r>
      <w:r w:rsidR="00430D7A" w:rsidRPr="00B3704B">
        <w:rPr>
          <w:lang w:val="en-GB"/>
        </w:rPr>
        <w:t>r in the a</w:t>
      </w:r>
      <w:r w:rsidR="00E141E9">
        <w:rPr>
          <w:lang w:val="en-GB"/>
        </w:rPr>
        <w:t>tmosphere.</w:t>
      </w:r>
      <w:r w:rsidRPr="00B3704B">
        <w:rPr>
          <w:lang w:val="en-GB"/>
        </w:rPr>
        <w:t xml:space="preserve"> </w:t>
      </w:r>
      <w:r w:rsidR="00E141E9">
        <w:rPr>
          <w:lang w:val="en-GB"/>
        </w:rPr>
        <w:t>I</w:t>
      </w:r>
      <w:r w:rsidRPr="00B3704B">
        <w:rPr>
          <w:lang w:val="en-GB"/>
        </w:rPr>
        <w:t>n response to the strong diurnal cycle of heating and cooling of land surfaces in fair-weather conditions, boundary-layer thickness and other characteristics also display strong diurnal variations.</w:t>
      </w:r>
      <w:r w:rsidR="00E141E9">
        <w:rPr>
          <w:lang w:val="en-GB"/>
        </w:rPr>
        <w:t xml:space="preserve"> Specifically</w:t>
      </w:r>
      <w:r w:rsidRPr="00B3704B">
        <w:rPr>
          <w:lang w:val="en-GB"/>
        </w:rPr>
        <w:t xml:space="preserve"> mixing depth</w:t>
      </w:r>
      <w:r w:rsidR="00E141E9">
        <w:rPr>
          <w:lang w:val="en-GB"/>
        </w:rPr>
        <w:t xml:space="preserve"> ranges </w:t>
      </w:r>
      <w:r w:rsidRPr="00B3704B">
        <w:rPr>
          <w:lang w:val="en-GB"/>
        </w:rPr>
        <w:t xml:space="preserve">from a low value of </w:t>
      </w:r>
      <w:r w:rsidR="00E141E9">
        <w:rPr>
          <w:lang w:val="en-GB"/>
        </w:rPr>
        <w:t>approximately</w:t>
      </w:r>
      <w:r w:rsidRPr="00B3704B">
        <w:rPr>
          <w:lang w:val="en-GB"/>
        </w:rPr>
        <w:t xml:space="preserve"> of 100 m during nighttime and early morning hours to its maximum value of</w:t>
      </w:r>
      <w:r w:rsidR="00E141E9">
        <w:rPr>
          <w:lang w:val="en-GB"/>
        </w:rPr>
        <w:t xml:space="preserve"> about</w:t>
      </w:r>
      <w:r w:rsidRPr="00B3704B">
        <w:rPr>
          <w:lang w:val="en-GB"/>
        </w:rPr>
        <w:t xml:space="preserve"> 1 km in the late afternoon (Figure 4)</w:t>
      </w:r>
      <w:r w:rsidR="00F807C4" w:rsidRPr="00B3704B">
        <w:rPr>
          <w:lang w:val="en-GB"/>
        </w:rPr>
        <w:t xml:space="preserve"> </w:t>
      </w:r>
      <w:r w:rsidR="00DD36D3">
        <w:rPr>
          <w:lang w:val="en-GB"/>
        </w:rPr>
        <w:t>(Arya, 1999)</w:t>
      </w:r>
      <w:r w:rsidR="00CE7754" w:rsidRPr="00B3704B">
        <w:rPr>
          <w:lang w:val="en-GB"/>
        </w:rPr>
        <w:t xml:space="preserve">. </w:t>
      </w:r>
    </w:p>
    <w:p w14:paraId="0905D088" w14:textId="361F1A12" w:rsidR="00891834" w:rsidRPr="00B3704B" w:rsidRDefault="00F807C4" w:rsidP="00F807C4">
      <w:pPr>
        <w:pStyle w:val="CETCaption"/>
        <w:jc w:val="left"/>
      </w:pPr>
      <w:r w:rsidRPr="00B3704B">
        <w:t>Figure 4: Diurnal variation of mixing height</w:t>
      </w:r>
      <w:r w:rsidR="00F829BC">
        <w:t>. MH are the highest during daytime periods that are characterized by strong solar heating and the lowest during the night.</w:t>
      </w:r>
    </w:p>
    <w:p w14:paraId="798BF380" w14:textId="7DADC38A" w:rsidR="00BC5F8E" w:rsidRPr="00B3704B" w:rsidRDefault="000879C1" w:rsidP="00600535">
      <w:pPr>
        <w:pStyle w:val="CETBodytext"/>
        <w:rPr>
          <w:lang w:val="en-GB"/>
        </w:rPr>
      </w:pPr>
      <w:r>
        <w:rPr>
          <w:lang w:val="en-GB"/>
        </w:rPr>
        <w:t>Analysis of</w:t>
      </w:r>
      <w:r w:rsidR="00547577" w:rsidRPr="00B3704B">
        <w:rPr>
          <w:lang w:val="en-GB"/>
        </w:rPr>
        <w:t xml:space="preserve"> wind directions and relative speeds at 10 m </w:t>
      </w:r>
      <w:r>
        <w:rPr>
          <w:lang w:val="en-GB"/>
        </w:rPr>
        <w:t>above ground level yield</w:t>
      </w:r>
      <w:r w:rsidR="00547577" w:rsidRPr="00B3704B">
        <w:rPr>
          <w:lang w:val="en-GB"/>
        </w:rPr>
        <w:t xml:space="preserve"> wind roses shown in Figure </w:t>
      </w:r>
      <w:r w:rsidR="002006BD" w:rsidRPr="00B3704B">
        <w:rPr>
          <w:lang w:val="en-GB"/>
        </w:rPr>
        <w:t>5</w:t>
      </w:r>
      <w:r w:rsidR="00547577" w:rsidRPr="00B3704B">
        <w:rPr>
          <w:lang w:val="en-GB"/>
        </w:rPr>
        <w:t>.</w:t>
      </w:r>
    </w:p>
    <w:p w14:paraId="342AFE6A" w14:textId="32BEBA73" w:rsidR="003E7ED1" w:rsidRPr="00B3704B" w:rsidRDefault="00BC5F8E" w:rsidP="002006BD">
      <w:pPr>
        <w:pStyle w:val="CETEquation"/>
      </w:pPr>
      <w:r w:rsidRPr="00B3704B">
        <w:t xml:space="preserve">The annual wind rose </w:t>
      </w:r>
      <w:r w:rsidR="000879C1">
        <w:t xml:space="preserve">at </w:t>
      </w:r>
      <w:r w:rsidRPr="00B3704B">
        <w:t xml:space="preserve">the Boara location shows prevailing directions toward the southwestern quadrant. The average wind speed is </w:t>
      </w:r>
      <m:oMath>
        <m:acc>
          <m:accPr>
            <m:chr m:val="̅"/>
            <m:ctrlPr>
              <w:rPr>
                <w:rFonts w:ascii="Cambria Math" w:hAnsi="Cambria Math"/>
                <w:lang w:val="it-IT"/>
              </w:rPr>
            </m:ctrlPr>
          </m:accPr>
          <m:e>
            <m:r>
              <w:rPr>
                <w:rFonts w:ascii="Cambria Math" w:hAnsi="Cambria Math"/>
                <w:lang w:val="it-IT"/>
              </w:rPr>
              <m:t>v</m:t>
            </m:r>
          </m:e>
        </m:acc>
        <m:r>
          <m:rPr>
            <m:sty m:val="p"/>
          </m:rPr>
          <w:rPr>
            <w:rFonts w:ascii="Cambria Math" w:hAnsi="Cambria Math"/>
          </w:rPr>
          <m:t xml:space="preserve">=2.42 </m:t>
        </m:r>
        <m:r>
          <w:rPr>
            <w:rFonts w:ascii="Cambria Math" w:hAnsi="Cambria Math"/>
            <w:lang w:val="it-IT"/>
          </w:rPr>
          <m:t>m</m:t>
        </m:r>
        <m:r>
          <m:rPr>
            <m:sty m:val="p"/>
          </m:rPr>
          <w:rPr>
            <w:rFonts w:ascii="Cambria Math" w:hAnsi="Cambria Math"/>
          </w:rPr>
          <m:t>/</m:t>
        </m:r>
        <m:r>
          <w:rPr>
            <w:rFonts w:ascii="Cambria Math" w:hAnsi="Cambria Math"/>
            <w:lang w:val="it-IT"/>
          </w:rPr>
          <m:t>s</m:t>
        </m:r>
      </m:oMath>
      <w:r w:rsidRPr="00B3704B">
        <w:t xml:space="preserve">; winds with speeds </w:t>
      </w:r>
      <m:oMath>
        <m:acc>
          <m:accPr>
            <m:chr m:val="̅"/>
            <m:ctrlPr>
              <w:rPr>
                <w:rFonts w:ascii="Cambria Math" w:hAnsi="Cambria Math"/>
                <w:lang w:val="it-IT"/>
              </w:rPr>
            </m:ctrlPr>
          </m:accPr>
          <m:e>
            <m:r>
              <w:rPr>
                <w:rFonts w:ascii="Cambria Math" w:hAnsi="Cambria Math"/>
                <w:lang w:val="it-IT"/>
              </w:rPr>
              <m:t>v</m:t>
            </m:r>
          </m:e>
        </m:acc>
        <m:r>
          <m:rPr>
            <m:sty m:val="p"/>
          </m:rPr>
          <w:rPr>
            <w:rFonts w:ascii="Cambria Math" w:hAnsi="Cambria Math"/>
          </w:rPr>
          <m:t xml:space="preserve">=4 </m:t>
        </m:r>
        <m:r>
          <w:rPr>
            <w:rFonts w:ascii="Cambria Math" w:hAnsi="Cambria Math"/>
            <w:lang w:val="it-IT"/>
          </w:rPr>
          <m:t>m</m:t>
        </m:r>
        <m:r>
          <m:rPr>
            <m:sty m:val="p"/>
          </m:rPr>
          <w:rPr>
            <w:rFonts w:ascii="Cambria Math" w:hAnsi="Cambria Math"/>
          </w:rPr>
          <m:t>/</m:t>
        </m:r>
        <m:r>
          <w:rPr>
            <w:rFonts w:ascii="Cambria Math" w:hAnsi="Cambria Math"/>
            <w:lang w:val="it-IT"/>
          </w:rPr>
          <m:t>s</m:t>
        </m:r>
      </m:oMath>
      <w:r w:rsidRPr="00B3704B">
        <w:t xml:space="preserve"> also blow toward</w:t>
      </w:r>
      <w:r w:rsidR="000879C1">
        <w:t xml:space="preserve"> South-West</w:t>
      </w:r>
      <w:r w:rsidRPr="00B3704B">
        <w:t xml:space="preserve"> </w:t>
      </w:r>
      <w:r w:rsidR="000879C1">
        <w:t>(</w:t>
      </w:r>
      <w:r w:rsidRPr="00B3704B">
        <w:t>SW</w:t>
      </w:r>
      <w:r w:rsidR="000879C1">
        <w:t>)</w:t>
      </w:r>
      <w:r w:rsidRPr="00B3704B">
        <w:t>.</w:t>
      </w:r>
      <w:r w:rsidR="00547577" w:rsidRPr="00B3704B">
        <w:t xml:space="preserve"> </w:t>
      </w:r>
    </w:p>
    <w:p w14:paraId="7B7F5210" w14:textId="15378B46" w:rsidR="003E7ED1" w:rsidRPr="00B3704B" w:rsidRDefault="003E7ED1" w:rsidP="00600535">
      <w:pPr>
        <w:pStyle w:val="CETBodytext"/>
        <w:rPr>
          <w:lang w:val="en-GB"/>
        </w:rPr>
      </w:pPr>
      <w:r w:rsidRPr="00B3704B">
        <w:rPr>
          <w:lang w:val="en-GB"/>
        </w:rPr>
        <w:t xml:space="preserve">In the case of Grosseto, the most frequent directions are SSW and SW. </w:t>
      </w:r>
      <w:r w:rsidR="000879C1">
        <w:rPr>
          <w:lang w:val="en-GB"/>
        </w:rPr>
        <w:t>T</w:t>
      </w:r>
      <w:r w:rsidRPr="00B3704B">
        <w:rPr>
          <w:lang w:val="en-GB"/>
        </w:rPr>
        <w:t>he anemology is related to the presence of the coast, which is located to the SW with respect to the location of the installation</w:t>
      </w:r>
      <w:r w:rsidR="000879C1">
        <w:rPr>
          <w:lang w:val="en-GB"/>
        </w:rPr>
        <w:t>. O</w:t>
      </w:r>
      <w:r w:rsidRPr="00B3704B">
        <w:rPr>
          <w:lang w:val="en-GB"/>
        </w:rPr>
        <w:t xml:space="preserve">n the other hand, the northeastern component is related to the sea breeze. The proximity to the sea also influences the average speed, which is </w:t>
      </w:r>
      <m:oMath>
        <m:acc>
          <m:accPr>
            <m:chr m:val="̅"/>
            <m:ctrlPr>
              <w:rPr>
                <w:rFonts w:ascii="Cambria Math" w:hAnsi="Cambria Math"/>
                <w:lang w:val="it-IT"/>
              </w:rPr>
            </m:ctrlPr>
          </m:accPr>
          <m:e>
            <m:r>
              <w:rPr>
                <w:rFonts w:ascii="Cambria Math" w:hAnsi="Cambria Math"/>
                <w:lang w:val="it-IT"/>
              </w:rPr>
              <m:t>v</m:t>
            </m:r>
          </m:e>
        </m:acc>
        <m:r>
          <m:rPr>
            <m:sty m:val="p"/>
          </m:rPr>
          <w:rPr>
            <w:rFonts w:ascii="Cambria Math" w:hAnsi="Cambria Math"/>
            <w:lang w:val="en-GB"/>
          </w:rPr>
          <m:t xml:space="preserve">=3.27 </m:t>
        </m:r>
        <m:r>
          <w:rPr>
            <w:rFonts w:ascii="Cambria Math" w:hAnsi="Cambria Math"/>
            <w:lang w:val="it-IT"/>
          </w:rPr>
          <m:t>m</m:t>
        </m:r>
        <m:r>
          <m:rPr>
            <m:sty m:val="p"/>
          </m:rPr>
          <w:rPr>
            <w:rFonts w:ascii="Cambria Math" w:hAnsi="Cambria Math"/>
            <w:lang w:val="en-GB"/>
          </w:rPr>
          <m:t>/</m:t>
        </m:r>
        <m:r>
          <w:rPr>
            <w:rFonts w:ascii="Cambria Math" w:hAnsi="Cambria Math"/>
            <w:lang w:val="it-IT"/>
          </w:rPr>
          <m:t>s</m:t>
        </m:r>
      </m:oMath>
      <w:r w:rsidRPr="00B3704B">
        <w:rPr>
          <w:lang w:val="en-GB"/>
        </w:rPr>
        <w:t xml:space="preserve">. Winds with </w:t>
      </w:r>
      <m:oMath>
        <m:acc>
          <m:accPr>
            <m:chr m:val="̅"/>
            <m:ctrlPr>
              <w:rPr>
                <w:rFonts w:ascii="Cambria Math" w:hAnsi="Cambria Math"/>
                <w:lang w:val="it-IT"/>
              </w:rPr>
            </m:ctrlPr>
          </m:accPr>
          <m:e>
            <m:r>
              <w:rPr>
                <w:rFonts w:ascii="Cambria Math" w:hAnsi="Cambria Math"/>
                <w:lang w:val="it-IT"/>
              </w:rPr>
              <m:t>v</m:t>
            </m:r>
          </m:e>
        </m:acc>
        <m:r>
          <m:rPr>
            <m:sty m:val="p"/>
          </m:rPr>
          <w:rPr>
            <w:rFonts w:ascii="Cambria Math" w:hAnsi="Cambria Math"/>
            <w:lang w:val="en-GB"/>
          </w:rPr>
          <m:t xml:space="preserve">=4 </m:t>
        </m:r>
        <m:r>
          <w:rPr>
            <w:rFonts w:ascii="Cambria Math" w:hAnsi="Cambria Math"/>
            <w:lang w:val="it-IT"/>
          </w:rPr>
          <m:t>m</m:t>
        </m:r>
        <m:r>
          <m:rPr>
            <m:sty m:val="p"/>
          </m:rPr>
          <w:rPr>
            <w:rFonts w:ascii="Cambria Math" w:hAnsi="Cambria Math"/>
            <w:lang w:val="en-GB"/>
          </w:rPr>
          <m:t>/</m:t>
        </m:r>
        <m:r>
          <w:rPr>
            <w:rFonts w:ascii="Cambria Math" w:hAnsi="Cambria Math"/>
            <w:lang w:val="it-IT"/>
          </w:rPr>
          <m:t>s</m:t>
        </m:r>
      </m:oMath>
      <w:r w:rsidRPr="00B3704B">
        <w:rPr>
          <w:lang w:val="en-GB"/>
        </w:rPr>
        <w:t xml:space="preserve"> also have high frequency in SSW and SW direction.</w:t>
      </w:r>
    </w:p>
    <w:p w14:paraId="1E7DFAD3" w14:textId="3187B01B" w:rsidR="003E7ED1" w:rsidRPr="00B3704B" w:rsidRDefault="003E7ED1" w:rsidP="003E7ED1">
      <w:pPr>
        <w:pStyle w:val="CETBodytext"/>
        <w:rPr>
          <w:lang w:val="en-GB"/>
        </w:rPr>
      </w:pPr>
      <w:r w:rsidRPr="00B3704B">
        <w:rPr>
          <w:lang w:val="en-GB"/>
        </w:rPr>
        <w:t xml:space="preserve">The Taranto location is also located close to the sea, the predominant wind vectors are those directed towards SE, SSE and S. The sea breeze is less </w:t>
      </w:r>
      <w:r w:rsidR="00B4390A" w:rsidRPr="00B3704B">
        <w:rPr>
          <w:lang w:val="en-GB"/>
        </w:rPr>
        <w:t>pronounced,</w:t>
      </w:r>
      <w:r w:rsidR="002006BD" w:rsidRPr="00B3704B">
        <w:rPr>
          <w:lang w:val="en-GB"/>
        </w:rPr>
        <w:t xml:space="preserve"> and the average wind speed is also lower than the previous site, </w:t>
      </w:r>
      <m:oMath>
        <m:acc>
          <m:accPr>
            <m:chr m:val="̅"/>
            <m:ctrlPr>
              <w:rPr>
                <w:rFonts w:ascii="Cambria Math" w:hAnsi="Cambria Math"/>
                <w:lang w:val="it-IT"/>
              </w:rPr>
            </m:ctrlPr>
          </m:accPr>
          <m:e>
            <m:r>
              <w:rPr>
                <w:rFonts w:ascii="Cambria Math" w:hAnsi="Cambria Math"/>
                <w:lang w:val="it-IT"/>
              </w:rPr>
              <m:t>v</m:t>
            </m:r>
          </m:e>
        </m:acc>
        <m:r>
          <m:rPr>
            <m:sty m:val="p"/>
          </m:rPr>
          <w:rPr>
            <w:rFonts w:ascii="Cambria Math" w:hAnsi="Cambria Math"/>
            <w:lang w:val="en-GB"/>
          </w:rPr>
          <m:t xml:space="preserve">=2.69 </m:t>
        </m:r>
        <m:r>
          <w:rPr>
            <w:rFonts w:ascii="Cambria Math" w:hAnsi="Cambria Math"/>
            <w:lang w:val="it-IT"/>
          </w:rPr>
          <m:t>m</m:t>
        </m:r>
        <m:r>
          <m:rPr>
            <m:sty m:val="p"/>
          </m:rPr>
          <w:rPr>
            <w:rFonts w:ascii="Cambria Math" w:hAnsi="Cambria Math"/>
            <w:lang w:val="en-GB"/>
          </w:rPr>
          <m:t>/</m:t>
        </m:r>
        <m:r>
          <w:rPr>
            <w:rFonts w:ascii="Cambria Math" w:hAnsi="Cambria Math"/>
            <w:lang w:val="it-IT"/>
          </w:rPr>
          <m:t>s</m:t>
        </m:r>
      </m:oMath>
      <w:r w:rsidRPr="00B3704B">
        <w:rPr>
          <w:lang w:val="en-GB"/>
        </w:rPr>
        <w:t>.</w:t>
      </w:r>
    </w:p>
    <w:p w14:paraId="0F32A267" w14:textId="36D75785" w:rsidR="0053346A" w:rsidRPr="00B3704B" w:rsidRDefault="00A35EF7" w:rsidP="003E7ED1">
      <w:pPr>
        <w:pStyle w:val="CETBodytext"/>
        <w:rPr>
          <w:lang w:val="en-GB"/>
        </w:rPr>
      </w:pPr>
      <w:r>
        <w:rPr>
          <w:noProof/>
          <w:lang w:val="it-IT"/>
        </w:rPr>
        <w:drawing>
          <wp:anchor distT="0" distB="0" distL="114300" distR="114300" simplePos="0" relativeHeight="251700224" behindDoc="0" locked="0" layoutInCell="1" allowOverlap="1" wp14:anchorId="4825446E" wp14:editId="7E456793">
            <wp:simplePos x="0" y="0"/>
            <wp:positionH relativeFrom="margin">
              <wp:align>left</wp:align>
            </wp:positionH>
            <wp:positionV relativeFrom="paragraph">
              <wp:posOffset>398780</wp:posOffset>
            </wp:positionV>
            <wp:extent cx="5543550" cy="2078355"/>
            <wp:effectExtent l="0" t="0" r="0" b="0"/>
            <wp:wrapTopAndBottom/>
            <wp:docPr id="114118834" name="Immagine 2" descr="Immagine che contiene testo, diagramma,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8834" name="Immagine 2" descr="Immagine che contiene testo, diagramma, schermata, Diagramma&#10;&#10;Descrizione generata automaticamente"/>
                    <pic:cNvPicPr/>
                  </pic:nvPicPr>
                  <pic:blipFill>
                    <a:blip r:embed="rId15"/>
                    <a:stretch>
                      <a:fillRect/>
                    </a:stretch>
                  </pic:blipFill>
                  <pic:spPr>
                    <a:xfrm>
                      <a:off x="0" y="0"/>
                      <a:ext cx="5543550" cy="2078355"/>
                    </a:xfrm>
                    <a:prstGeom prst="rect">
                      <a:avLst/>
                    </a:prstGeom>
                  </pic:spPr>
                </pic:pic>
              </a:graphicData>
            </a:graphic>
          </wp:anchor>
        </w:drawing>
      </w:r>
      <w:r w:rsidR="00812636" w:rsidRPr="00B3704B">
        <w:rPr>
          <w:lang w:val="en-GB"/>
        </w:rPr>
        <w:t xml:space="preserve">Tolentino's wind rose shows that the predominant wind direction is ENE and E. Winds with high speeds </w:t>
      </w:r>
      <m:oMath>
        <m:acc>
          <m:accPr>
            <m:chr m:val="̅"/>
            <m:ctrlPr>
              <w:rPr>
                <w:rFonts w:ascii="Cambria Math" w:hAnsi="Cambria Math"/>
                <w:lang w:val="it-IT"/>
              </w:rPr>
            </m:ctrlPr>
          </m:accPr>
          <m:e>
            <m:r>
              <w:rPr>
                <w:rFonts w:ascii="Cambria Math" w:hAnsi="Cambria Math"/>
                <w:lang w:val="it-IT"/>
              </w:rPr>
              <m:t>v</m:t>
            </m:r>
          </m:e>
        </m:acc>
        <m:r>
          <m:rPr>
            <m:sty m:val="p"/>
          </m:rPr>
          <w:rPr>
            <w:rFonts w:ascii="Cambria Math" w:hAnsi="Cambria Math"/>
            <w:lang w:val="en-GB"/>
          </w:rPr>
          <m:t xml:space="preserve">=4 </m:t>
        </m:r>
        <m:r>
          <w:rPr>
            <w:rFonts w:ascii="Cambria Math" w:hAnsi="Cambria Math"/>
            <w:lang w:val="it-IT"/>
          </w:rPr>
          <m:t>m</m:t>
        </m:r>
        <m:r>
          <m:rPr>
            <m:sty m:val="p"/>
          </m:rPr>
          <w:rPr>
            <w:rFonts w:ascii="Cambria Math" w:hAnsi="Cambria Math"/>
            <w:lang w:val="en-GB"/>
          </w:rPr>
          <m:t>/</m:t>
        </m:r>
        <m:r>
          <w:rPr>
            <w:rFonts w:ascii="Cambria Math" w:hAnsi="Cambria Math"/>
            <w:lang w:val="it-IT"/>
          </w:rPr>
          <m:t>s</m:t>
        </m:r>
      </m:oMath>
      <w:r w:rsidR="00812636" w:rsidRPr="00B3704B">
        <w:rPr>
          <w:lang w:val="en-GB"/>
        </w:rPr>
        <w:t xml:space="preserve"> also have the same direction. The average wind speed is </w:t>
      </w:r>
      <m:oMath>
        <m:acc>
          <m:accPr>
            <m:chr m:val="̅"/>
            <m:ctrlPr>
              <w:rPr>
                <w:rFonts w:ascii="Cambria Math" w:hAnsi="Cambria Math"/>
                <w:lang w:val="it-IT"/>
              </w:rPr>
            </m:ctrlPr>
          </m:accPr>
          <m:e>
            <m:r>
              <w:rPr>
                <w:rFonts w:ascii="Cambria Math" w:hAnsi="Cambria Math"/>
                <w:lang w:val="it-IT"/>
              </w:rPr>
              <m:t>v</m:t>
            </m:r>
          </m:e>
        </m:acc>
        <m:r>
          <m:rPr>
            <m:sty m:val="p"/>
          </m:rPr>
          <w:rPr>
            <w:rFonts w:ascii="Cambria Math" w:hAnsi="Cambria Math"/>
            <w:lang w:val="en-GB"/>
          </w:rPr>
          <m:t xml:space="preserve">=2.81 </m:t>
        </m:r>
        <m:r>
          <w:rPr>
            <w:rFonts w:ascii="Cambria Math" w:hAnsi="Cambria Math"/>
            <w:lang w:val="it-IT"/>
          </w:rPr>
          <m:t>m</m:t>
        </m:r>
        <m:r>
          <m:rPr>
            <m:sty m:val="p"/>
          </m:rPr>
          <w:rPr>
            <w:rFonts w:ascii="Cambria Math" w:hAnsi="Cambria Math"/>
            <w:lang w:val="en-GB"/>
          </w:rPr>
          <m:t>/</m:t>
        </m:r>
        <m:r>
          <w:rPr>
            <w:rFonts w:ascii="Cambria Math" w:hAnsi="Cambria Math"/>
            <w:lang w:val="it-IT"/>
          </w:rPr>
          <m:t>s</m:t>
        </m:r>
      </m:oMath>
      <w:r w:rsidR="00812636" w:rsidRPr="00B3704B">
        <w:rPr>
          <w:lang w:val="en-GB"/>
        </w:rPr>
        <w:t xml:space="preserve">. </w:t>
      </w:r>
    </w:p>
    <w:p w14:paraId="344FED00" w14:textId="440845CE" w:rsidR="00891834" w:rsidRPr="00B3704B" w:rsidRDefault="00891834" w:rsidP="00547577">
      <w:pPr>
        <w:pStyle w:val="CETCaption"/>
      </w:pPr>
      <w:r w:rsidRPr="00B3704B">
        <w:t>Figur</w:t>
      </w:r>
      <w:r w:rsidR="00547577" w:rsidRPr="00B3704B">
        <w:t>e</w:t>
      </w:r>
      <w:r w:rsidRPr="00B3704B">
        <w:t xml:space="preserve"> </w:t>
      </w:r>
      <w:r w:rsidR="00F807C4" w:rsidRPr="00B3704B">
        <w:t>5</w:t>
      </w:r>
      <w:r w:rsidRPr="00B3704B">
        <w:t xml:space="preserve">: Windrose </w:t>
      </w:r>
      <w:r w:rsidR="00547577" w:rsidRPr="00B3704B">
        <w:t>for each site. In the figure is shown the direction in which the wind is blowing.</w:t>
      </w:r>
      <w:r w:rsidR="00B4390A">
        <w:t xml:space="preserve"> Colours represent wind speed frequency.</w:t>
      </w:r>
    </w:p>
    <w:p w14:paraId="585E5B0E" w14:textId="387F37BC" w:rsidR="008B2E3A" w:rsidRDefault="008B2E3A" w:rsidP="00FA5F5F">
      <w:pPr>
        <w:pStyle w:val="CETheadingx"/>
      </w:pPr>
      <w:r>
        <w:lastRenderedPageBreak/>
        <w:t>Odour impact</w:t>
      </w:r>
    </w:p>
    <w:p w14:paraId="6FFCA98B" w14:textId="7D554D7A" w:rsidR="00275677" w:rsidRPr="00B3704B" w:rsidRDefault="00F16A96" w:rsidP="002500B2">
      <w:pPr>
        <w:pStyle w:val="CETBodytext"/>
        <w:rPr>
          <w:lang w:val="en-GB"/>
        </w:rPr>
      </w:pPr>
      <w:r>
        <w:rPr>
          <w:lang w:val="en-GB"/>
        </w:rPr>
        <w:t>To perceive an odour,</w:t>
      </w:r>
      <w:r w:rsidR="00275677" w:rsidRPr="00B3704B">
        <w:rPr>
          <w:lang w:val="en-GB"/>
        </w:rPr>
        <w:t xml:space="preserve"> it is sufficient for th</w:t>
      </w:r>
      <w:r w:rsidR="000879C1">
        <w:rPr>
          <w:lang w:val="en-GB"/>
        </w:rPr>
        <w:t>e</w:t>
      </w:r>
      <w:r w:rsidR="00275677" w:rsidRPr="00B3704B">
        <w:rPr>
          <w:lang w:val="en-GB"/>
        </w:rPr>
        <w:t xml:space="preserve"> concentration </w:t>
      </w:r>
      <w:r w:rsidR="000879C1">
        <w:rPr>
          <w:lang w:val="en-GB"/>
        </w:rPr>
        <w:t xml:space="preserve">of the odour </w:t>
      </w:r>
      <w:r w:rsidR="00275677" w:rsidRPr="00B3704B">
        <w:rPr>
          <w:lang w:val="en-GB"/>
        </w:rPr>
        <w:t xml:space="preserve">in the air to exceed the threshold of olfactory perception even for the time of one breath. </w:t>
      </w:r>
      <w:r w:rsidR="000879C1">
        <w:rPr>
          <w:lang w:val="en-GB"/>
        </w:rPr>
        <w:t>O</w:t>
      </w:r>
      <w:r w:rsidR="00275677" w:rsidRPr="00B3704B">
        <w:rPr>
          <w:lang w:val="en-GB"/>
        </w:rPr>
        <w:t xml:space="preserve">dour concentration, like any scalar variable in the atmosphere, fluctuates instantaneously due to turbulence. </w:t>
      </w:r>
      <w:r w:rsidR="000879C1">
        <w:rPr>
          <w:lang w:val="en-GB"/>
        </w:rPr>
        <w:t xml:space="preserve">Given that </w:t>
      </w:r>
      <w:r w:rsidR="00275677" w:rsidRPr="00B3704B">
        <w:rPr>
          <w:lang w:val="en-GB"/>
        </w:rPr>
        <w:t>the dispersion model employed produces as output, the hourly average odour concentration</w:t>
      </w:r>
      <w:r w:rsidR="000879C1">
        <w:rPr>
          <w:lang w:val="en-GB"/>
        </w:rPr>
        <w:t xml:space="preserve"> for each hour and receptor</w:t>
      </w:r>
      <w:r w:rsidR="00275677" w:rsidRPr="00B3704B">
        <w:rPr>
          <w:lang w:val="en-GB"/>
        </w:rPr>
        <w:t>, it is necessary to d</w:t>
      </w:r>
      <w:r w:rsidR="000879C1">
        <w:rPr>
          <w:lang w:val="en-GB"/>
        </w:rPr>
        <w:t>eriv</w:t>
      </w:r>
      <w:r w:rsidR="00275677" w:rsidRPr="00B3704B">
        <w:rPr>
          <w:lang w:val="en-GB"/>
        </w:rPr>
        <w:t xml:space="preserve">e </w:t>
      </w:r>
      <w:r w:rsidR="000879C1">
        <w:rPr>
          <w:lang w:val="en-GB"/>
        </w:rPr>
        <w:t xml:space="preserve">the </w:t>
      </w:r>
      <w:r w:rsidR="00275677" w:rsidRPr="00B3704B">
        <w:rPr>
          <w:lang w:val="en-GB"/>
        </w:rPr>
        <w:t>peak hourly odour concentration, defined as the concentration that is exceeded for about one second in an hour. In Australia, where extensive studies have been carried out in this regard, the document 'Approved methods for the modelling and assessment of air pollutants in New South Wales' (Department of Environment and Conservation), states that the estimation of the hourly peak concentration should be conducted by multiplying the hourly average concentration by a coefficient (peak-to-mean ratio). In the present study, a peak-to-mean ratio of 2.3 is adopted.</w:t>
      </w:r>
    </w:p>
    <w:p w14:paraId="72D980C5" w14:textId="7DAB5B89" w:rsidR="00CD6B60" w:rsidRPr="00B3704B" w:rsidRDefault="006F7DCB" w:rsidP="002500B2">
      <w:pPr>
        <w:pStyle w:val="CETBodytext"/>
        <w:rPr>
          <w:lang w:val="en-GB"/>
        </w:rPr>
      </w:pPr>
      <w:r>
        <w:rPr>
          <w:noProof/>
          <w:lang w:val="it-IT"/>
        </w:rPr>
        <w:drawing>
          <wp:anchor distT="0" distB="0" distL="114300" distR="114300" simplePos="0" relativeHeight="251699200" behindDoc="0" locked="0" layoutInCell="1" allowOverlap="1" wp14:anchorId="089B07C3" wp14:editId="4541B3FA">
            <wp:simplePos x="0" y="0"/>
            <wp:positionH relativeFrom="margin">
              <wp:align>right</wp:align>
            </wp:positionH>
            <wp:positionV relativeFrom="paragraph">
              <wp:posOffset>594108</wp:posOffset>
            </wp:positionV>
            <wp:extent cx="5579745" cy="3138805"/>
            <wp:effectExtent l="0" t="0" r="1905" b="4445"/>
            <wp:wrapThrough wrapText="bothSides">
              <wp:wrapPolygon edited="0">
                <wp:start x="0" y="0"/>
                <wp:lineTo x="0" y="21499"/>
                <wp:lineTo x="21534" y="21499"/>
                <wp:lineTo x="21534" y="0"/>
                <wp:lineTo x="0" y="0"/>
              </wp:wrapPolygon>
            </wp:wrapThrough>
            <wp:docPr id="1867438676" name="Immagine 10" descr="Immagine che contiene testo, schermata, numero,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38676" name="Immagine 10" descr="Immagine che contiene testo, schermata, numero, diagramma&#10;&#10;Descrizione generata automaticamente"/>
                    <pic:cNvPicPr/>
                  </pic:nvPicPr>
                  <pic:blipFill>
                    <a:blip r:embed="rId16"/>
                    <a:stretch>
                      <a:fillRect/>
                    </a:stretch>
                  </pic:blipFill>
                  <pic:spPr>
                    <a:xfrm>
                      <a:off x="0" y="0"/>
                      <a:ext cx="5579745" cy="3138805"/>
                    </a:xfrm>
                    <a:prstGeom prst="rect">
                      <a:avLst/>
                    </a:prstGeom>
                  </pic:spPr>
                </pic:pic>
              </a:graphicData>
            </a:graphic>
          </wp:anchor>
        </w:drawing>
      </w:r>
      <w:r w:rsidR="0072695C" w:rsidRPr="00B3704B">
        <w:rPr>
          <w:lang w:val="en-GB"/>
        </w:rPr>
        <w:t xml:space="preserve">Following </w:t>
      </w:r>
      <w:r w:rsidR="00B076FA" w:rsidRPr="00B3704B">
        <w:rPr>
          <w:lang w:val="en-GB"/>
        </w:rPr>
        <w:t>Italian</w:t>
      </w:r>
      <w:r w:rsidR="0072695C" w:rsidRPr="00B3704B">
        <w:rPr>
          <w:lang w:val="en-GB"/>
        </w:rPr>
        <w:t xml:space="preserve"> regional regulations</w:t>
      </w:r>
      <w:r w:rsidR="00DD36D3">
        <w:rPr>
          <w:lang w:val="en-GB"/>
        </w:rPr>
        <w:t>,</w:t>
      </w:r>
      <w:r w:rsidR="0072695C" w:rsidRPr="00B3704B">
        <w:rPr>
          <w:lang w:val="en-GB"/>
        </w:rPr>
        <w:t xml:space="preserve"> odour impact is expressed in terms of ground level odour concentration at the 98th percentile. </w:t>
      </w:r>
      <w:r w:rsidR="00A35EF7" w:rsidRPr="00B3704B">
        <w:rPr>
          <w:lang w:val="en-GB"/>
        </w:rPr>
        <w:t xml:space="preserve">As expected, in both scenarios </w:t>
      </w:r>
      <w:r w:rsidR="00F16A96">
        <w:rPr>
          <w:lang w:val="en-GB"/>
        </w:rPr>
        <w:t xml:space="preserve">the </w:t>
      </w:r>
      <w:r w:rsidR="00A35EF7" w:rsidRPr="00B3704B">
        <w:rPr>
          <w:lang w:val="en-GB"/>
        </w:rPr>
        <w:t xml:space="preserve">odour concentration decreases with the distance </w:t>
      </w:r>
      <w:r w:rsidR="00F16A96">
        <w:rPr>
          <w:lang w:val="en-GB"/>
        </w:rPr>
        <w:t xml:space="preserve">for all locations </w:t>
      </w:r>
      <w:r w:rsidR="00A35EF7" w:rsidRPr="00B3704B">
        <w:rPr>
          <w:lang w:val="en-GB"/>
        </w:rPr>
        <w:t xml:space="preserve">(Figure 6). </w:t>
      </w:r>
    </w:p>
    <w:p w14:paraId="57C74F01" w14:textId="64A3A28E" w:rsidR="00A35EF7" w:rsidRPr="00B3704B" w:rsidRDefault="00A35EF7" w:rsidP="00A35EF7">
      <w:pPr>
        <w:pStyle w:val="CETCaption"/>
      </w:pPr>
      <w:r w:rsidRPr="00B3704B">
        <w:t>Figure 6: Plot of the simulated odour concentration</w:t>
      </w:r>
      <w:r w:rsidR="00B4390A">
        <w:t>.</w:t>
      </w:r>
      <w:r w:rsidR="00B076FA">
        <w:t xml:space="preserve"> Odour impact decreases with the distance.</w:t>
      </w:r>
    </w:p>
    <w:p w14:paraId="2961F50C" w14:textId="14D58107" w:rsidR="00F829BC" w:rsidRPr="006F255E" w:rsidRDefault="00A35EF7" w:rsidP="006F7DCB">
      <w:pPr>
        <w:pStyle w:val="CETBodytext"/>
        <w:spacing w:after="240"/>
        <w:rPr>
          <w:lang w:val="en-GB"/>
        </w:rPr>
      </w:pPr>
      <w:r w:rsidRPr="00B3704B">
        <w:rPr>
          <w:lang w:val="en-GB"/>
        </w:rPr>
        <w:t>The second scenario</w:t>
      </w:r>
      <w:r w:rsidR="00F16A96">
        <w:rPr>
          <w:lang w:val="en-GB"/>
        </w:rPr>
        <w:t>, characterized by a ground-based areal source,</w:t>
      </w:r>
      <w:r w:rsidRPr="00B3704B">
        <w:rPr>
          <w:lang w:val="en-GB"/>
        </w:rPr>
        <w:t xml:space="preserve"> has higher simulated odour concentrations at receptors. This </w:t>
      </w:r>
      <w:r w:rsidR="00F16A96">
        <w:rPr>
          <w:lang w:val="en-GB"/>
        </w:rPr>
        <w:t xml:space="preserve">phenomenon arises due to the heightened influence of </w:t>
      </w:r>
      <w:r w:rsidRPr="00B3704B">
        <w:rPr>
          <w:lang w:val="en-GB"/>
        </w:rPr>
        <w:t>atmospheric stability,</w:t>
      </w:r>
      <w:r w:rsidR="00F16A96">
        <w:rPr>
          <w:lang w:val="en-GB"/>
        </w:rPr>
        <w:t xml:space="preserve"> reduced</w:t>
      </w:r>
      <w:r w:rsidRPr="00B3704B">
        <w:rPr>
          <w:lang w:val="en-GB"/>
        </w:rPr>
        <w:t xml:space="preserve"> mixing height</w:t>
      </w:r>
      <w:r w:rsidR="00F16A96">
        <w:rPr>
          <w:lang w:val="en-GB"/>
        </w:rPr>
        <w:t>,</w:t>
      </w:r>
      <w:r w:rsidRPr="00B3704B">
        <w:rPr>
          <w:lang w:val="en-GB"/>
        </w:rPr>
        <w:t xml:space="preserve"> and </w:t>
      </w:r>
      <w:r w:rsidR="00F16A96">
        <w:rPr>
          <w:lang w:val="en-GB"/>
        </w:rPr>
        <w:t>decreased</w:t>
      </w:r>
      <w:r w:rsidRPr="00B3704B">
        <w:rPr>
          <w:lang w:val="en-GB"/>
        </w:rPr>
        <w:t xml:space="preserve"> wind speed at ground level</w:t>
      </w:r>
      <w:r w:rsidR="00F16A96">
        <w:rPr>
          <w:lang w:val="en-GB"/>
        </w:rPr>
        <w:t xml:space="preserve"> compared to higher</w:t>
      </w:r>
      <w:r w:rsidRPr="00B3704B">
        <w:rPr>
          <w:lang w:val="en-GB"/>
        </w:rPr>
        <w:t xml:space="preserve"> altitude</w:t>
      </w:r>
      <w:r w:rsidR="00F16A96">
        <w:rPr>
          <w:lang w:val="en-GB"/>
        </w:rPr>
        <w:t>s</w:t>
      </w:r>
      <w:r w:rsidRPr="00B3704B">
        <w:rPr>
          <w:lang w:val="en-GB"/>
        </w:rPr>
        <w:t xml:space="preserve">. The stack emission is also simulated with an exit velocity of 10.4 m/s; momentum plume rise </w:t>
      </w:r>
      <w:r w:rsidR="00721A90" w:rsidRPr="00B3704B">
        <w:rPr>
          <w:lang w:val="en-GB"/>
        </w:rPr>
        <w:t xml:space="preserve">causes greater odour dispersion, reducing its impact on the </w:t>
      </w:r>
      <w:r w:rsidR="00F16A96" w:rsidRPr="00B3704B">
        <w:rPr>
          <w:lang w:val="en-GB"/>
        </w:rPr>
        <w:t>surroundings</w:t>
      </w:r>
      <w:r w:rsidR="00721A90" w:rsidRPr="00B3704B">
        <w:rPr>
          <w:lang w:val="en-GB"/>
        </w:rPr>
        <w:t>.</w:t>
      </w:r>
      <w:r w:rsidR="006F7DCB">
        <w:rPr>
          <w:lang w:val="en-GB"/>
        </w:rPr>
        <w:t xml:space="preserve"> </w:t>
      </w:r>
      <w:r w:rsidR="00DE5495" w:rsidRPr="00B3704B">
        <w:rPr>
          <w:lang w:val="en-GB"/>
        </w:rPr>
        <w:t xml:space="preserve">On average, the concentration is for the first scenario between </w:t>
      </w:r>
      <m:oMath>
        <m:r>
          <m:rPr>
            <m:sty m:val="p"/>
          </m:rPr>
          <w:rPr>
            <w:rFonts w:ascii="Cambria Math" w:hAnsi="Cambria Math"/>
            <w:lang w:val="en-GB"/>
          </w:rPr>
          <m:t xml:space="preserve">1.03&lt;C&lt;2.40 </m:t>
        </m:r>
        <m:sSub>
          <m:sSubPr>
            <m:ctrlPr>
              <w:rPr>
                <w:rFonts w:ascii="Cambria Math" w:hAnsi="Cambria Math"/>
                <w:lang w:val="it-IT"/>
              </w:rPr>
            </m:ctrlPr>
          </m:sSubPr>
          <m:e>
            <m:r>
              <w:rPr>
                <w:rFonts w:ascii="Cambria Math" w:hAnsi="Cambria Math"/>
                <w:lang w:val="it-IT"/>
              </w:rPr>
              <m:t>ou</m:t>
            </m:r>
          </m:e>
          <m:sub>
            <m:r>
              <w:rPr>
                <w:rFonts w:ascii="Cambria Math" w:hAnsi="Cambria Math"/>
                <w:lang w:val="it-IT"/>
              </w:rPr>
              <m:t>E</m:t>
            </m:r>
          </m:sub>
        </m:sSub>
        <m:r>
          <w:rPr>
            <w:rFonts w:ascii="Cambria Math" w:hAnsi="Cambria Math"/>
            <w:lang w:val="en-GB"/>
          </w:rPr>
          <m:t>/</m:t>
        </m:r>
        <m:sSup>
          <m:sSupPr>
            <m:ctrlPr>
              <w:rPr>
                <w:rFonts w:ascii="Cambria Math" w:hAnsi="Cambria Math"/>
                <w:i/>
                <w:lang w:val="it-IT"/>
              </w:rPr>
            </m:ctrlPr>
          </m:sSupPr>
          <m:e>
            <m:r>
              <w:rPr>
                <w:rFonts w:ascii="Cambria Math" w:hAnsi="Cambria Math"/>
                <w:lang w:val="it-IT"/>
              </w:rPr>
              <m:t>m</m:t>
            </m:r>
          </m:e>
          <m:sup>
            <m:r>
              <w:rPr>
                <w:rFonts w:ascii="Cambria Math" w:hAnsi="Cambria Math"/>
                <w:lang w:val="en-GB"/>
              </w:rPr>
              <m:t>3</m:t>
            </m:r>
          </m:sup>
        </m:sSup>
      </m:oMath>
      <w:r w:rsidR="00DE5495" w:rsidRPr="00B3704B">
        <w:rPr>
          <w:lang w:val="en-GB"/>
        </w:rPr>
        <w:t xml:space="preserve"> at 300 m, between </w:t>
      </w:r>
      <m:oMath>
        <m:r>
          <m:rPr>
            <m:sty m:val="p"/>
          </m:rPr>
          <w:rPr>
            <w:rFonts w:ascii="Cambria Math" w:hAnsi="Cambria Math"/>
            <w:lang w:val="en-GB"/>
          </w:rPr>
          <m:t xml:space="preserve">0.40&lt;C&lt;1.28 </m:t>
        </m:r>
        <m:sSub>
          <m:sSubPr>
            <m:ctrlPr>
              <w:rPr>
                <w:rFonts w:ascii="Cambria Math" w:hAnsi="Cambria Math"/>
                <w:lang w:val="it-IT"/>
              </w:rPr>
            </m:ctrlPr>
          </m:sSubPr>
          <m:e>
            <m:r>
              <w:rPr>
                <w:rFonts w:ascii="Cambria Math" w:hAnsi="Cambria Math"/>
                <w:lang w:val="it-IT"/>
              </w:rPr>
              <m:t>ou</m:t>
            </m:r>
          </m:e>
          <m:sub>
            <m:r>
              <w:rPr>
                <w:rFonts w:ascii="Cambria Math" w:hAnsi="Cambria Math"/>
                <w:lang w:val="it-IT"/>
              </w:rPr>
              <m:t>E</m:t>
            </m:r>
          </m:sub>
        </m:sSub>
        <m:r>
          <w:rPr>
            <w:rFonts w:ascii="Cambria Math" w:hAnsi="Cambria Math"/>
            <w:lang w:val="en-GB"/>
          </w:rPr>
          <m:t>/</m:t>
        </m:r>
        <m:sSup>
          <m:sSupPr>
            <m:ctrlPr>
              <w:rPr>
                <w:rFonts w:ascii="Cambria Math" w:hAnsi="Cambria Math"/>
                <w:i/>
                <w:lang w:val="it-IT"/>
              </w:rPr>
            </m:ctrlPr>
          </m:sSupPr>
          <m:e>
            <m:r>
              <w:rPr>
                <w:rFonts w:ascii="Cambria Math" w:hAnsi="Cambria Math"/>
                <w:lang w:val="it-IT"/>
              </w:rPr>
              <m:t>m</m:t>
            </m:r>
          </m:e>
          <m:sup>
            <m:r>
              <w:rPr>
                <w:rFonts w:ascii="Cambria Math" w:hAnsi="Cambria Math"/>
                <w:lang w:val="en-GB"/>
              </w:rPr>
              <m:t>3</m:t>
            </m:r>
          </m:sup>
        </m:sSup>
      </m:oMath>
      <w:r w:rsidR="00DE5495" w:rsidRPr="00B3704B">
        <w:rPr>
          <w:lang w:val="en-GB"/>
        </w:rPr>
        <w:t xml:space="preserve"> at 600 m and between </w:t>
      </w:r>
      <m:oMath>
        <m:r>
          <m:rPr>
            <m:sty m:val="p"/>
          </m:rPr>
          <w:rPr>
            <w:rFonts w:ascii="Cambria Math" w:hAnsi="Cambria Math"/>
            <w:lang w:val="en-GB"/>
          </w:rPr>
          <m:t xml:space="preserve">0.16&lt;C&lt;0.60 </m:t>
        </m:r>
        <m:sSub>
          <m:sSubPr>
            <m:ctrlPr>
              <w:rPr>
                <w:rFonts w:ascii="Cambria Math" w:hAnsi="Cambria Math"/>
                <w:lang w:val="it-IT"/>
              </w:rPr>
            </m:ctrlPr>
          </m:sSubPr>
          <m:e>
            <m:r>
              <w:rPr>
                <w:rFonts w:ascii="Cambria Math" w:hAnsi="Cambria Math"/>
                <w:lang w:val="it-IT"/>
              </w:rPr>
              <m:t>ou</m:t>
            </m:r>
          </m:e>
          <m:sub>
            <m:r>
              <w:rPr>
                <w:rFonts w:ascii="Cambria Math" w:hAnsi="Cambria Math"/>
                <w:lang w:val="it-IT"/>
              </w:rPr>
              <m:t>E</m:t>
            </m:r>
          </m:sub>
        </m:sSub>
        <m:r>
          <w:rPr>
            <w:rFonts w:ascii="Cambria Math" w:hAnsi="Cambria Math"/>
            <w:lang w:val="en-GB"/>
          </w:rPr>
          <m:t>/</m:t>
        </m:r>
        <m:sSup>
          <m:sSupPr>
            <m:ctrlPr>
              <w:rPr>
                <w:rFonts w:ascii="Cambria Math" w:hAnsi="Cambria Math"/>
                <w:i/>
                <w:lang w:val="it-IT"/>
              </w:rPr>
            </m:ctrlPr>
          </m:sSupPr>
          <m:e>
            <m:r>
              <w:rPr>
                <w:rFonts w:ascii="Cambria Math" w:hAnsi="Cambria Math"/>
                <w:lang w:val="it-IT"/>
              </w:rPr>
              <m:t>m</m:t>
            </m:r>
          </m:e>
          <m:sup>
            <m:r>
              <w:rPr>
                <w:rFonts w:ascii="Cambria Math" w:hAnsi="Cambria Math"/>
                <w:lang w:val="en-GB"/>
              </w:rPr>
              <m:t>3</m:t>
            </m:r>
          </m:sup>
        </m:sSup>
      </m:oMath>
      <w:r w:rsidR="00DE5495" w:rsidRPr="00B3704B">
        <w:rPr>
          <w:lang w:val="en-GB"/>
        </w:rPr>
        <w:t xml:space="preserve"> at 1200</w:t>
      </w:r>
      <w:r w:rsidR="006F7DCB">
        <w:rPr>
          <w:lang w:val="en-GB"/>
        </w:rPr>
        <w:t xml:space="preserve"> </w:t>
      </w:r>
      <w:r w:rsidR="00DE5495" w:rsidRPr="00B3704B">
        <w:rPr>
          <w:lang w:val="en-GB"/>
        </w:rPr>
        <w:t>m.</w:t>
      </w:r>
      <w:r w:rsidR="006F7DCB">
        <w:rPr>
          <w:lang w:val="en-GB"/>
        </w:rPr>
        <w:t xml:space="preserve"> </w:t>
      </w:r>
      <w:r w:rsidR="00DE5495" w:rsidRPr="00B3704B">
        <w:rPr>
          <w:lang w:val="en-GB"/>
        </w:rPr>
        <w:t>For the second one</w:t>
      </w:r>
      <w:r w:rsidR="00D5382A" w:rsidRPr="00B3704B">
        <w:rPr>
          <w:lang w:val="en-GB"/>
        </w:rPr>
        <w:t>, the simulated odour concentration</w:t>
      </w:r>
      <w:r w:rsidR="00DE5495" w:rsidRPr="00B3704B">
        <w:rPr>
          <w:lang w:val="en-GB"/>
        </w:rPr>
        <w:t xml:space="preserve"> </w:t>
      </w:r>
      <w:r w:rsidR="00D5382A" w:rsidRPr="00B3704B">
        <w:rPr>
          <w:lang w:val="en-GB"/>
        </w:rPr>
        <w:t xml:space="preserve">is </w:t>
      </w:r>
      <w:r w:rsidR="00DE5495" w:rsidRPr="00B3704B">
        <w:rPr>
          <w:lang w:val="en-GB"/>
        </w:rPr>
        <w:t xml:space="preserve">between </w:t>
      </w:r>
      <m:oMath>
        <m:r>
          <m:rPr>
            <m:sty m:val="p"/>
          </m:rPr>
          <w:rPr>
            <w:rFonts w:ascii="Cambria Math" w:hAnsi="Cambria Math"/>
            <w:lang w:val="en-GB"/>
          </w:rPr>
          <m:t xml:space="preserve">9.21&lt;C&lt;11.70 </m:t>
        </m:r>
        <m:sSub>
          <m:sSubPr>
            <m:ctrlPr>
              <w:rPr>
                <w:rFonts w:ascii="Cambria Math" w:hAnsi="Cambria Math"/>
                <w:lang w:val="it-IT"/>
              </w:rPr>
            </m:ctrlPr>
          </m:sSubPr>
          <m:e>
            <m:r>
              <w:rPr>
                <w:rFonts w:ascii="Cambria Math" w:hAnsi="Cambria Math"/>
                <w:lang w:val="it-IT"/>
              </w:rPr>
              <m:t>ou</m:t>
            </m:r>
          </m:e>
          <m:sub>
            <m:r>
              <w:rPr>
                <w:rFonts w:ascii="Cambria Math" w:hAnsi="Cambria Math"/>
                <w:lang w:val="it-IT"/>
              </w:rPr>
              <m:t>E</m:t>
            </m:r>
          </m:sub>
        </m:sSub>
        <m:r>
          <w:rPr>
            <w:rFonts w:ascii="Cambria Math" w:hAnsi="Cambria Math"/>
            <w:lang w:val="en-GB"/>
          </w:rPr>
          <m:t>/</m:t>
        </m:r>
        <m:sSup>
          <m:sSupPr>
            <m:ctrlPr>
              <w:rPr>
                <w:rFonts w:ascii="Cambria Math" w:hAnsi="Cambria Math"/>
                <w:i/>
                <w:lang w:val="it-IT"/>
              </w:rPr>
            </m:ctrlPr>
          </m:sSupPr>
          <m:e>
            <m:r>
              <w:rPr>
                <w:rFonts w:ascii="Cambria Math" w:hAnsi="Cambria Math"/>
                <w:lang w:val="it-IT"/>
              </w:rPr>
              <m:t>m</m:t>
            </m:r>
          </m:e>
          <m:sup>
            <m:r>
              <w:rPr>
                <w:rFonts w:ascii="Cambria Math" w:hAnsi="Cambria Math"/>
                <w:lang w:val="en-GB"/>
              </w:rPr>
              <m:t>3</m:t>
            </m:r>
          </m:sup>
        </m:sSup>
      </m:oMath>
      <w:r w:rsidR="00DE5495" w:rsidRPr="00B3704B">
        <w:rPr>
          <w:lang w:val="en-GB"/>
        </w:rPr>
        <w:t xml:space="preserve"> at 300 m, between </w:t>
      </w:r>
      <m:oMath>
        <m:r>
          <m:rPr>
            <m:sty m:val="p"/>
          </m:rPr>
          <w:rPr>
            <w:rFonts w:ascii="Cambria Math" w:hAnsi="Cambria Math"/>
            <w:lang w:val="en-GB"/>
          </w:rPr>
          <m:t xml:space="preserve">3.71&lt;C&lt;4.41 </m:t>
        </m:r>
        <m:sSub>
          <m:sSubPr>
            <m:ctrlPr>
              <w:rPr>
                <w:rFonts w:ascii="Cambria Math" w:hAnsi="Cambria Math"/>
                <w:lang w:val="it-IT"/>
              </w:rPr>
            </m:ctrlPr>
          </m:sSubPr>
          <m:e>
            <m:r>
              <w:rPr>
                <w:rFonts w:ascii="Cambria Math" w:hAnsi="Cambria Math"/>
                <w:lang w:val="it-IT"/>
              </w:rPr>
              <m:t>ou</m:t>
            </m:r>
          </m:e>
          <m:sub>
            <m:r>
              <w:rPr>
                <w:rFonts w:ascii="Cambria Math" w:hAnsi="Cambria Math"/>
                <w:lang w:val="it-IT"/>
              </w:rPr>
              <m:t>E</m:t>
            </m:r>
          </m:sub>
        </m:sSub>
        <m:r>
          <w:rPr>
            <w:rFonts w:ascii="Cambria Math" w:hAnsi="Cambria Math"/>
            <w:lang w:val="en-GB"/>
          </w:rPr>
          <m:t>/</m:t>
        </m:r>
        <m:sSup>
          <m:sSupPr>
            <m:ctrlPr>
              <w:rPr>
                <w:rFonts w:ascii="Cambria Math" w:hAnsi="Cambria Math"/>
                <w:i/>
                <w:lang w:val="it-IT"/>
              </w:rPr>
            </m:ctrlPr>
          </m:sSupPr>
          <m:e>
            <m:r>
              <w:rPr>
                <w:rFonts w:ascii="Cambria Math" w:hAnsi="Cambria Math"/>
                <w:lang w:val="it-IT"/>
              </w:rPr>
              <m:t>m</m:t>
            </m:r>
          </m:e>
          <m:sup>
            <m:r>
              <w:rPr>
                <w:rFonts w:ascii="Cambria Math" w:hAnsi="Cambria Math"/>
                <w:lang w:val="en-GB"/>
              </w:rPr>
              <m:t>3</m:t>
            </m:r>
          </m:sup>
        </m:sSup>
      </m:oMath>
      <w:r w:rsidR="00DE5495" w:rsidRPr="00B3704B">
        <w:rPr>
          <w:lang w:val="en-GB"/>
        </w:rPr>
        <w:t xml:space="preserve"> at 600 m and between </w:t>
      </w:r>
      <m:oMath>
        <m:r>
          <m:rPr>
            <m:sty m:val="p"/>
          </m:rPr>
          <w:rPr>
            <w:rFonts w:ascii="Cambria Math" w:hAnsi="Cambria Math"/>
            <w:lang w:val="en-GB"/>
          </w:rPr>
          <m:t xml:space="preserve">1.16&lt;C&lt;1.47 </m:t>
        </m:r>
        <m:sSub>
          <m:sSubPr>
            <m:ctrlPr>
              <w:rPr>
                <w:rFonts w:ascii="Cambria Math" w:hAnsi="Cambria Math"/>
                <w:lang w:val="it-IT"/>
              </w:rPr>
            </m:ctrlPr>
          </m:sSubPr>
          <m:e>
            <m:r>
              <w:rPr>
                <w:rFonts w:ascii="Cambria Math" w:hAnsi="Cambria Math"/>
                <w:lang w:val="it-IT"/>
              </w:rPr>
              <m:t>ou</m:t>
            </m:r>
          </m:e>
          <m:sub>
            <m:r>
              <w:rPr>
                <w:rFonts w:ascii="Cambria Math" w:hAnsi="Cambria Math"/>
                <w:lang w:val="it-IT"/>
              </w:rPr>
              <m:t>E</m:t>
            </m:r>
          </m:sub>
        </m:sSub>
        <m:r>
          <w:rPr>
            <w:rFonts w:ascii="Cambria Math" w:hAnsi="Cambria Math"/>
            <w:lang w:val="en-GB"/>
          </w:rPr>
          <m:t>/</m:t>
        </m:r>
        <m:sSup>
          <m:sSupPr>
            <m:ctrlPr>
              <w:rPr>
                <w:rFonts w:ascii="Cambria Math" w:hAnsi="Cambria Math"/>
                <w:i/>
                <w:lang w:val="it-IT"/>
              </w:rPr>
            </m:ctrlPr>
          </m:sSupPr>
          <m:e>
            <m:r>
              <w:rPr>
                <w:rFonts w:ascii="Cambria Math" w:hAnsi="Cambria Math"/>
                <w:lang w:val="it-IT"/>
              </w:rPr>
              <m:t>m</m:t>
            </m:r>
          </m:e>
          <m:sup>
            <m:r>
              <w:rPr>
                <w:rFonts w:ascii="Cambria Math" w:hAnsi="Cambria Math"/>
                <w:lang w:val="en-GB"/>
              </w:rPr>
              <m:t>3</m:t>
            </m:r>
          </m:sup>
        </m:sSup>
      </m:oMath>
      <w:r w:rsidR="00DE5495" w:rsidRPr="00B3704B">
        <w:rPr>
          <w:lang w:val="en-GB"/>
        </w:rPr>
        <w:t xml:space="preserve"> at 1200 m.</w:t>
      </w:r>
    </w:p>
    <w:p w14:paraId="2FD3C54A" w14:textId="12013528" w:rsidR="00F829BC" w:rsidRPr="00F829BC" w:rsidRDefault="00EE5A8E" w:rsidP="00F829BC">
      <w:pPr>
        <w:pStyle w:val="CETBodytext"/>
      </w:pPr>
      <w:r w:rsidRPr="00F829BC">
        <w:t>Taking the ratio of the averages for each of the 3 distances of the simulated concentration, a linear trend is observed. In the simulation domain, while remaining lower than that of the areal source, the impact of the stack increases with increasing distance from the emission point (Figures 7).</w:t>
      </w:r>
      <w:r w:rsidR="00F829BC" w:rsidRPr="00F829BC">
        <w:t xml:space="preserve"> This is due to the effect of the fallout of the puff emitted by the stack which impacts more at greater distances</w:t>
      </w:r>
      <w:r w:rsidR="006F255E">
        <w:t>.</w:t>
      </w:r>
    </w:p>
    <w:p w14:paraId="3A7B95DC" w14:textId="77777777" w:rsidR="006F7DCB" w:rsidRDefault="006F7DCB" w:rsidP="006F7DCB">
      <w:pPr>
        <w:pStyle w:val="CETHeading1"/>
        <w:numPr>
          <w:ilvl w:val="0"/>
          <w:numId w:val="0"/>
        </w:numPr>
        <w:rPr>
          <w:lang w:val="en-GB"/>
        </w:rPr>
      </w:pPr>
    </w:p>
    <w:p w14:paraId="35B62B9E" w14:textId="13392050" w:rsidR="006F7DCB" w:rsidRDefault="006F7DCB" w:rsidP="006F7DCB">
      <w:pPr>
        <w:pStyle w:val="CETCaption"/>
      </w:pPr>
      <w:r>
        <w:rPr>
          <w:noProof/>
          <w:lang w:val="it-IT"/>
        </w:rPr>
        <w:drawing>
          <wp:anchor distT="0" distB="0" distL="114300" distR="114300" simplePos="0" relativeHeight="251704320" behindDoc="0" locked="0" layoutInCell="1" allowOverlap="1" wp14:anchorId="20123C05" wp14:editId="4D85707C">
            <wp:simplePos x="0" y="0"/>
            <wp:positionH relativeFrom="margin">
              <wp:posOffset>449580</wp:posOffset>
            </wp:positionH>
            <wp:positionV relativeFrom="paragraph">
              <wp:posOffset>82550</wp:posOffset>
            </wp:positionV>
            <wp:extent cx="4671695" cy="2335530"/>
            <wp:effectExtent l="0" t="0" r="0" b="7620"/>
            <wp:wrapTopAndBottom/>
            <wp:docPr id="523696795" name="Immagine 13"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96795" name="Immagine 13" descr="Immagine che contiene testo, schermata, linea, Diagramma&#10;&#10;Descrizione generata automaticamente"/>
                    <pic:cNvPicPr/>
                  </pic:nvPicPr>
                  <pic:blipFill>
                    <a:blip r:embed="rId17"/>
                    <a:stretch>
                      <a:fillRect/>
                    </a:stretch>
                  </pic:blipFill>
                  <pic:spPr>
                    <a:xfrm>
                      <a:off x="0" y="0"/>
                      <a:ext cx="4671695" cy="2335530"/>
                    </a:xfrm>
                    <a:prstGeom prst="rect">
                      <a:avLst/>
                    </a:prstGeom>
                  </pic:spPr>
                </pic:pic>
              </a:graphicData>
            </a:graphic>
            <wp14:sizeRelH relativeFrom="margin">
              <wp14:pctWidth>0</wp14:pctWidth>
            </wp14:sizeRelH>
            <wp14:sizeRelV relativeFrom="margin">
              <wp14:pctHeight>0</wp14:pctHeight>
            </wp14:sizeRelV>
          </wp:anchor>
        </w:drawing>
      </w:r>
      <w:r w:rsidRPr="00B3704B">
        <w:t xml:space="preserve">Figure 7: Ratio </w:t>
      </w:r>
      <m:oMath>
        <m:f>
          <m:fPr>
            <m:type m:val="lin"/>
            <m:ctrlPr>
              <w:rPr>
                <w:rFonts w:ascii="Cambria Math" w:hAnsi="Cambria Math"/>
                <w:lang w:val="it-IT"/>
              </w:rPr>
            </m:ctrlPr>
          </m:fPr>
          <m:num>
            <m:sSub>
              <m:sSubPr>
                <m:ctrlPr>
                  <w:rPr>
                    <w:rFonts w:ascii="Cambria Math" w:hAnsi="Cambria Math"/>
                    <w:lang w:val="it-IT"/>
                  </w:rPr>
                </m:ctrlPr>
              </m:sSubPr>
              <m:e>
                <m:acc>
                  <m:accPr>
                    <m:chr m:val="̅"/>
                    <m:ctrlPr>
                      <w:rPr>
                        <w:rFonts w:ascii="Cambria Math" w:hAnsi="Cambria Math"/>
                        <w:lang w:val="it-IT"/>
                      </w:rPr>
                    </m:ctrlPr>
                  </m:accPr>
                  <m:e>
                    <m:r>
                      <w:rPr>
                        <w:rFonts w:ascii="Cambria Math" w:hAnsi="Cambria Math"/>
                        <w:lang w:val="it-IT"/>
                      </w:rPr>
                      <m:t>C</m:t>
                    </m:r>
                  </m:e>
                </m:acc>
              </m:e>
              <m:sub>
                <m:r>
                  <w:rPr>
                    <w:rFonts w:ascii="Cambria Math" w:hAnsi="Cambria Math"/>
                    <w:lang w:val="it-IT"/>
                  </w:rPr>
                  <m:t>scenario</m:t>
                </m:r>
                <m:r>
                  <w:rPr>
                    <w:rFonts w:ascii="Cambria Math" w:hAnsi="Cambria Math"/>
                  </w:rPr>
                  <m:t xml:space="preserve"> 1</m:t>
                </m:r>
              </m:sub>
            </m:sSub>
          </m:num>
          <m:den>
            <m:sSub>
              <m:sSubPr>
                <m:ctrlPr>
                  <w:rPr>
                    <w:rFonts w:ascii="Cambria Math" w:hAnsi="Cambria Math"/>
                    <w:lang w:val="it-IT"/>
                  </w:rPr>
                </m:ctrlPr>
              </m:sSubPr>
              <m:e>
                <m:acc>
                  <m:accPr>
                    <m:chr m:val="̅"/>
                    <m:ctrlPr>
                      <w:rPr>
                        <w:rFonts w:ascii="Cambria Math" w:hAnsi="Cambria Math"/>
                        <w:lang w:val="it-IT"/>
                      </w:rPr>
                    </m:ctrlPr>
                  </m:accPr>
                  <m:e>
                    <m:r>
                      <w:rPr>
                        <w:rFonts w:ascii="Cambria Math" w:hAnsi="Cambria Math"/>
                        <w:lang w:val="it-IT"/>
                      </w:rPr>
                      <m:t>C</m:t>
                    </m:r>
                  </m:e>
                </m:acc>
              </m:e>
              <m:sub>
                <m:r>
                  <w:rPr>
                    <w:rFonts w:ascii="Cambria Math" w:hAnsi="Cambria Math"/>
                    <w:lang w:val="it-IT"/>
                  </w:rPr>
                  <m:t>scenario</m:t>
                </m:r>
                <m:r>
                  <w:rPr>
                    <w:rFonts w:ascii="Cambria Math" w:hAnsi="Cambria Math"/>
                  </w:rPr>
                  <m:t xml:space="preserve"> 2</m:t>
                </m:r>
              </m:sub>
            </m:sSub>
          </m:den>
        </m:f>
      </m:oMath>
      <w:r>
        <w:rPr>
          <w:lang w:val="it-IT"/>
        </w:rPr>
        <w:t xml:space="preserve"> </w:t>
      </w:r>
      <w:r w:rsidRPr="00B3704B">
        <w:t xml:space="preserve">of simulated mean values at the </w:t>
      </w:r>
      <w:r>
        <w:t>receptors</w:t>
      </w:r>
      <w:r w:rsidRPr="00B3704B">
        <w:t>. Full line on the plot indicates the linear fit on the three points.</w:t>
      </w:r>
    </w:p>
    <w:p w14:paraId="68D26B83" w14:textId="5DC3A5A2" w:rsidR="00600535" w:rsidRPr="00B57B36" w:rsidRDefault="00600535" w:rsidP="00600535">
      <w:pPr>
        <w:pStyle w:val="CETHeading1"/>
        <w:rPr>
          <w:lang w:val="en-GB"/>
        </w:rPr>
      </w:pPr>
      <w:r w:rsidRPr="00B57B36">
        <w:rPr>
          <w:lang w:val="en-GB"/>
        </w:rPr>
        <w:t>Conclusions</w:t>
      </w:r>
    </w:p>
    <w:p w14:paraId="7897B581" w14:textId="1DD32F9D" w:rsidR="00BD18AB" w:rsidRDefault="00BD18AB" w:rsidP="003371F1">
      <w:pPr>
        <w:pStyle w:val="CETBodytext"/>
        <w:rPr>
          <w:lang w:val="en-GB"/>
        </w:rPr>
      </w:pPr>
      <w:r w:rsidRPr="00BD18AB">
        <w:rPr>
          <w:lang w:val="en-GB"/>
        </w:rPr>
        <w:t xml:space="preserve">This </w:t>
      </w:r>
      <w:r w:rsidR="005C1620">
        <w:rPr>
          <w:lang w:val="en-GB"/>
        </w:rPr>
        <w:t>study</w:t>
      </w:r>
      <w:r w:rsidRPr="00BD18AB">
        <w:rPr>
          <w:lang w:val="en-GB"/>
        </w:rPr>
        <w:t xml:space="preserve"> aimed to s</w:t>
      </w:r>
      <w:r>
        <w:rPr>
          <w:lang w:val="en-GB"/>
        </w:rPr>
        <w:t xml:space="preserve">imulate odour impact of two ideal sources </w:t>
      </w:r>
      <w:r w:rsidR="005C1620">
        <w:rPr>
          <w:lang w:val="en-GB"/>
        </w:rPr>
        <w:t>while examining their trend under different meteorological conditions at four selected sites.</w:t>
      </w:r>
    </w:p>
    <w:p w14:paraId="136115BD" w14:textId="1479323C" w:rsidR="006F255E" w:rsidRDefault="003D34B2" w:rsidP="003371F1">
      <w:pPr>
        <w:pStyle w:val="CETBodytext"/>
        <w:rPr>
          <w:lang w:val="en-GB"/>
        </w:rPr>
      </w:pPr>
      <w:r w:rsidRPr="003D34B2">
        <w:rPr>
          <w:lang w:val="en-GB"/>
        </w:rPr>
        <w:t xml:space="preserve">For each </w:t>
      </w:r>
      <w:r w:rsidR="005C1620">
        <w:rPr>
          <w:lang w:val="en-GB"/>
        </w:rPr>
        <w:t>scenario analyzed</w:t>
      </w:r>
      <w:r w:rsidRPr="003D34B2">
        <w:rPr>
          <w:lang w:val="en-GB"/>
        </w:rPr>
        <w:t xml:space="preserve"> the </w:t>
      </w:r>
      <w:r>
        <w:rPr>
          <w:lang w:val="en-GB"/>
        </w:rPr>
        <w:t>odour concentration</w:t>
      </w:r>
      <w:r w:rsidRPr="003D34B2">
        <w:rPr>
          <w:lang w:val="en-GB"/>
        </w:rPr>
        <w:t xml:space="preserve"> at receptors located in all directions around the sources was simulated.</w:t>
      </w:r>
    </w:p>
    <w:p w14:paraId="701E0D7B" w14:textId="6A69AA5A" w:rsidR="00355395" w:rsidRDefault="00355395" w:rsidP="003371F1">
      <w:pPr>
        <w:pStyle w:val="CETBodytext"/>
        <w:rPr>
          <w:lang w:val="en-GB"/>
        </w:rPr>
      </w:pPr>
      <w:r w:rsidRPr="00355395">
        <w:rPr>
          <w:lang w:val="en-GB"/>
        </w:rPr>
        <w:t xml:space="preserve">The results obtained </w:t>
      </w:r>
      <w:r w:rsidR="005C1620">
        <w:rPr>
          <w:lang w:val="en-GB"/>
        </w:rPr>
        <w:t>reveal</w:t>
      </w:r>
      <w:r w:rsidRPr="00355395">
        <w:rPr>
          <w:lang w:val="en-GB"/>
        </w:rPr>
        <w:t xml:space="preserve"> that the impact of the stack is </w:t>
      </w:r>
      <w:r w:rsidR="005C1620">
        <w:rPr>
          <w:lang w:val="en-GB"/>
        </w:rPr>
        <w:t>consistently approximately 20 percent</w:t>
      </w:r>
      <w:r w:rsidRPr="00355395">
        <w:rPr>
          <w:lang w:val="en-GB"/>
        </w:rPr>
        <w:t xml:space="preserve"> compared with the areal source</w:t>
      </w:r>
      <w:r w:rsidR="005C1620">
        <w:rPr>
          <w:lang w:val="en-GB"/>
        </w:rPr>
        <w:t xml:space="preserve"> across all locations and receptors. Notably, i</w:t>
      </w:r>
      <w:r w:rsidRPr="00355395">
        <w:rPr>
          <w:lang w:val="en-GB"/>
        </w:rPr>
        <w:t xml:space="preserve">n the latter case, the </w:t>
      </w:r>
      <w:r w:rsidR="005C1620" w:rsidRPr="00355395">
        <w:rPr>
          <w:lang w:val="en-GB"/>
        </w:rPr>
        <w:t>odour</w:t>
      </w:r>
      <w:r w:rsidRPr="00355395">
        <w:rPr>
          <w:lang w:val="en-GB"/>
        </w:rPr>
        <w:t xml:space="preserve"> concentration</w:t>
      </w:r>
      <w:r w:rsidR="005C1620">
        <w:rPr>
          <w:lang w:val="en-GB"/>
        </w:rPr>
        <w:t xml:space="preserve"> trend correlated closely</w:t>
      </w:r>
      <w:r w:rsidRPr="00355395">
        <w:rPr>
          <w:lang w:val="en-GB"/>
        </w:rPr>
        <w:t xml:space="preserve"> with the wind direction, </w:t>
      </w:r>
      <w:r w:rsidR="005C1620">
        <w:rPr>
          <w:lang w:val="en-GB"/>
        </w:rPr>
        <w:t xml:space="preserve">particularly in close proximity to </w:t>
      </w:r>
      <w:r w:rsidRPr="00355395">
        <w:rPr>
          <w:lang w:val="en-GB"/>
        </w:rPr>
        <w:t>the source (300 m).</w:t>
      </w:r>
    </w:p>
    <w:p w14:paraId="688808A4" w14:textId="30DF073A" w:rsidR="00E033FE" w:rsidRPr="009676DD" w:rsidRDefault="005C1620" w:rsidP="003371F1">
      <w:pPr>
        <w:pStyle w:val="CETBodytext"/>
        <w:rPr>
          <w:lang w:val="en-GB"/>
        </w:rPr>
      </w:pPr>
      <w:r>
        <w:rPr>
          <w:lang w:val="en-GB"/>
        </w:rPr>
        <w:t>Furthermore, i</w:t>
      </w:r>
      <w:r w:rsidR="009676DD">
        <w:rPr>
          <w:lang w:val="en-GB"/>
        </w:rPr>
        <w:t>t was observed that</w:t>
      </w:r>
      <w:r>
        <w:rPr>
          <w:lang w:val="en-GB"/>
        </w:rPr>
        <w:t xml:space="preserve"> as distance from the source increased,</w:t>
      </w:r>
      <w:r w:rsidR="009676DD">
        <w:rPr>
          <w:lang w:val="en-GB"/>
        </w:rPr>
        <w:t xml:space="preserve"> the ratio </w:t>
      </w:r>
      <m:oMath>
        <m:f>
          <m:fPr>
            <m:type m:val="lin"/>
            <m:ctrlPr>
              <w:rPr>
                <w:rFonts w:ascii="Cambria Math" w:hAnsi="Cambria Math"/>
                <w:i/>
                <w:lang w:val="it-IT"/>
              </w:rPr>
            </m:ctrlPr>
          </m:fPr>
          <m:num>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C</m:t>
                    </m:r>
                  </m:e>
                </m:acc>
              </m:e>
              <m:sub>
                <m:r>
                  <w:rPr>
                    <w:rFonts w:ascii="Cambria Math" w:hAnsi="Cambria Math"/>
                    <w:lang w:val="it-IT"/>
                  </w:rPr>
                  <m:t>scenario</m:t>
                </m:r>
                <m:r>
                  <w:rPr>
                    <w:rFonts w:ascii="Cambria Math" w:hAnsi="Cambria Math"/>
                    <w:lang w:val="en-GB"/>
                  </w:rPr>
                  <m:t xml:space="preserve"> 1</m:t>
                </m:r>
              </m:sub>
            </m:sSub>
          </m:num>
          <m:den>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C</m:t>
                    </m:r>
                  </m:e>
                </m:acc>
              </m:e>
              <m:sub>
                <m:r>
                  <w:rPr>
                    <w:rFonts w:ascii="Cambria Math" w:hAnsi="Cambria Math"/>
                    <w:lang w:val="it-IT"/>
                  </w:rPr>
                  <m:t>scenario</m:t>
                </m:r>
                <m:r>
                  <w:rPr>
                    <w:rFonts w:ascii="Cambria Math" w:hAnsi="Cambria Math"/>
                    <w:lang w:val="en-GB"/>
                  </w:rPr>
                  <m:t xml:space="preserve"> 2</m:t>
                </m:r>
              </m:sub>
            </m:sSub>
          </m:den>
        </m:f>
      </m:oMath>
      <w:r w:rsidR="009676DD">
        <w:rPr>
          <w:lang w:val="en-GB"/>
        </w:rPr>
        <w:t xml:space="preserve"> increases linearly.</w:t>
      </w:r>
      <w:r w:rsidR="009676DD" w:rsidRPr="009676DD">
        <w:rPr>
          <w:lang w:val="en-GB"/>
        </w:rPr>
        <w:t xml:space="preserve"> </w:t>
      </w:r>
    </w:p>
    <w:p w14:paraId="0FD3D905" w14:textId="607F9F99" w:rsidR="00BD18AB" w:rsidRPr="009676DD" w:rsidRDefault="00BD18AB" w:rsidP="003371F1">
      <w:pPr>
        <w:pStyle w:val="CETBodytext"/>
        <w:rPr>
          <w:lang w:val="en-GB"/>
        </w:rPr>
      </w:pPr>
    </w:p>
    <w:p w14:paraId="4F1327F8" w14:textId="49DE2457" w:rsidR="00600535" w:rsidRPr="00AE6A01" w:rsidRDefault="00600535" w:rsidP="00600535">
      <w:pPr>
        <w:pStyle w:val="CETReference"/>
        <w:rPr>
          <w:lang w:val="it-IT"/>
        </w:rPr>
      </w:pPr>
      <w:r w:rsidRPr="00AE6A01">
        <w:rPr>
          <w:lang w:val="it-IT"/>
        </w:rPr>
        <w:t>References</w:t>
      </w:r>
    </w:p>
    <w:p w14:paraId="56A07D0A" w14:textId="7A454081" w:rsidR="00752D27" w:rsidRDefault="00D43090" w:rsidP="00752D27">
      <w:pPr>
        <w:pStyle w:val="CETReferencetext"/>
        <w:rPr>
          <w:rStyle w:val="Collegamentoipertestuale"/>
        </w:rPr>
      </w:pPr>
      <w:r w:rsidRPr="00D43090">
        <w:t xml:space="preserve">Arregocés H. A., Rojano R., </w:t>
      </w:r>
      <w:r w:rsidR="00752D27">
        <w:t xml:space="preserve">2023, </w:t>
      </w:r>
      <w:r w:rsidRPr="00D43090">
        <w:t>Sensitivity of</w:t>
      </w:r>
      <w:r>
        <w:t xml:space="preserve"> the CALMET-CALPUFF model system on estimating PM10 concentrations at a mining site in northern Colombia</w:t>
      </w:r>
      <w:r w:rsidR="00752D27">
        <w:t xml:space="preserve">, Case Studies in Chemical and Environmental Engineering 8, </w:t>
      </w:r>
      <w:hyperlink r:id="rId18" w:history="1">
        <w:r w:rsidR="00752D27" w:rsidRPr="00E20266">
          <w:rPr>
            <w:rStyle w:val="Collegamentoipertestuale"/>
          </w:rPr>
          <w:t>https://doi.org/10.1016/j.cscee.2023.100402</w:t>
        </w:r>
      </w:hyperlink>
    </w:p>
    <w:p w14:paraId="70CE6AC0" w14:textId="3828D663" w:rsidR="00DD36D3" w:rsidRDefault="00DD36D3" w:rsidP="00DD36D3">
      <w:pPr>
        <w:pStyle w:val="CETReferencetext"/>
      </w:pPr>
      <w:r>
        <w:t>Arya, S. Pal, 1999, Air pollution meteorology and dispersion</w:t>
      </w:r>
    </w:p>
    <w:p w14:paraId="211498CE" w14:textId="384ED0D0" w:rsidR="00124A35" w:rsidRDefault="00124A35" w:rsidP="00DD36D3">
      <w:pPr>
        <w:pStyle w:val="CETReferencetext"/>
      </w:pPr>
      <w:r w:rsidRPr="00B3704B">
        <w:t>Department of Environment and Conservation,</w:t>
      </w:r>
      <w:r>
        <w:t xml:space="preserve"> 2005,</w:t>
      </w:r>
      <w:r w:rsidRPr="00B3704B">
        <w:t xml:space="preserve"> Sydney, New South Wales, document 'DEC 2005/361'</w:t>
      </w:r>
    </w:p>
    <w:p w14:paraId="36A45C08" w14:textId="182A8B1B" w:rsidR="00DD36D3" w:rsidRDefault="00000000" w:rsidP="00DD36D3">
      <w:pPr>
        <w:pStyle w:val="CETReferencetext"/>
      </w:pPr>
      <w:hyperlink r:id="rId19" w:history="1">
        <w:r w:rsidR="00DD36D3" w:rsidRPr="006C37B5">
          <w:rPr>
            <w:rStyle w:val="Collegamentoipertestuale"/>
          </w:rPr>
          <w:t>https://land.copernicus.eu/en</w:t>
        </w:r>
      </w:hyperlink>
    </w:p>
    <w:p w14:paraId="635B0A3B" w14:textId="6444E41E" w:rsidR="00DD36D3" w:rsidRDefault="00000000" w:rsidP="00DD36D3">
      <w:pPr>
        <w:pStyle w:val="CETReferencetext"/>
      </w:pPr>
      <w:hyperlink r:id="rId20" w:history="1">
        <w:r w:rsidR="00DD36D3" w:rsidRPr="006C37B5">
          <w:rPr>
            <w:rStyle w:val="Collegamentoipertestuale"/>
          </w:rPr>
          <w:t>https://www.arpae.it/it/temi-ambientali/meteo/scopri-di-piu/il-modello-meteorologico-cosmo-lami</w:t>
        </w:r>
      </w:hyperlink>
    </w:p>
    <w:p w14:paraId="18915A40" w14:textId="77777777" w:rsidR="00DD36D3" w:rsidRDefault="00DD36D3" w:rsidP="00DD36D3">
      <w:pPr>
        <w:pStyle w:val="CETReferencetext"/>
      </w:pPr>
      <w:r>
        <w:t>Juneng L., Latif M.T., Tangang F., 2011. Factors inﬂuencing the variations of PM10 aerosol dust in Klang Valley, Malaysia during the summer. Atmos. Environ. 45, 4370-4378.</w:t>
      </w:r>
    </w:p>
    <w:p w14:paraId="76E05E5F" w14:textId="02562BA8" w:rsidR="00DD36D3" w:rsidRDefault="00DD36D3" w:rsidP="00DD36D3">
      <w:pPr>
        <w:pStyle w:val="CETReferencetext"/>
      </w:pPr>
      <w:r>
        <w:t>Nyrén K, Gryning S. E., 1999, Nomogram for the height of the daytime mixed layer, Boundary-Layer Meteorology 91</w:t>
      </w:r>
    </w:p>
    <w:p w14:paraId="6155360F" w14:textId="6397F56C" w:rsidR="009318E3" w:rsidRDefault="009318E3" w:rsidP="009318E3">
      <w:pPr>
        <w:pStyle w:val="CETReferencetext"/>
        <w:rPr>
          <w:lang w:val="it-IT"/>
        </w:rPr>
      </w:pPr>
      <w:r w:rsidRPr="009318E3">
        <w:rPr>
          <w:lang w:val="it-IT"/>
        </w:rPr>
        <w:t>Regione Lombardia</w:t>
      </w:r>
      <w:r>
        <w:rPr>
          <w:lang w:val="it-IT"/>
        </w:rPr>
        <w:t>, 2012,</w:t>
      </w:r>
      <w:r w:rsidRPr="009318E3">
        <w:rPr>
          <w:lang w:val="it-IT"/>
        </w:rPr>
        <w:t xml:space="preserve"> D.</w:t>
      </w:r>
      <w:r>
        <w:rPr>
          <w:lang w:val="it-IT"/>
        </w:rPr>
        <w:t>G</w:t>
      </w:r>
      <w:r w:rsidRPr="009318E3">
        <w:rPr>
          <w:lang w:val="it-IT"/>
        </w:rPr>
        <w:t>.</w:t>
      </w:r>
      <w:r>
        <w:rPr>
          <w:lang w:val="it-IT"/>
        </w:rPr>
        <w:t>R</w:t>
      </w:r>
      <w:r w:rsidRPr="009318E3">
        <w:rPr>
          <w:lang w:val="it-IT"/>
        </w:rPr>
        <w:t>. n. IX/3018 Determinazioni generali in merito alla caratterizzazione delle emissioni gassose in atmosfera derivanti da attivit</w:t>
      </w:r>
      <w:r>
        <w:rPr>
          <w:lang w:val="it-IT"/>
        </w:rPr>
        <w:t>à</w:t>
      </w:r>
      <w:r w:rsidRPr="009318E3">
        <w:rPr>
          <w:lang w:val="it-IT"/>
        </w:rPr>
        <w:t xml:space="preserve"> a forte impatto</w:t>
      </w:r>
      <w:r w:rsidR="00A24B71">
        <w:rPr>
          <w:lang w:val="it-IT"/>
        </w:rPr>
        <w:t xml:space="preserve"> </w:t>
      </w:r>
      <w:r w:rsidRPr="009318E3">
        <w:rPr>
          <w:lang w:val="it-IT"/>
        </w:rPr>
        <w:t>odorigeno.</w:t>
      </w:r>
    </w:p>
    <w:p w14:paraId="431883F1" w14:textId="42CD97C9" w:rsidR="00DD36D3" w:rsidRPr="00DD36D3" w:rsidRDefault="00DD36D3" w:rsidP="00DD36D3">
      <w:pPr>
        <w:pStyle w:val="CETReferencetext"/>
      </w:pPr>
      <w:r>
        <w:t xml:space="preserve">Scire J.S., Strimaitis D.G., Yamartino R.J., 2000, A User’s Guide for the CALPUFF Dispersion Model, Earth Tech. Inc., 2000, </w:t>
      </w:r>
      <w:hyperlink r:id="rId21" w:history="1">
        <w:r w:rsidRPr="00E20266">
          <w:rPr>
            <w:rStyle w:val="Collegamentoipertestuale"/>
          </w:rPr>
          <w:t>http://www.src.com/calpuff/download/CALPUFF%7B_%7DUsersGuide.pdf</w:t>
        </w:r>
      </w:hyperlink>
    </w:p>
    <w:p w14:paraId="4E879C3F" w14:textId="16EAE175" w:rsidR="00A24B71" w:rsidRDefault="00995495" w:rsidP="00995495">
      <w:pPr>
        <w:pStyle w:val="CETReferencetext"/>
      </w:pPr>
      <w:r w:rsidRPr="00995495">
        <w:t>Seinfeld J.H., Pandis S.N., 2006. Atmospheric Chemistry and Physics from Air</w:t>
      </w:r>
      <w:r>
        <w:t xml:space="preserve"> </w:t>
      </w:r>
      <w:r w:rsidRPr="00995495">
        <w:t>Pollution to Climate Change, 2 ed. Wiley, New Jersey.</w:t>
      </w:r>
    </w:p>
    <w:p w14:paraId="0A0CDAC2" w14:textId="3571089F" w:rsidR="00DD36D3" w:rsidRDefault="00DD36D3" w:rsidP="00DD36D3">
      <w:pPr>
        <w:pStyle w:val="CETReferencetext"/>
      </w:pPr>
      <w:r>
        <w:t>Tagliaferri F.</w:t>
      </w:r>
      <w:r w:rsidRPr="006B4888">
        <w:t xml:space="preserve">, </w:t>
      </w:r>
      <w:r>
        <w:t>Facagni L., Invernizzi M, Sironi S.</w:t>
      </w:r>
      <w:r w:rsidRPr="006B4888">
        <w:t>, 20</w:t>
      </w:r>
      <w:r>
        <w:t>23</w:t>
      </w:r>
      <w:r w:rsidRPr="006B4888">
        <w:t xml:space="preserve">, </w:t>
      </w:r>
      <w:r>
        <w:t xml:space="preserve">Variability in odour impact assessment due to different cloud cover estimation approaches: A northern Italy case study, Case Studies in Chemical and Environmental Engineering 8, </w:t>
      </w:r>
      <w:hyperlink r:id="rId22" w:history="1">
        <w:r w:rsidRPr="0095775A">
          <w:rPr>
            <w:rStyle w:val="Collegamentoipertestuale"/>
          </w:rPr>
          <w:t>https://doi.org/10.1016/j.cscee.2023.100492</w:t>
        </w:r>
      </w:hyperlink>
    </w:p>
    <w:sectPr w:rsidR="00DD36D3" w:rsidSect="00487A4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158C1" w14:textId="77777777" w:rsidR="00487A41" w:rsidRDefault="00487A41" w:rsidP="004F5E36">
      <w:r>
        <w:separator/>
      </w:r>
    </w:p>
  </w:endnote>
  <w:endnote w:type="continuationSeparator" w:id="0">
    <w:p w14:paraId="2F1E985C" w14:textId="77777777" w:rsidR="00487A41" w:rsidRDefault="00487A4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9AFE" w14:textId="77777777" w:rsidR="00487A41" w:rsidRDefault="00487A41" w:rsidP="004F5E36">
      <w:r>
        <w:separator/>
      </w:r>
    </w:p>
  </w:footnote>
  <w:footnote w:type="continuationSeparator" w:id="0">
    <w:p w14:paraId="5E8827E8" w14:textId="77777777" w:rsidR="00487A41" w:rsidRDefault="00487A4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865AB4C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6251964"/>
    <w:multiLevelType w:val="hybridMultilevel"/>
    <w:tmpl w:val="DE7E033A"/>
    <w:lvl w:ilvl="0" w:tplc="E5300A8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4516395">
    <w:abstractNumId w:val="10"/>
  </w:num>
  <w:num w:numId="2" w16cid:durableId="1693460582">
    <w:abstractNumId w:val="8"/>
  </w:num>
  <w:num w:numId="3" w16cid:durableId="509494628">
    <w:abstractNumId w:val="3"/>
  </w:num>
  <w:num w:numId="4" w16cid:durableId="1188911628">
    <w:abstractNumId w:val="2"/>
  </w:num>
  <w:num w:numId="5" w16cid:durableId="1509785167">
    <w:abstractNumId w:val="1"/>
  </w:num>
  <w:num w:numId="6" w16cid:durableId="109083628">
    <w:abstractNumId w:val="0"/>
  </w:num>
  <w:num w:numId="7" w16cid:durableId="1700157459">
    <w:abstractNumId w:val="9"/>
  </w:num>
  <w:num w:numId="8" w16cid:durableId="562526356">
    <w:abstractNumId w:val="7"/>
  </w:num>
  <w:num w:numId="9" w16cid:durableId="183717702">
    <w:abstractNumId w:val="6"/>
  </w:num>
  <w:num w:numId="10" w16cid:durableId="1069696268">
    <w:abstractNumId w:val="5"/>
  </w:num>
  <w:num w:numId="11" w16cid:durableId="1514224657">
    <w:abstractNumId w:val="4"/>
  </w:num>
  <w:num w:numId="12" w16cid:durableId="38894699">
    <w:abstractNumId w:val="17"/>
  </w:num>
  <w:num w:numId="13" w16cid:durableId="736131637">
    <w:abstractNumId w:val="12"/>
  </w:num>
  <w:num w:numId="14" w16cid:durableId="352997145">
    <w:abstractNumId w:val="19"/>
  </w:num>
  <w:num w:numId="15" w16cid:durableId="137839748">
    <w:abstractNumId w:val="21"/>
  </w:num>
  <w:num w:numId="16" w16cid:durableId="1284338746">
    <w:abstractNumId w:val="20"/>
  </w:num>
  <w:num w:numId="17" w16cid:durableId="1331055509">
    <w:abstractNumId w:val="11"/>
  </w:num>
  <w:num w:numId="18" w16cid:durableId="221135817">
    <w:abstractNumId w:val="12"/>
    <w:lvlOverride w:ilvl="0">
      <w:startOverride w:val="1"/>
    </w:lvlOverride>
  </w:num>
  <w:num w:numId="19" w16cid:durableId="479854872">
    <w:abstractNumId w:val="16"/>
  </w:num>
  <w:num w:numId="20" w16cid:durableId="1942950572">
    <w:abstractNumId w:val="15"/>
  </w:num>
  <w:num w:numId="21" w16cid:durableId="463234532">
    <w:abstractNumId w:val="14"/>
  </w:num>
  <w:num w:numId="22" w16cid:durableId="1494024726">
    <w:abstractNumId w:val="13"/>
  </w:num>
  <w:num w:numId="23" w16cid:durableId="1010369822">
    <w:abstractNumId w:val="18"/>
  </w:num>
  <w:num w:numId="24" w16cid:durableId="2146314493">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D04"/>
    <w:rsid w:val="0000239E"/>
    <w:rsid w:val="000027C0"/>
    <w:rsid w:val="000052FB"/>
    <w:rsid w:val="000117CB"/>
    <w:rsid w:val="00014604"/>
    <w:rsid w:val="0003148D"/>
    <w:rsid w:val="00031EEC"/>
    <w:rsid w:val="00051566"/>
    <w:rsid w:val="0005409F"/>
    <w:rsid w:val="000614C3"/>
    <w:rsid w:val="00062A9A"/>
    <w:rsid w:val="00065058"/>
    <w:rsid w:val="00085F6D"/>
    <w:rsid w:val="00086C39"/>
    <w:rsid w:val="000879C1"/>
    <w:rsid w:val="000A03B2"/>
    <w:rsid w:val="000D0268"/>
    <w:rsid w:val="000D34BE"/>
    <w:rsid w:val="000E102F"/>
    <w:rsid w:val="000E23CE"/>
    <w:rsid w:val="000E36F1"/>
    <w:rsid w:val="000E3A73"/>
    <w:rsid w:val="000E414A"/>
    <w:rsid w:val="000F093C"/>
    <w:rsid w:val="000F787B"/>
    <w:rsid w:val="001108CB"/>
    <w:rsid w:val="0012091F"/>
    <w:rsid w:val="00124A35"/>
    <w:rsid w:val="00126BC2"/>
    <w:rsid w:val="001308B6"/>
    <w:rsid w:val="0013121F"/>
    <w:rsid w:val="001316F4"/>
    <w:rsid w:val="00131FE6"/>
    <w:rsid w:val="001320E5"/>
    <w:rsid w:val="0013263F"/>
    <w:rsid w:val="001331DF"/>
    <w:rsid w:val="001339A9"/>
    <w:rsid w:val="00134DE4"/>
    <w:rsid w:val="0014034D"/>
    <w:rsid w:val="00144D16"/>
    <w:rsid w:val="00150E59"/>
    <w:rsid w:val="00152DE3"/>
    <w:rsid w:val="0015580E"/>
    <w:rsid w:val="0016099A"/>
    <w:rsid w:val="00164CF9"/>
    <w:rsid w:val="001667A6"/>
    <w:rsid w:val="001761BC"/>
    <w:rsid w:val="001762C4"/>
    <w:rsid w:val="00184AD6"/>
    <w:rsid w:val="00195BD0"/>
    <w:rsid w:val="001A4AF7"/>
    <w:rsid w:val="001B0349"/>
    <w:rsid w:val="001B1E93"/>
    <w:rsid w:val="001B446C"/>
    <w:rsid w:val="001B65C1"/>
    <w:rsid w:val="001C684B"/>
    <w:rsid w:val="001D0CFB"/>
    <w:rsid w:val="001D21AF"/>
    <w:rsid w:val="001D2EF0"/>
    <w:rsid w:val="001D53FC"/>
    <w:rsid w:val="001D7E7B"/>
    <w:rsid w:val="001E5833"/>
    <w:rsid w:val="001F0D54"/>
    <w:rsid w:val="001F1F7E"/>
    <w:rsid w:val="001F42A5"/>
    <w:rsid w:val="001F48A8"/>
    <w:rsid w:val="001F7B9D"/>
    <w:rsid w:val="002006BD"/>
    <w:rsid w:val="00201C93"/>
    <w:rsid w:val="002224B4"/>
    <w:rsid w:val="002373F9"/>
    <w:rsid w:val="002447EF"/>
    <w:rsid w:val="00245B16"/>
    <w:rsid w:val="002500B2"/>
    <w:rsid w:val="00251550"/>
    <w:rsid w:val="00252B6B"/>
    <w:rsid w:val="002571D5"/>
    <w:rsid w:val="00263B05"/>
    <w:rsid w:val="0027221A"/>
    <w:rsid w:val="00275677"/>
    <w:rsid w:val="00275B61"/>
    <w:rsid w:val="00280FAF"/>
    <w:rsid w:val="00282656"/>
    <w:rsid w:val="002855EC"/>
    <w:rsid w:val="00296B83"/>
    <w:rsid w:val="002B2061"/>
    <w:rsid w:val="002B4015"/>
    <w:rsid w:val="002B78CE"/>
    <w:rsid w:val="002B7914"/>
    <w:rsid w:val="002C2FB6"/>
    <w:rsid w:val="002D1B9B"/>
    <w:rsid w:val="002E0A9C"/>
    <w:rsid w:val="002E5FA7"/>
    <w:rsid w:val="002E7F3F"/>
    <w:rsid w:val="002F3309"/>
    <w:rsid w:val="002F49AE"/>
    <w:rsid w:val="002F6532"/>
    <w:rsid w:val="003008CE"/>
    <w:rsid w:val="003009B7"/>
    <w:rsid w:val="00300E56"/>
    <w:rsid w:val="0030469C"/>
    <w:rsid w:val="00304BBF"/>
    <w:rsid w:val="00321CA6"/>
    <w:rsid w:val="00323763"/>
    <w:rsid w:val="00323C5F"/>
    <w:rsid w:val="00334C09"/>
    <w:rsid w:val="003371F1"/>
    <w:rsid w:val="00342ECD"/>
    <w:rsid w:val="00355395"/>
    <w:rsid w:val="00360598"/>
    <w:rsid w:val="00360CA0"/>
    <w:rsid w:val="00362880"/>
    <w:rsid w:val="00364D3A"/>
    <w:rsid w:val="003723D4"/>
    <w:rsid w:val="003812F9"/>
    <w:rsid w:val="00381905"/>
    <w:rsid w:val="003846A5"/>
    <w:rsid w:val="00384CC8"/>
    <w:rsid w:val="003871FD"/>
    <w:rsid w:val="003A16F0"/>
    <w:rsid w:val="003A1E30"/>
    <w:rsid w:val="003A2829"/>
    <w:rsid w:val="003A3ACD"/>
    <w:rsid w:val="003A5C8D"/>
    <w:rsid w:val="003A7D1C"/>
    <w:rsid w:val="003B304B"/>
    <w:rsid w:val="003B3146"/>
    <w:rsid w:val="003C1EAC"/>
    <w:rsid w:val="003C2F6B"/>
    <w:rsid w:val="003D1291"/>
    <w:rsid w:val="003D34B2"/>
    <w:rsid w:val="003E7ED1"/>
    <w:rsid w:val="003F015E"/>
    <w:rsid w:val="00400414"/>
    <w:rsid w:val="0041446B"/>
    <w:rsid w:val="0042121F"/>
    <w:rsid w:val="00430D7A"/>
    <w:rsid w:val="0044071E"/>
    <w:rsid w:val="0044329C"/>
    <w:rsid w:val="00453E24"/>
    <w:rsid w:val="00457456"/>
    <w:rsid w:val="004577FE"/>
    <w:rsid w:val="00457B9C"/>
    <w:rsid w:val="0046164A"/>
    <w:rsid w:val="004628D2"/>
    <w:rsid w:val="00462DCD"/>
    <w:rsid w:val="004648AD"/>
    <w:rsid w:val="00466E55"/>
    <w:rsid w:val="004703A9"/>
    <w:rsid w:val="00475C86"/>
    <w:rsid w:val="004760DE"/>
    <w:rsid w:val="004763D7"/>
    <w:rsid w:val="00487A41"/>
    <w:rsid w:val="004A004E"/>
    <w:rsid w:val="004A24CF"/>
    <w:rsid w:val="004C3D1D"/>
    <w:rsid w:val="004C3D84"/>
    <w:rsid w:val="004C7913"/>
    <w:rsid w:val="004D1FC3"/>
    <w:rsid w:val="004D7213"/>
    <w:rsid w:val="004E4C4E"/>
    <w:rsid w:val="004E4DD6"/>
    <w:rsid w:val="004E7685"/>
    <w:rsid w:val="004F4262"/>
    <w:rsid w:val="004F5E36"/>
    <w:rsid w:val="00501B5D"/>
    <w:rsid w:val="00507B47"/>
    <w:rsid w:val="00507BEF"/>
    <w:rsid w:val="00507CC9"/>
    <w:rsid w:val="005119A5"/>
    <w:rsid w:val="00526E42"/>
    <w:rsid w:val="005278B7"/>
    <w:rsid w:val="00532016"/>
    <w:rsid w:val="0053346A"/>
    <w:rsid w:val="005346C8"/>
    <w:rsid w:val="00543E7D"/>
    <w:rsid w:val="00547577"/>
    <w:rsid w:val="00547A68"/>
    <w:rsid w:val="00552402"/>
    <w:rsid w:val="005531C9"/>
    <w:rsid w:val="0056409E"/>
    <w:rsid w:val="00570C43"/>
    <w:rsid w:val="00574C9B"/>
    <w:rsid w:val="00576560"/>
    <w:rsid w:val="00594CBC"/>
    <w:rsid w:val="005B2110"/>
    <w:rsid w:val="005B61E6"/>
    <w:rsid w:val="005C1620"/>
    <w:rsid w:val="005C49C3"/>
    <w:rsid w:val="005C77E1"/>
    <w:rsid w:val="005D668A"/>
    <w:rsid w:val="005D6A2F"/>
    <w:rsid w:val="005E1A82"/>
    <w:rsid w:val="005E794C"/>
    <w:rsid w:val="005F0A28"/>
    <w:rsid w:val="005F0E5E"/>
    <w:rsid w:val="00600535"/>
    <w:rsid w:val="0060194C"/>
    <w:rsid w:val="00603DD0"/>
    <w:rsid w:val="006109D5"/>
    <w:rsid w:val="00610CD6"/>
    <w:rsid w:val="00613C4C"/>
    <w:rsid w:val="00620DEE"/>
    <w:rsid w:val="00621F92"/>
    <w:rsid w:val="0062280A"/>
    <w:rsid w:val="00625639"/>
    <w:rsid w:val="00626ECC"/>
    <w:rsid w:val="00631B33"/>
    <w:rsid w:val="00640C91"/>
    <w:rsid w:val="0064184D"/>
    <w:rsid w:val="006422CC"/>
    <w:rsid w:val="00660E3E"/>
    <w:rsid w:val="00662E74"/>
    <w:rsid w:val="00670A3C"/>
    <w:rsid w:val="00674862"/>
    <w:rsid w:val="00680C23"/>
    <w:rsid w:val="00693766"/>
    <w:rsid w:val="006A3281"/>
    <w:rsid w:val="006A635C"/>
    <w:rsid w:val="006B42DF"/>
    <w:rsid w:val="006B4888"/>
    <w:rsid w:val="006B5269"/>
    <w:rsid w:val="006C2E45"/>
    <w:rsid w:val="006C359C"/>
    <w:rsid w:val="006C5579"/>
    <w:rsid w:val="006D0268"/>
    <w:rsid w:val="006D0B14"/>
    <w:rsid w:val="006D359E"/>
    <w:rsid w:val="006D6E8B"/>
    <w:rsid w:val="006E1892"/>
    <w:rsid w:val="006E737D"/>
    <w:rsid w:val="006F255E"/>
    <w:rsid w:val="006F38EC"/>
    <w:rsid w:val="006F7DCB"/>
    <w:rsid w:val="00713973"/>
    <w:rsid w:val="00720A24"/>
    <w:rsid w:val="00721A90"/>
    <w:rsid w:val="00722DD5"/>
    <w:rsid w:val="007262A6"/>
    <w:rsid w:val="0072695C"/>
    <w:rsid w:val="00732386"/>
    <w:rsid w:val="0073514D"/>
    <w:rsid w:val="007432A0"/>
    <w:rsid w:val="007447F3"/>
    <w:rsid w:val="00745000"/>
    <w:rsid w:val="00752D27"/>
    <w:rsid w:val="0075400D"/>
    <w:rsid w:val="0075499F"/>
    <w:rsid w:val="00755BD6"/>
    <w:rsid w:val="00761271"/>
    <w:rsid w:val="00761CC8"/>
    <w:rsid w:val="007661C8"/>
    <w:rsid w:val="0077098D"/>
    <w:rsid w:val="007931FA"/>
    <w:rsid w:val="007A4861"/>
    <w:rsid w:val="007A7BBA"/>
    <w:rsid w:val="007B0C50"/>
    <w:rsid w:val="007B48F9"/>
    <w:rsid w:val="007C1A43"/>
    <w:rsid w:val="007C7514"/>
    <w:rsid w:val="007E3207"/>
    <w:rsid w:val="007F5867"/>
    <w:rsid w:val="0080013E"/>
    <w:rsid w:val="00807313"/>
    <w:rsid w:val="00812636"/>
    <w:rsid w:val="00813288"/>
    <w:rsid w:val="008168FC"/>
    <w:rsid w:val="00830996"/>
    <w:rsid w:val="008340E4"/>
    <w:rsid w:val="008345F1"/>
    <w:rsid w:val="00854B9F"/>
    <w:rsid w:val="00865B07"/>
    <w:rsid w:val="008667EA"/>
    <w:rsid w:val="0087637F"/>
    <w:rsid w:val="00891834"/>
    <w:rsid w:val="008925E2"/>
    <w:rsid w:val="00892AD5"/>
    <w:rsid w:val="008A1512"/>
    <w:rsid w:val="008B220A"/>
    <w:rsid w:val="008B2E3A"/>
    <w:rsid w:val="008B7E10"/>
    <w:rsid w:val="008D32B9"/>
    <w:rsid w:val="008D433B"/>
    <w:rsid w:val="008D4A16"/>
    <w:rsid w:val="008E566E"/>
    <w:rsid w:val="0090161A"/>
    <w:rsid w:val="00901EB6"/>
    <w:rsid w:val="00904C62"/>
    <w:rsid w:val="009222D5"/>
    <w:rsid w:val="00922BA8"/>
    <w:rsid w:val="00923688"/>
    <w:rsid w:val="00924DAC"/>
    <w:rsid w:val="00927058"/>
    <w:rsid w:val="009318E3"/>
    <w:rsid w:val="0093388E"/>
    <w:rsid w:val="00942750"/>
    <w:rsid w:val="009450CE"/>
    <w:rsid w:val="00947179"/>
    <w:rsid w:val="0095164B"/>
    <w:rsid w:val="00954090"/>
    <w:rsid w:val="009573E7"/>
    <w:rsid w:val="00963E05"/>
    <w:rsid w:val="00964A45"/>
    <w:rsid w:val="009676DD"/>
    <w:rsid w:val="00967843"/>
    <w:rsid w:val="00967D54"/>
    <w:rsid w:val="00971028"/>
    <w:rsid w:val="00993B84"/>
    <w:rsid w:val="00995495"/>
    <w:rsid w:val="00996483"/>
    <w:rsid w:val="00996F5A"/>
    <w:rsid w:val="009B041A"/>
    <w:rsid w:val="009B2E80"/>
    <w:rsid w:val="009B2F00"/>
    <w:rsid w:val="009C37C3"/>
    <w:rsid w:val="009C7776"/>
    <w:rsid w:val="009C7C86"/>
    <w:rsid w:val="009D2FF7"/>
    <w:rsid w:val="009E7811"/>
    <w:rsid w:val="009E7884"/>
    <w:rsid w:val="009E788A"/>
    <w:rsid w:val="009F0E08"/>
    <w:rsid w:val="009F4BC9"/>
    <w:rsid w:val="00A03AD5"/>
    <w:rsid w:val="00A1327A"/>
    <w:rsid w:val="00A1763D"/>
    <w:rsid w:val="00A17CEC"/>
    <w:rsid w:val="00A24B71"/>
    <w:rsid w:val="00A27EF0"/>
    <w:rsid w:val="00A35EF7"/>
    <w:rsid w:val="00A42361"/>
    <w:rsid w:val="00A4511B"/>
    <w:rsid w:val="00A50B20"/>
    <w:rsid w:val="00A51390"/>
    <w:rsid w:val="00A60D13"/>
    <w:rsid w:val="00A7223D"/>
    <w:rsid w:val="00A72745"/>
    <w:rsid w:val="00A76EFC"/>
    <w:rsid w:val="00A80D5C"/>
    <w:rsid w:val="00A91010"/>
    <w:rsid w:val="00A97F29"/>
    <w:rsid w:val="00AA00EA"/>
    <w:rsid w:val="00AA702E"/>
    <w:rsid w:val="00AB0964"/>
    <w:rsid w:val="00AB5011"/>
    <w:rsid w:val="00AC7368"/>
    <w:rsid w:val="00AD16B9"/>
    <w:rsid w:val="00AE377D"/>
    <w:rsid w:val="00AE6A01"/>
    <w:rsid w:val="00AF0EBA"/>
    <w:rsid w:val="00B023BC"/>
    <w:rsid w:val="00B02C8A"/>
    <w:rsid w:val="00B076FA"/>
    <w:rsid w:val="00B12BFF"/>
    <w:rsid w:val="00B17FBD"/>
    <w:rsid w:val="00B24045"/>
    <w:rsid w:val="00B3043E"/>
    <w:rsid w:val="00B315A6"/>
    <w:rsid w:val="00B31813"/>
    <w:rsid w:val="00B332C1"/>
    <w:rsid w:val="00B33365"/>
    <w:rsid w:val="00B3704B"/>
    <w:rsid w:val="00B425B0"/>
    <w:rsid w:val="00B4390A"/>
    <w:rsid w:val="00B50018"/>
    <w:rsid w:val="00B57B36"/>
    <w:rsid w:val="00B57E6F"/>
    <w:rsid w:val="00B8686D"/>
    <w:rsid w:val="00B92564"/>
    <w:rsid w:val="00B93F69"/>
    <w:rsid w:val="00BB1DDC"/>
    <w:rsid w:val="00BB2450"/>
    <w:rsid w:val="00BC30C9"/>
    <w:rsid w:val="00BC5F8E"/>
    <w:rsid w:val="00BD077D"/>
    <w:rsid w:val="00BD18AB"/>
    <w:rsid w:val="00BE3E58"/>
    <w:rsid w:val="00C01616"/>
    <w:rsid w:val="00C0162B"/>
    <w:rsid w:val="00C068ED"/>
    <w:rsid w:val="00C22E0C"/>
    <w:rsid w:val="00C305E0"/>
    <w:rsid w:val="00C345B1"/>
    <w:rsid w:val="00C35C52"/>
    <w:rsid w:val="00C40142"/>
    <w:rsid w:val="00C52C3C"/>
    <w:rsid w:val="00C567AE"/>
    <w:rsid w:val="00C57182"/>
    <w:rsid w:val="00C577F2"/>
    <w:rsid w:val="00C57863"/>
    <w:rsid w:val="00C640AF"/>
    <w:rsid w:val="00C655FD"/>
    <w:rsid w:val="00C66B8E"/>
    <w:rsid w:val="00C75407"/>
    <w:rsid w:val="00C870A8"/>
    <w:rsid w:val="00C905A4"/>
    <w:rsid w:val="00C91A8E"/>
    <w:rsid w:val="00C94434"/>
    <w:rsid w:val="00C96382"/>
    <w:rsid w:val="00CA0D75"/>
    <w:rsid w:val="00CA1C95"/>
    <w:rsid w:val="00CA5A9C"/>
    <w:rsid w:val="00CB2D4D"/>
    <w:rsid w:val="00CC4C20"/>
    <w:rsid w:val="00CD0244"/>
    <w:rsid w:val="00CD3217"/>
    <w:rsid w:val="00CD3517"/>
    <w:rsid w:val="00CD5FE2"/>
    <w:rsid w:val="00CD6B60"/>
    <w:rsid w:val="00CE7754"/>
    <w:rsid w:val="00CE7C68"/>
    <w:rsid w:val="00D02B4C"/>
    <w:rsid w:val="00D03AF5"/>
    <w:rsid w:val="00D040C4"/>
    <w:rsid w:val="00D20AD1"/>
    <w:rsid w:val="00D23DB8"/>
    <w:rsid w:val="00D425E8"/>
    <w:rsid w:val="00D43090"/>
    <w:rsid w:val="00D46B7E"/>
    <w:rsid w:val="00D5382A"/>
    <w:rsid w:val="00D57C84"/>
    <w:rsid w:val="00D6057D"/>
    <w:rsid w:val="00D62E38"/>
    <w:rsid w:val="00D6439E"/>
    <w:rsid w:val="00D71640"/>
    <w:rsid w:val="00D768B3"/>
    <w:rsid w:val="00D836C5"/>
    <w:rsid w:val="00D84576"/>
    <w:rsid w:val="00D87B42"/>
    <w:rsid w:val="00D91A64"/>
    <w:rsid w:val="00D91CD4"/>
    <w:rsid w:val="00D926EC"/>
    <w:rsid w:val="00D97BC7"/>
    <w:rsid w:val="00DA1399"/>
    <w:rsid w:val="00DA24C6"/>
    <w:rsid w:val="00DA4D7B"/>
    <w:rsid w:val="00DC1F71"/>
    <w:rsid w:val="00DD271C"/>
    <w:rsid w:val="00DD36D3"/>
    <w:rsid w:val="00DE264A"/>
    <w:rsid w:val="00DE5495"/>
    <w:rsid w:val="00DF5072"/>
    <w:rsid w:val="00E02D18"/>
    <w:rsid w:val="00E033FE"/>
    <w:rsid w:val="00E041E7"/>
    <w:rsid w:val="00E07568"/>
    <w:rsid w:val="00E141E9"/>
    <w:rsid w:val="00E21F33"/>
    <w:rsid w:val="00E23CA1"/>
    <w:rsid w:val="00E409A8"/>
    <w:rsid w:val="00E50C12"/>
    <w:rsid w:val="00E5620C"/>
    <w:rsid w:val="00E65B91"/>
    <w:rsid w:val="00E7209D"/>
    <w:rsid w:val="00E72EAD"/>
    <w:rsid w:val="00E77223"/>
    <w:rsid w:val="00E8528B"/>
    <w:rsid w:val="00E85B94"/>
    <w:rsid w:val="00E978D0"/>
    <w:rsid w:val="00EA40C1"/>
    <w:rsid w:val="00EA4613"/>
    <w:rsid w:val="00EA7F91"/>
    <w:rsid w:val="00EB1523"/>
    <w:rsid w:val="00EB2761"/>
    <w:rsid w:val="00EB704E"/>
    <w:rsid w:val="00EC0E49"/>
    <w:rsid w:val="00EC101F"/>
    <w:rsid w:val="00EC1D9F"/>
    <w:rsid w:val="00EC61F1"/>
    <w:rsid w:val="00EC6E7D"/>
    <w:rsid w:val="00EE0131"/>
    <w:rsid w:val="00EE17B0"/>
    <w:rsid w:val="00EE568A"/>
    <w:rsid w:val="00EE5A8E"/>
    <w:rsid w:val="00EF06D9"/>
    <w:rsid w:val="00EF7CA4"/>
    <w:rsid w:val="00F16A96"/>
    <w:rsid w:val="00F2572E"/>
    <w:rsid w:val="00F30C64"/>
    <w:rsid w:val="00F31B27"/>
    <w:rsid w:val="00F32BA2"/>
    <w:rsid w:val="00F32CDB"/>
    <w:rsid w:val="00F565FE"/>
    <w:rsid w:val="00F56FF3"/>
    <w:rsid w:val="00F573E0"/>
    <w:rsid w:val="00F63A70"/>
    <w:rsid w:val="00F63D8C"/>
    <w:rsid w:val="00F67F05"/>
    <w:rsid w:val="00F7534E"/>
    <w:rsid w:val="00F77534"/>
    <w:rsid w:val="00F807C4"/>
    <w:rsid w:val="00F829BC"/>
    <w:rsid w:val="00F9362A"/>
    <w:rsid w:val="00FA1802"/>
    <w:rsid w:val="00FA21D0"/>
    <w:rsid w:val="00FA5F5F"/>
    <w:rsid w:val="00FB2943"/>
    <w:rsid w:val="00FB730C"/>
    <w:rsid w:val="00FC2695"/>
    <w:rsid w:val="00FC2D9A"/>
    <w:rsid w:val="00FC3E03"/>
    <w:rsid w:val="00FC3FC1"/>
    <w:rsid w:val="00FC45B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245B16"/>
    <w:rPr>
      <w:color w:val="605E5C"/>
      <w:shd w:val="clear" w:color="auto" w:fill="E1DFDD"/>
    </w:rPr>
  </w:style>
  <w:style w:type="character" w:styleId="Collegamentovisitato">
    <w:name w:val="FollowedHyperlink"/>
    <w:basedOn w:val="Carpredefinitoparagrafo"/>
    <w:uiPriority w:val="99"/>
    <w:semiHidden/>
    <w:unhideWhenUsed/>
    <w:rsid w:val="00245B16"/>
    <w:rPr>
      <w:color w:val="800080" w:themeColor="followedHyperlink"/>
      <w:u w:val="single"/>
    </w:rPr>
  </w:style>
  <w:style w:type="character" w:styleId="Testosegnaposto">
    <w:name w:val="Placeholder Text"/>
    <w:basedOn w:val="Carpredefinitoparagrafo"/>
    <w:uiPriority w:val="99"/>
    <w:semiHidden/>
    <w:rsid w:val="002006BD"/>
    <w:rPr>
      <w:color w:val="666666"/>
    </w:rPr>
  </w:style>
  <w:style w:type="character" w:customStyle="1" w:styleId="cf01">
    <w:name w:val="cf01"/>
    <w:basedOn w:val="Carpredefinitoparagrafo"/>
    <w:rsid w:val="00F56F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97293">
      <w:bodyDiv w:val="1"/>
      <w:marLeft w:val="0"/>
      <w:marRight w:val="0"/>
      <w:marTop w:val="0"/>
      <w:marBottom w:val="0"/>
      <w:divBdr>
        <w:top w:val="none" w:sz="0" w:space="0" w:color="auto"/>
        <w:left w:val="none" w:sz="0" w:space="0" w:color="auto"/>
        <w:bottom w:val="none" w:sz="0" w:space="0" w:color="auto"/>
        <w:right w:val="none" w:sz="0" w:space="0" w:color="auto"/>
      </w:divBdr>
    </w:div>
    <w:div w:id="68926369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399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doi.org/10.1016/j.cscee.2023.100402" TargetMode="External"/><Relationship Id="rId3" Type="http://schemas.openxmlformats.org/officeDocument/2006/relationships/styles" Target="styles.xml"/><Relationship Id="rId21" Type="http://schemas.openxmlformats.org/officeDocument/2006/relationships/hyperlink" Target="http://www.src.com/calpuff/download/CALPUFF%7B_%7DUsersGuide.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arpae.it/it/temi-ambientali/meteo/scopri-di-piu/il-modello-meteorologico-cosmo-la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land.copernicus.eu/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doi.org/10.1016/j.cscee.2023.1004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2410</Words>
  <Characters>13740</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Matteo Gazzabin</cp:lastModifiedBy>
  <cp:revision>4</cp:revision>
  <cp:lastPrinted>2015-05-12T18:31:00Z</cp:lastPrinted>
  <dcterms:created xsi:type="dcterms:W3CDTF">2024-04-01T13:04:00Z</dcterms:created>
  <dcterms:modified xsi:type="dcterms:W3CDTF">2024-04-01T13:13:00Z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