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679F956F"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F8359E8"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9716C0">
              <w:rPr>
                <w:rFonts w:cs="Arial"/>
                <w:b/>
                <w:bCs/>
                <w:i/>
                <w:iCs/>
                <w:color w:val="000066"/>
                <w:sz w:val="22"/>
                <w:szCs w:val="22"/>
                <w:lang w:eastAsia="it-IT"/>
              </w:rPr>
              <w:t>xxx</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9716C0">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300FE2D7"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9716C0">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9716C0" w:rsidRPr="009716C0">
              <w:rPr>
                <w:rFonts w:ascii="Tahoma" w:hAnsi="Tahoma" w:cs="Tahoma"/>
                <w:sz w:val="14"/>
                <w:szCs w:val="14"/>
              </w:rPr>
              <w:t>979-12-81206-13-7</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124C5">
          <w:type w:val="continuous"/>
          <w:pgSz w:w="11906" w:h="16838" w:code="9"/>
          <w:pgMar w:top="1701" w:right="1418" w:bottom="1701" w:left="1701" w:header="1701" w:footer="0" w:gutter="0"/>
          <w:cols w:space="708"/>
          <w:titlePg/>
          <w:docGrid w:linePitch="360"/>
        </w:sectPr>
      </w:pPr>
    </w:p>
    <w:p w14:paraId="593B6DCA" w14:textId="77777777" w:rsidR="00802D0B" w:rsidRDefault="00802D0B" w:rsidP="00802D0B">
      <w:pPr>
        <w:pStyle w:val="CETAuthors"/>
        <w:jc w:val="center"/>
        <w:rPr>
          <w:noProof w:val="0"/>
          <w:sz w:val="32"/>
        </w:rPr>
      </w:pPr>
      <w:r w:rsidRPr="00802D0B">
        <w:rPr>
          <w:noProof w:val="0"/>
          <w:sz w:val="32"/>
        </w:rPr>
        <w:lastRenderedPageBreak/>
        <w:t>Odour emissions characterization and control as a strategic tool for the sustainable management of the organic fraction of municipal solid waste (OFMSW)</w:t>
      </w:r>
    </w:p>
    <w:p w14:paraId="2B3CA35C" w14:textId="7077A0F5" w:rsidR="00E978D0" w:rsidRPr="00802D0B" w:rsidRDefault="00802D0B" w:rsidP="00AB5011">
      <w:pPr>
        <w:pStyle w:val="CETAuthors"/>
        <w:rPr>
          <w:lang w:val="it-IT"/>
        </w:rPr>
      </w:pPr>
      <w:r>
        <w:rPr>
          <w:lang w:val="it-IT"/>
        </w:rPr>
        <w:t>Vincenzo Marino</w:t>
      </w:r>
      <w:r w:rsidR="00A954E6">
        <w:rPr>
          <w:vertAlign w:val="superscript"/>
          <w:lang w:val="it-IT"/>
        </w:rPr>
        <w:t>*,a</w:t>
      </w:r>
      <w:r w:rsidR="00600535" w:rsidRPr="00802D0B">
        <w:rPr>
          <w:lang w:val="it-IT"/>
        </w:rPr>
        <w:t>,</w:t>
      </w:r>
      <w:r w:rsidR="00EC7AA7" w:rsidRPr="00802D0B">
        <w:rPr>
          <w:lang w:val="it-IT"/>
        </w:rPr>
        <w:t xml:space="preserve"> </w:t>
      </w:r>
      <w:r w:rsidR="003F6BD0" w:rsidRPr="00802D0B">
        <w:rPr>
          <w:lang w:val="it-IT"/>
        </w:rPr>
        <w:t>Aniello Mariniello</w:t>
      </w:r>
      <w:r w:rsidR="003F6BD0" w:rsidRPr="00802D0B">
        <w:rPr>
          <w:vertAlign w:val="superscript"/>
          <w:lang w:val="it-IT"/>
        </w:rPr>
        <w:t>a</w:t>
      </w:r>
      <w:r w:rsidR="003F6BD0" w:rsidRPr="00802D0B">
        <w:rPr>
          <w:lang w:val="it-IT"/>
        </w:rPr>
        <w:t xml:space="preserve">, </w:t>
      </w:r>
      <w:r w:rsidR="00FD5685">
        <w:rPr>
          <w:lang w:val="it-IT"/>
        </w:rPr>
        <w:t>Maria Rosaria Della Rocca</w:t>
      </w:r>
      <w:r w:rsidR="00FD5685">
        <w:rPr>
          <w:vertAlign w:val="superscript"/>
          <w:lang w:val="it-IT"/>
        </w:rPr>
        <w:t>b</w:t>
      </w:r>
      <w:r w:rsidR="00FD5685">
        <w:rPr>
          <w:lang w:val="it-IT"/>
        </w:rPr>
        <w:t xml:space="preserve">, </w:t>
      </w:r>
      <w:r w:rsidR="001C253D" w:rsidRPr="00802D0B">
        <w:rPr>
          <w:lang w:val="it-IT"/>
        </w:rPr>
        <w:t>Vincenzo Belgiorno</w:t>
      </w:r>
      <w:r w:rsidR="005D6C53" w:rsidRPr="00802D0B">
        <w:rPr>
          <w:vertAlign w:val="superscript"/>
          <w:lang w:val="it-IT"/>
        </w:rPr>
        <w:t>a</w:t>
      </w:r>
      <w:r w:rsidR="001C253D" w:rsidRPr="00802D0B">
        <w:rPr>
          <w:lang w:val="it-IT"/>
        </w:rPr>
        <w:t xml:space="preserve">, </w:t>
      </w:r>
      <w:r w:rsidR="002A358B" w:rsidRPr="00802D0B">
        <w:rPr>
          <w:lang w:val="it-IT"/>
        </w:rPr>
        <w:t>Vincenzo Naddeo</w:t>
      </w:r>
      <w:r w:rsidR="002A358B" w:rsidRPr="00802D0B">
        <w:rPr>
          <w:vertAlign w:val="superscript"/>
          <w:lang w:val="it-IT"/>
        </w:rPr>
        <w:t>a</w:t>
      </w:r>
      <w:r w:rsidR="00EC7AA7" w:rsidRPr="00802D0B">
        <w:rPr>
          <w:lang w:val="it-IT"/>
        </w:rPr>
        <w:t>, Tiziano Zarra</w:t>
      </w:r>
      <w:r w:rsidR="00EC7AA7" w:rsidRPr="00802D0B">
        <w:rPr>
          <w:vertAlign w:val="superscript"/>
          <w:lang w:val="it-IT"/>
        </w:rPr>
        <w:t>a</w:t>
      </w:r>
    </w:p>
    <w:p w14:paraId="5053C5A8" w14:textId="0EA38A08" w:rsidR="00E978D0" w:rsidRDefault="005D6C53" w:rsidP="00E978D0">
      <w:pPr>
        <w:pStyle w:val="CETAddress"/>
      </w:pPr>
      <w:r w:rsidRPr="005D6C53">
        <w:rPr>
          <w:vertAlign w:val="superscript"/>
        </w:rPr>
        <w:t>a</w:t>
      </w:r>
      <w:r>
        <w:rPr>
          <w:vertAlign w:val="superscript"/>
        </w:rPr>
        <w:t xml:space="preserve"> </w:t>
      </w:r>
      <w:r w:rsidR="001C253D" w:rsidRPr="001C253D">
        <w:t>Sanitary Environmental Engineering Division (SEED), Department of Civil Engin</w:t>
      </w:r>
      <w:r w:rsidR="00856505">
        <w:t>eering, University of Salerno, V</w:t>
      </w:r>
      <w:r w:rsidR="001C253D" w:rsidRPr="001C253D">
        <w:t>ia Giovanni Paolo II, Fisciano, SA, Italy</w:t>
      </w:r>
    </w:p>
    <w:p w14:paraId="2F016C90" w14:textId="7FFC9784" w:rsidR="00FD5685" w:rsidRPr="00FD5685" w:rsidRDefault="00FD5685" w:rsidP="00FD5685">
      <w:pPr>
        <w:pStyle w:val="CETAddress"/>
        <w:rPr>
          <w:lang w:val="it-IT"/>
        </w:rPr>
      </w:pPr>
      <w:r w:rsidRPr="00FD5685">
        <w:rPr>
          <w:vertAlign w:val="superscript"/>
          <w:lang w:val="it-IT"/>
        </w:rPr>
        <w:t xml:space="preserve">b </w:t>
      </w:r>
      <w:r w:rsidRPr="00FD5685">
        <w:rPr>
          <w:lang w:val="it-IT"/>
        </w:rPr>
        <w:t>Regione Campania, D.G. Difesa del Suolo e Ecosistema, UOD Sviluppo Sostenibile, Acustica, qualità dell’aria e radiazioni- criticità ambientali in rapporto alla salute umana, Via Roberto Bracco, 15/A - 80113 Napoli, NA, Italia</w:t>
      </w:r>
    </w:p>
    <w:p w14:paraId="2641720F" w14:textId="77777777" w:rsidR="00653F1B" w:rsidRPr="0046176E" w:rsidRDefault="00653F1B" w:rsidP="00E978D0">
      <w:pPr>
        <w:pStyle w:val="CETAddress"/>
        <w:rPr>
          <w:lang w:val="it-IT"/>
        </w:rPr>
      </w:pPr>
    </w:p>
    <w:p w14:paraId="0127A28D" w14:textId="4A06A1D6" w:rsidR="00E978D0" w:rsidRPr="00B57B36" w:rsidRDefault="002A358B" w:rsidP="00E978D0">
      <w:pPr>
        <w:pStyle w:val="CETemail"/>
      </w:pPr>
      <w:r>
        <w:t xml:space="preserve">* </w:t>
      </w:r>
      <w:r w:rsidR="00A954E6">
        <w:t>enzomarino91@gmail.com</w:t>
      </w:r>
    </w:p>
    <w:p w14:paraId="42A69876" w14:textId="77777777" w:rsidR="00A010AB" w:rsidRPr="00A010AB" w:rsidRDefault="00A010AB" w:rsidP="00A010AB">
      <w:pPr>
        <w:pStyle w:val="CETBodytext"/>
        <w:rPr>
          <w:lang w:val="en-GB"/>
        </w:rPr>
      </w:pPr>
      <w:r w:rsidRPr="00A010AB">
        <w:rPr>
          <w:lang w:val="en-GB"/>
        </w:rPr>
        <w:t>The continuous increase in the generation of municipal solid waste (MSW) worldwide represents a major challenge for global sustainability efforts. In accordance with the Sustainable Development Goals and the principles of the circular economy, it is essential to manage MSW involving environmental aspects that require careful control to prevent potential environmental impacts. Among the MSW, the organic fraction stands out as a highly fermentable mixed matrix that demands special attention due to the quantities produced and the different management phases, including collection, transportation, and treatment, to which it is subjected. In particular, the collection phase emerges as a linchpin for the overall success of waste management assessment. Various methodologies for the collection of the organic fraction of municipal solid waste (OFMSW) are currently employed, with door-to-door collection being a prevalent approach in many European countries. This method includes the specific collection of the organic fraction, strategically placed in designated surface or underground containers. The time and modalities of organizing the collection of the organic fraction are not universally defined but rather determined by the collection service operator. In Italian regulations, the only indication is that the collected waste must be delivered to the treatment plant within 72 hours of collection, emphasizing the urgency and efficiency required in waste management operations.</w:t>
      </w:r>
    </w:p>
    <w:p w14:paraId="0C33B519" w14:textId="77777777" w:rsidR="00A010AB" w:rsidRPr="00A010AB" w:rsidRDefault="00A010AB" w:rsidP="00A010AB">
      <w:pPr>
        <w:pStyle w:val="CETBodytext"/>
        <w:rPr>
          <w:lang w:val="en-GB"/>
        </w:rPr>
      </w:pPr>
      <w:r w:rsidRPr="00A010AB">
        <w:rPr>
          <w:lang w:val="en-GB"/>
        </w:rPr>
        <w:t>Notably, one of the primary environmental pressures linked to the management of the OFMSW is the production of odorous emissions, which can significantly impact the surrounding environment and community well-being.</w:t>
      </w:r>
    </w:p>
    <w:p w14:paraId="05455934" w14:textId="2AC6BFB1" w:rsidR="00A010AB" w:rsidRDefault="00A010AB" w:rsidP="00A010AB">
      <w:pPr>
        <w:pStyle w:val="CETBodytext"/>
        <w:rPr>
          <w:lang w:val="en-GB"/>
        </w:rPr>
      </w:pPr>
      <w:r w:rsidRPr="00A010AB">
        <w:rPr>
          <w:lang w:val="en-GB"/>
        </w:rPr>
        <w:t>The research presents and discusses the variation in time of the odour emissions of the OFMSW, aiming to quantify the potential odour production occurring between the collection phase of the OFMSW and their delivery to the plant and therefore provides a useful tool to reduce potential odour impacts and direct towards suitable management strategies. Intensive experimental activities were conducted, considering different samples of OFMSW. Characterization of the principal chemical</w:t>
      </w:r>
      <w:r w:rsidR="002A7006">
        <w:rPr>
          <w:lang w:val="en-GB"/>
        </w:rPr>
        <w:t>-physical</w:t>
      </w:r>
      <w:r w:rsidRPr="00A010AB">
        <w:rPr>
          <w:lang w:val="en-GB"/>
        </w:rPr>
        <w:t xml:space="preserve"> parameters and odour concentration at different times of the investigated OFMSW were performed. Statistical studies, applying multivariate analysis techniques, were conducted to identify potential correlations between the investigated parameters. Preliminary results indicate a notable increasing trend in odour concentration over time, with an inverse correlation between odour concentration and humidity and a direct correlation with temperature. The research provides valuable insights into the factors influencing odour production in the management of OFMSW.</w:t>
      </w:r>
    </w:p>
    <w:p w14:paraId="476B2F2E" w14:textId="553F500E" w:rsidR="00600535" w:rsidRDefault="00600535" w:rsidP="00600535">
      <w:pPr>
        <w:pStyle w:val="CETHeading1"/>
        <w:rPr>
          <w:lang w:val="en-GB"/>
        </w:rPr>
      </w:pPr>
      <w:r w:rsidRPr="00B57B36">
        <w:rPr>
          <w:lang w:val="en-GB"/>
        </w:rPr>
        <w:t>Introduction</w:t>
      </w:r>
    </w:p>
    <w:p w14:paraId="688A0788" w14:textId="7E231924" w:rsidR="004A671B" w:rsidRPr="00F56895" w:rsidRDefault="004C30CB" w:rsidP="0003442A">
      <w:pPr>
        <w:pStyle w:val="Paragrafoelenco"/>
        <w:ind w:left="0"/>
        <w:rPr>
          <w:highlight w:val="yellow"/>
        </w:rPr>
      </w:pPr>
      <w:r w:rsidRPr="004C30CB">
        <w:t xml:space="preserve">In recent decades, in relation to an increase in the production of </w:t>
      </w:r>
      <w:r>
        <w:t xml:space="preserve">municipal solid </w:t>
      </w:r>
      <w:r w:rsidRPr="004C30CB">
        <w:t>waste</w:t>
      </w:r>
      <w:r>
        <w:t xml:space="preserve"> (MSW)</w:t>
      </w:r>
      <w:r w:rsidRPr="004C30CB">
        <w:t xml:space="preserve"> and a simultaneous growth in the need for a higher quality of life and the need to protect human health and the environment (Srinivasan et al., 2023), their management is receiving increasing attention, especially with regards to environmental issues</w:t>
      </w:r>
      <w:r w:rsidR="00F97EF0">
        <w:t xml:space="preserve"> </w:t>
      </w:r>
      <w:r w:rsidR="00F97EF0">
        <w:fldChar w:fldCharType="begin"/>
      </w:r>
      <w:r w:rsidR="00F97EF0">
        <w:instrText xml:space="preserve"> ADDIN ZOTERO_ITEM CSL_CITATION {"citationID":"KB9NHpFW","properties":{"formattedCitation":"(Wu et al., 2020)","plainCitation":"(Wu et al., 2020)","noteIndex":0},"citationItems":[{"id":2,"uris":["http://zotero.org/users/local/v0vTCllF/items/FBNNNAR6"],"itemData":{"id":2,"type":"article-journal","abstract":"Gaseous emissions from municipal solid waste (MSW) have raised many concerns and complaints. Identifying the key volatile pollutants in the complex gaseous emissions from MSW is significant for the efficient mitigation of their odor nuisances and health risks. For this purpose, we present an integrated investigation of the key volatile pollutants in the gaseous emissions of MSW from the perspectives of emission patterns, odor concentrations and health risks. Air samples were collected during four different emission stages of the waste matrix for both chemical and olfactometric analyses. The total chemical concentrations of the volatile compounds in the air samples were in the range of 21.49 mg m−3 to 295.61 mg m−3, and the odor concentrations varied from 1122 ouE m−3 to 17,782 ouE m−3. The odor concentrations in the air samples were well correlated with the odor activity values (OAVs) of sulfur compounds, oxygenated compounds and ammonia (r = 0.922, 0.879 and 0.780, respectively, for n = 17 and p &lt; 0.01). Moreover, from an integrated perspective involving chemical emissions, the proportions of odor concentrations and health risks, ethanol, methyl mercaptan and hydrogen sulfide were identified as the key volatile pollutants in the gaseous emissions from the waste matrix during the airtight storage stage, and dimethyl disulfide, 1,2-dichloroethane and trichloroethylene were the key volatile pollutants during the ventilation stage.","container-title":"Waste Management","DOI":"10.1016/j.wasman.2019.12.043","ISSN":"0956-053X","journalAbbreviation":"Waste Management","page":"314-322","title":"Characterization of the volatile compounds emitted from municipal solid waste and identification of the key volatile pollutants","volume":"103","author":[{"family":"Wu","given":"Chuandong"},{"family":"Shu","given":"Mushui"},{"family":"Liu","given":"Xuan"},{"family":"Sang","given":"Yongzhu"},{"family":"Cai","given":"Hanmei"},{"family":"Qu","given":"Chen"},{"family":"Liu","given":"Jiemin"}],"issued":{"date-parts":[["2020",2,15]]}}}],"schema":"https://github.com/citation-style-language/schema/raw/master/csl-citation.json"} </w:instrText>
      </w:r>
      <w:r w:rsidR="00F97EF0">
        <w:fldChar w:fldCharType="separate"/>
      </w:r>
      <w:r w:rsidR="00F97EF0" w:rsidRPr="00F97EF0">
        <w:rPr>
          <w:rFonts w:cs="Arial"/>
        </w:rPr>
        <w:t>(Wu et al., 2020)</w:t>
      </w:r>
      <w:r w:rsidR="00F97EF0">
        <w:fldChar w:fldCharType="end"/>
      </w:r>
      <w:r w:rsidR="0003442A">
        <w:t>.</w:t>
      </w:r>
      <w:r w:rsidR="0003442A" w:rsidRPr="00001D3A">
        <w:t xml:space="preserve"> </w:t>
      </w:r>
      <w:r w:rsidR="0003442A" w:rsidRPr="00123D8A">
        <w:t xml:space="preserve">MSW management </w:t>
      </w:r>
      <w:r w:rsidR="00067663">
        <w:t xml:space="preserve">involves </w:t>
      </w:r>
      <w:r w:rsidR="0003442A">
        <w:t xml:space="preserve">a series of activities </w:t>
      </w:r>
      <w:r w:rsidR="00067663">
        <w:t>including</w:t>
      </w:r>
      <w:r w:rsidR="0003442A" w:rsidRPr="00123D8A">
        <w:t xml:space="preserve"> </w:t>
      </w:r>
      <w:r w:rsidR="0003442A" w:rsidRPr="00123D8A">
        <w:lastRenderedPageBreak/>
        <w:t>collection and transpo</w:t>
      </w:r>
      <w:r w:rsidR="0003442A">
        <w:t>rtation (C&amp;T),</w:t>
      </w:r>
      <w:r w:rsidR="0003442A" w:rsidRPr="00123D8A">
        <w:t xml:space="preserve"> </w:t>
      </w:r>
      <w:r w:rsidR="00AE62C1">
        <w:t>treatment</w:t>
      </w:r>
      <w:r w:rsidR="0003442A">
        <w:t xml:space="preserve"> and</w:t>
      </w:r>
      <w:r w:rsidR="0003442A" w:rsidRPr="00123D8A">
        <w:t xml:space="preserve"> disposal</w:t>
      </w:r>
      <w:r w:rsidR="00655D06">
        <w:t xml:space="preserve"> </w:t>
      </w:r>
      <w:r w:rsidR="00655D06">
        <w:fldChar w:fldCharType="begin"/>
      </w:r>
      <w:r w:rsidR="00655D06">
        <w:instrText xml:space="preserve"> ADDIN ZOTERO_ITEM CSL_CITATION {"citationID":"hq0x9ebT","properties":{"formattedCitation":"(Yadav et al., 2020)","plainCitation":"(Yadav et al., 2020)","noteIndex":0},"citationItems":[{"id":11,"uris":["http://zotero.org/users/local/v0vTCllF/items/2TM8XNQM"],"itemData":{"id":11,"type":"article-journal","abstract":"Selecting appropriate locations for municipal solid waste (MSW) management facilities, such as transfer stations, is an important issue in rapidly developing regions. Multiple alternatives and evaluation attributes need to be analyzed for finalizing the locations of these facilities. Multi-attribute decision-making (MADM) approaches are found to be very effective for ranking several potential locations and hence selecting the best among them based on the identified attributes. However, conventional MADM approaches fail to find the rankings of alternatives derived from all possible combinations of these potential locations. Therefore, this study presents a two-stage MADM model that also accounts for all possible combinations of locations. This study evaluates economical, environmental, social and technical attributes based on realistic conditions of the study area, i.e., Nashik city (India). The results provide the ranks of all possible combinations along with their probabilities of rank reversibility. The mean and standard deviation of the relative closeness are further evaluated for the top-ranking locations under distinct schemes. The present study will help stakeholders in finding suitable locations for MSW management facilities while considering economic, environmental, social and technical attributes.","container-title":"Waste Management","DOI":"10.1016/j.wasman.2020.05.024","ISSN":"0956-053X","journalAbbreviation":"Waste Management","page":"80-88","title":"A two-stage multi-attribute decision-making model for selecting appropriate locations of waste transfer stations in urban centers","volume":"114","author":[{"family":"Yadav","given":"Vinay"},{"family":"Kalbar","given":"Pradip P."},{"family":"Karmakar","given":"Subhankar"},{"family":"Dikshit","given":"A.K."}],"issued":{"date-parts":[["2020",8,1]]}}}],"schema":"https://github.com/citation-style-language/schema/raw/master/csl-citation.json"} </w:instrText>
      </w:r>
      <w:r w:rsidR="00655D06">
        <w:fldChar w:fldCharType="separate"/>
      </w:r>
      <w:r w:rsidR="00655D06" w:rsidRPr="00655D06">
        <w:rPr>
          <w:rFonts w:cs="Arial"/>
        </w:rPr>
        <w:t>(Yadav et al., 2020)</w:t>
      </w:r>
      <w:r w:rsidR="00655D06">
        <w:fldChar w:fldCharType="end"/>
      </w:r>
      <w:r w:rsidR="0003442A" w:rsidRPr="00123D8A">
        <w:t xml:space="preserve">. </w:t>
      </w:r>
      <w:r w:rsidR="00067663">
        <w:t>Among</w:t>
      </w:r>
      <w:r w:rsidR="0003442A" w:rsidRPr="00123D8A">
        <w:t xml:space="preserve"> these activities, C&amp;T is considered </w:t>
      </w:r>
      <w:r w:rsidR="00AE62C1">
        <w:t>the</w:t>
      </w:r>
      <w:r w:rsidR="0003442A" w:rsidRPr="00123D8A">
        <w:t xml:space="preserve"> most crucial </w:t>
      </w:r>
      <w:r w:rsidR="00E141EF">
        <w:t>service</w:t>
      </w:r>
      <w:r w:rsidR="0003442A" w:rsidRPr="00123D8A">
        <w:t xml:space="preserve"> </w:t>
      </w:r>
      <w:r w:rsidR="00AE62C1">
        <w:t xml:space="preserve">in order to </w:t>
      </w:r>
      <w:r w:rsidR="00067663">
        <w:t xml:space="preserve">ensure </w:t>
      </w:r>
      <w:r w:rsidR="00AE62C1">
        <w:t xml:space="preserve">the effectiveness of the </w:t>
      </w:r>
      <w:r w:rsidR="0003442A" w:rsidRPr="00123D8A">
        <w:t>MSW management</w:t>
      </w:r>
      <w:r w:rsidR="00655D06">
        <w:t xml:space="preserve"> </w:t>
      </w:r>
      <w:r w:rsidR="00655D06">
        <w:fldChar w:fldCharType="begin"/>
      </w:r>
      <w:r w:rsidR="00655D06">
        <w:instrText xml:space="preserve"> ADDIN ZOTERO_ITEM CSL_CITATION {"citationID":"KaONhOAJ","properties":{"formattedCitation":"(Singh et al., 2024)","plainCitation":"(Singh et al., 2024)","noteIndex":0},"citationItems":[{"id":13,"uris":["http://zotero.org/users/local/v0vTCllF/items/YFXNLKNQ"],"itemData":{"id":13,"type":"article-journal","abstract":"The rapid increase in quantities and the mismanagement of municipal solid waste (MSW) in developing countries are increasing the environmental impacts such as air, water and soil contamination. The present scenario of MSW management deals with numerous issues such as lack of technological resources, strategical management, social awareness, public participation, etc. Globally, numerous efforts in the form of new policies, schemes and regulatory acts have been made to develop a systematic collection and transportation (C&amp;T) method using advanced, integrated technologies. However, very few studies have addressed this issue for low- and middleincome countries due to the lack of availability of reliable resources and data sets. This paper addresses the present challenges in C&amp;T methods and highlights the application of information communication technology in monitoring, capturing, data management, planning, live tracking and communication. This systematic mini-review is based on the availability of technical resources, consumer acceptance and cost-effectiveness of different technologies in managing the processes. The study revealed that the C&amp;T methods in most developed countries are designed based on their geographical stretch, climatic factors, waste characteristics and compatible technology, resulting in sustainable MSW management. However, developing countries have followed the same monotonous approach in managing their MSW, which fails in C&amp;T process. The case study provides a valuable resource for researchers and policymakers to frame a better C&amp;T process based on the recent technological interventions, infrastructure development, and social and economic status.","container-title":"Waste Management &amp; Research: The Journal for a Sustainable Circular Economy","DOI":"10.1177/0734242X231175816","ISSN":"0734-242X, 1096-3669","issue":"1","journalAbbreviation":"Waste Manag Res","language":"en","page":"3-15","source":"DOI.org (Crossref)","title":"Smart technological options in collection and transportation of municipal solid waste in urban areas: A mini review","title-short":"Smart technological options in collection and transportation of municipal solid waste in urban areas","volume":"42","author":[{"family":"Singh","given":"Deval"},{"family":"Dikshit","given":"Anil Kumar"},{"family":"Kumar","given":"Sunil"}],"issued":{"date-parts":[["2024",1]]}}}],"schema":"https://github.com/citation-style-language/schema/raw/master/csl-citation.json"} </w:instrText>
      </w:r>
      <w:r w:rsidR="00655D06">
        <w:fldChar w:fldCharType="separate"/>
      </w:r>
      <w:r w:rsidR="00655D06" w:rsidRPr="00655D06">
        <w:rPr>
          <w:rFonts w:cs="Arial"/>
        </w:rPr>
        <w:t>(Singh et al., 2024)</w:t>
      </w:r>
      <w:r w:rsidR="00655D06">
        <w:fldChar w:fldCharType="end"/>
      </w:r>
      <w:r w:rsidR="0003442A">
        <w:t>.</w:t>
      </w:r>
      <w:r w:rsidR="0003442A" w:rsidRPr="00001D3A">
        <w:t xml:space="preserve"> </w:t>
      </w:r>
      <w:r w:rsidR="0003442A" w:rsidRPr="00A15193">
        <w:t xml:space="preserve">In many European countries, the most </w:t>
      </w:r>
      <w:r w:rsidR="0003442A">
        <w:t>commonly</w:t>
      </w:r>
      <w:r w:rsidR="0003442A" w:rsidRPr="00A15193">
        <w:t xml:space="preserve"> used </w:t>
      </w:r>
      <w:r w:rsidR="0003442A">
        <w:t>collection method is door-to-door</w:t>
      </w:r>
      <w:r w:rsidR="00E141EF">
        <w:t xml:space="preserve"> (DTD)</w:t>
      </w:r>
      <w:r w:rsidR="0003442A">
        <w:t xml:space="preserve">, which </w:t>
      </w:r>
      <w:r w:rsidR="0003442A" w:rsidRPr="00E646D0">
        <w:t>refers to the</w:t>
      </w:r>
      <w:r w:rsidR="00294F2E">
        <w:t xml:space="preserve"> system where MSW is separated</w:t>
      </w:r>
      <w:r w:rsidR="0058150E">
        <w:t xml:space="preserve"> </w:t>
      </w:r>
      <w:r>
        <w:t xml:space="preserve">in different fractions </w:t>
      </w:r>
      <w:r w:rsidR="0058150E">
        <w:t xml:space="preserve">at </w:t>
      </w:r>
      <w:r w:rsidR="00067663">
        <w:t xml:space="preserve">the </w:t>
      </w:r>
      <w:r w:rsidR="0058150E">
        <w:t>source</w:t>
      </w:r>
      <w:r w:rsidR="00294F2E">
        <w:t xml:space="preserve"> and disposed of in specific containers </w:t>
      </w:r>
      <w:r w:rsidR="00067663">
        <w:t xml:space="preserve">typically </w:t>
      </w:r>
      <w:r w:rsidR="00294F2E">
        <w:t xml:space="preserve">located </w:t>
      </w:r>
      <w:r w:rsidR="0058150E">
        <w:t>close to the user’s home</w:t>
      </w:r>
      <w:r w:rsidR="00916F23">
        <w:t xml:space="preserve"> </w:t>
      </w:r>
      <w:r w:rsidRPr="004C30CB">
        <w:t>according to a well-defined calendar and times</w:t>
      </w:r>
      <w:r w:rsidR="00916F23">
        <w:fldChar w:fldCharType="begin"/>
      </w:r>
      <w:r w:rsidR="00916F23">
        <w:instrText xml:space="preserve"> ADDIN ZOTERO_ITEM CSL_CITATION {"citationID":"u9g8OVmG","properties":{"formattedCitation":"(Teerioja et al., 2012)","plainCitation":"(Teerioja et al., 2012)","noteIndex":0},"citationItems":[{"id":14,"uris":["http://zotero.org/users/local/v0vTCllF/items/AQMZWLFC"],"itemData":{"id":14,"type":"article-journal","abstract":"Pneumatic waste collection systems are becoming increasingly popular in new urban residential areas, and an attractive alternative to conventional vehicle-operated municipal solid waste (MSW) collection also in ready-built urban areas. How well pneumatic systems perform in ready-built areas is, however, an unexplored topic. In this paper, we analyze how a hypothetical stationary pneumatic waste collection system compares economically to a traditional vehicle-operated door-to-door collection system in an existing, densely populated urban area. Both pneumatic and door-to-door collection systems face disadvantages in such areas. While buildings and fixed city infrastructure increase the installation costs of a pneumatic system in existing residential areas, the limited space for waste transportation vehicles and containers cause problems for vehicle-operated waste collection systems. The method used for analyzing the cost effects of the compared waste collection systems in our case study takes into account also monetized environmental effects of both waste collection systems. As a result, we find that the door-to-door collection system is economically almost six times more superior. The dominant cost factor in the analysis is the large investment cost of the pneumatic system. The economic value of land is an important variable, as it is able to reverse the results, if the value of land saved with a pneumatic system is sufficiently high.","container-title":"Waste Management","DOI":"10.1016/j.wasman.2012.05.027","ISSN":"0956-053X","issue":"10","journalAbbreviation":"Waste Management","page":"1782-1791","title":"Pneumatic vs. door-to-door waste collection systems in existing urban areas: a comparison of economic performance","volume":"32","author":[{"family":"Teerioja","given":"Nea"},{"family":"Moliis","given":"Katja"},{"family":"Kuvaja","given":"Eveliina"},{"family":"Ollikainen","given":"Markku"},{"family":"Punkkinen","given":"Henna"},{"family":"Merta","given":"Elina"}],"issued":{"date-parts":[["2012",10,1]]}}}],"schema":"https://github.com/citation-style-language/schema/raw/master/csl-citation.json"} </w:instrText>
      </w:r>
      <w:r w:rsidR="00916F23">
        <w:fldChar w:fldCharType="separate"/>
      </w:r>
      <w:r w:rsidR="00916F23" w:rsidRPr="00916F23">
        <w:rPr>
          <w:rFonts w:cs="Arial"/>
        </w:rPr>
        <w:t>(Teerioja et al., 2012)</w:t>
      </w:r>
      <w:r w:rsidR="00916F23">
        <w:fldChar w:fldCharType="end"/>
      </w:r>
      <w:r w:rsidR="0003442A">
        <w:t>.</w:t>
      </w:r>
      <w:r w:rsidR="0003442A" w:rsidRPr="00001D3A">
        <w:t xml:space="preserve"> </w:t>
      </w:r>
      <w:r w:rsidR="0003442A" w:rsidRPr="00496789">
        <w:t xml:space="preserve">Among the different </w:t>
      </w:r>
      <w:r w:rsidR="00E141EF">
        <w:t>fractions</w:t>
      </w:r>
      <w:r w:rsidR="0003442A" w:rsidRPr="00496789">
        <w:t xml:space="preserve"> of </w:t>
      </w:r>
      <w:r w:rsidR="00067663">
        <w:t xml:space="preserve">MSW </w:t>
      </w:r>
      <w:r w:rsidR="0003442A" w:rsidRPr="00496789">
        <w:t xml:space="preserve">collected separately, </w:t>
      </w:r>
      <w:r w:rsidR="0003442A">
        <w:t>particular</w:t>
      </w:r>
      <w:r w:rsidR="0003442A" w:rsidRPr="00496789">
        <w:t xml:space="preserve"> attention </w:t>
      </w:r>
      <w:r w:rsidR="004A671B">
        <w:t xml:space="preserve">is </w:t>
      </w:r>
      <w:r>
        <w:t>given</w:t>
      </w:r>
      <w:r w:rsidR="004A671B">
        <w:t xml:space="preserve"> to</w:t>
      </w:r>
      <w:r w:rsidR="0003442A">
        <w:t xml:space="preserve"> the</w:t>
      </w:r>
      <w:r w:rsidR="0003442A" w:rsidRPr="00496789">
        <w:t xml:space="preserve"> organic fraction of munici</w:t>
      </w:r>
      <w:r w:rsidR="00067663">
        <w:t>pal solid waste (OFMSW), as it constitutes</w:t>
      </w:r>
      <w:r w:rsidR="0003442A" w:rsidRPr="00496789">
        <w:t xml:space="preserve"> a fermentable mixed matrix produced in large quantities. </w:t>
      </w:r>
      <w:r w:rsidR="0003442A">
        <w:t xml:space="preserve">In fact, </w:t>
      </w:r>
      <w:r w:rsidR="00E141EF">
        <w:t>OFMSW</w:t>
      </w:r>
      <w:r w:rsidR="0003442A" w:rsidRPr="00496789">
        <w:t xml:space="preserve"> </w:t>
      </w:r>
      <w:r w:rsidR="00E141EF">
        <w:t>represents t</w:t>
      </w:r>
      <w:r w:rsidR="0003442A">
        <w:t>he highest percentage</w:t>
      </w:r>
      <w:r w:rsidR="0003442A" w:rsidRPr="00496789">
        <w:t xml:space="preserve"> </w:t>
      </w:r>
      <w:r w:rsidR="0003442A">
        <w:t xml:space="preserve">of </w:t>
      </w:r>
      <w:r>
        <w:t xml:space="preserve">the different fractions </w:t>
      </w:r>
      <w:r w:rsidR="00F76CB2">
        <w:t xml:space="preserve">that make up </w:t>
      </w:r>
      <w:r>
        <w:t xml:space="preserve">the </w:t>
      </w:r>
      <w:r w:rsidR="0003442A" w:rsidRPr="00496789">
        <w:t>MSW (</w:t>
      </w:r>
      <w:r w:rsidR="00E141EF">
        <w:t>2</w:t>
      </w:r>
      <w:r w:rsidR="0003442A" w:rsidRPr="00496789">
        <w:t>0–70% of total MSW)</w:t>
      </w:r>
      <w:r w:rsidR="00916F23">
        <w:t xml:space="preserve"> </w:t>
      </w:r>
      <w:r w:rsidR="00916F23">
        <w:fldChar w:fldCharType="begin"/>
      </w:r>
      <w:r w:rsidR="00916F23">
        <w:instrText xml:space="preserve"> ADDIN ZOTERO_ITEM CSL_CITATION {"citationID":"mXSTwEUU","properties":{"formattedCitation":"(Tyagi et al., 2018)","plainCitation":"(Tyagi et al., 2018)","noteIndex":0},"citationItems":[{"id":15,"uris":["http://zotero.org/users/local/v0vTCllF/items/2SYX4T6C"],"itemData":{"id":15,"type":"article-journal","abstract":"Anaerobic digestion (AD) of the organic fraction of municipal solid waste (OFMSW) offers the possibility of a clean and renewable energy source – i.e. biogas. However, OFMSW lacks certain characteristics that may limit its efficacy as such a resource. Bio-resources such as sewage sludge and animal wastes have these characteristics and so may be used to enhance OFMSW's digestion. Anaerobic co-digestion (AcoD) of OFMSW with sewage sludge has been extensively studied and applied successfully at full-scale. Pre-treatments can increase substrate biodegradability and so biogas yield, but these may need further investigation to determine economic viability. Mathematical modeling has been shown useful in aiding selection of appropriate combinations of substrates and pretreatment for co-digestion (e.g. substrate type and mix ratio). This review also considers the fate of the digestate following such anaerobic co-digestion. The difficulties in implementation of the co-digestion approach need not necessarily be technical in nature but can be due to management issues.","container-title":"Renewable and Sustainable Energy Reviews","DOI":"10.1016/j.rser.2018.05.051","ISSN":"1364-0321","journalAbbreviation":"Renewable and Sustainable Energy Reviews","page":"380-399","title":"Anaerobic co-digestion of organic fraction of municipal solid waste (OFMSW): Progress and challenges","volume":"93","author":[{"family":"Tyagi","given":"Vinay Kumar"},{"family":"Fdez-Güelfo","given":"L.A."},{"family":"Zhou","given":"Yan"},{"family":"Álvarez-Gallego","given":"C.J."},{"family":"Garcia","given":"L.I. Romero"},{"family":"Ng","given":"Wun Jern"}],"issued":{"date-parts":[["2018",10,1]]}}}],"schema":"https://github.com/citation-style-language/schema/raw/master/csl-citation.json"} </w:instrText>
      </w:r>
      <w:r w:rsidR="00916F23">
        <w:fldChar w:fldCharType="separate"/>
      </w:r>
      <w:r w:rsidR="00916F23" w:rsidRPr="00916F23">
        <w:rPr>
          <w:rFonts w:cs="Arial"/>
        </w:rPr>
        <w:t>(Tyagi et al., 2018)</w:t>
      </w:r>
      <w:r w:rsidR="00916F23">
        <w:fldChar w:fldCharType="end"/>
      </w:r>
      <w:r w:rsidR="0003442A" w:rsidRPr="00496789">
        <w:t>.</w:t>
      </w:r>
      <w:r w:rsidR="0003442A" w:rsidRPr="00001D3A">
        <w:t xml:space="preserve"> </w:t>
      </w:r>
      <w:r w:rsidR="002B04D5">
        <w:t>OFMSW</w:t>
      </w:r>
      <w:r w:rsidR="00542265" w:rsidRPr="00542265">
        <w:t xml:space="preserve"> consists of several food fractions, among which the main ones are represented by fruits</w:t>
      </w:r>
      <w:r w:rsidR="00542265">
        <w:t xml:space="preserve"> and</w:t>
      </w:r>
      <w:r w:rsidR="00542265" w:rsidRPr="00542265">
        <w:t xml:space="preserve"> vegetables, meat, fish, cheese, bread and pasta, finer materials of 20 mm and </w:t>
      </w:r>
      <w:r w:rsidR="00542265">
        <w:t>rejected</w:t>
      </w:r>
      <w:r w:rsidR="00542265" w:rsidRPr="00542265">
        <w:t xml:space="preserve"> materials</w:t>
      </w:r>
      <w:r w:rsidR="00916F23">
        <w:t xml:space="preserve"> </w:t>
      </w:r>
      <w:r w:rsidR="00916F23">
        <w:fldChar w:fldCharType="begin"/>
      </w:r>
      <w:r w:rsidR="00916F23">
        <w:instrText xml:space="preserve"> ADDIN ZOTERO_ITEM CSL_CITATION {"citationID":"gOOyKlbI","properties":{"formattedCitation":"(Alibardi and Cossu, 2015)","plainCitation":"(Alibardi and Cossu, 2015)","noteIndex":0},"citationItems":[{"id":17,"uris":["http://zotero.org/users/local/v0vTCllF/items/74WXMH8B"],"itemData":{"id":17,"type":"article-journal","abstract":"The composition of the Organic Fraction of Municipal Solid Waste (OFMSW) strongly depends on the place and time of collection for a speciﬁc municipality or area. Moreover synthetic food waste or organic waste from cafeterias and restaurants may not be representative of the overall OFMSW received at treatment facilities for source-separated waste. This work is aimed at evaluating the composition variability of OFMSW, the potential productions of hydrogen and methane from speciﬁc organic waste fractions typically present in MSW and the effects of waste composition on overall hydrogen and methane yields. The organic waste fractions considered in the study were: bread–pasta, vegetables, fruits, meat–ﬁsh–cheese and undersieve 20 mm. Composition analyses were conducted on samples of OFMSW that were source segregated at household level. Batch tests for hydrogen and methane productions were carried out under mesophilic conditions on selected fractions and OFMSW samples. Results indicated that the highest production of hydrogen was achieved by the bread–pasta fraction while the lowest productions were measured for the meat–ﬁsh–cheese fraction. The results indicated that the content of these two fractions in organic waste had a direct inﬂuence on the hydrogen production potentials of OFMSW. The higher the content of bread–pasta fraction, the higher the hydrogen yields were while the contrary was observed for the meat–ﬁsh–cheese fraction. The deﬁnition of waste composition therefore represents fundamental information to be reported in scientiﬁc literature to allow data comparison. The variability of OFMSW and its effects on hydrogen potentials might also represents a problematic issue in the management of pilot or full-scale plants for the production of hydrogen by dark fermentation.","container-title":"Waste Management","DOI":"10.1016/j.wasman.2014.11.019","ISSN":"0956053X","journalAbbreviation":"Waste Management","language":"en","page":"147-155","source":"DOI.org (Crossref)","title":"Composition variability of the organic fraction of municipal solid waste and effects on hydrogen and methane production potentials","volume":"36","author":[{"family":"Alibardi","given":"Luca"},{"family":"Cossu","given":"Raffaello"}],"issued":{"date-parts":[["2015",2]]}}}],"schema":"https://github.com/citation-style-language/schema/raw/master/csl-citation.json"} </w:instrText>
      </w:r>
      <w:r w:rsidR="00916F23">
        <w:fldChar w:fldCharType="separate"/>
      </w:r>
      <w:r w:rsidR="00916F23" w:rsidRPr="00916F23">
        <w:rPr>
          <w:rFonts w:cs="Arial"/>
        </w:rPr>
        <w:t>(Alibardi and Cossu, 2015)</w:t>
      </w:r>
      <w:r w:rsidR="00916F23">
        <w:fldChar w:fldCharType="end"/>
      </w:r>
      <w:r w:rsidR="00542265" w:rsidRPr="00542265">
        <w:t>.</w:t>
      </w:r>
      <w:r w:rsidR="00AA35D8">
        <w:t xml:space="preserve"> W</w:t>
      </w:r>
      <w:r w:rsidR="000F6004">
        <w:t>aste transfer stations are considered useful solutions</w:t>
      </w:r>
      <w:r w:rsidR="00AA35D8" w:rsidRPr="00AA35D8">
        <w:t xml:space="preserve"> </w:t>
      </w:r>
      <w:r w:rsidR="00AA35D8">
        <w:t>in OFMSW management</w:t>
      </w:r>
      <w:r w:rsidR="000F6004">
        <w:t xml:space="preserve"> to facilitate the process in </w:t>
      </w:r>
      <w:r w:rsidR="00AA35D8">
        <w:t xml:space="preserve">areas </w:t>
      </w:r>
      <w:r w:rsidR="000F6004">
        <w:t>with different types of settlements and population density</w:t>
      </w:r>
      <w:r w:rsidR="00916F23">
        <w:t xml:space="preserve"> </w:t>
      </w:r>
      <w:r w:rsidR="00916F23">
        <w:fldChar w:fldCharType="begin"/>
      </w:r>
      <w:r w:rsidR="00916F23">
        <w:instrText xml:space="preserve"> ADDIN ZOTERO_ITEM CSL_CITATION {"citationID":"xQxbfBu5","properties":{"formattedCitation":"(A\\uc0\\u287{}a\\uc0\\u231{}sapan and \\uc0\\u199{}abuk, 2020)","plainCitation":"(Ağaçsapan and Çabuk, 2020)","noteIndex":0},"citationItems":[{"id":19,"uris":["http://zotero.org/users/local/v0vTCllF/items/XW9NPDDY"],"itemData":{"id":19,"type":"article-journal","abstract":"Despite being a major urban need to create sustainable and healthy living areas, waste management services are not always properly and equally offered to all inhabitants due to inappropriate resource management approaches, high volumes of urban waste and ignorant consumption habits. From this point, waste transfer stations are considered as helpful solutions to facilitate the waste management process in territories which have different type of settlements and population density. In this context, the main aim of this study is to determine the potential suitable locations for waste transfer stations, which is expected to prevent the disposal of approximately 104,196.3 kg of waste directly into the rural area within the study area, Eskişehir province. To fulfil the aim of the study, geographical information systems (GIS) technologies were utilized for the performance of comprehensive spatial analyses and weighted overlay of a wide range of different data layers. The results showed that 1.1% of the study area were appropriate for the establishment of waste transfer stations, and GIS, as spatial data analysis tool, makes significant contributions to the knowledge of sustainability in the study areas.","container-title":"Sustainable Cities and Society","DOI":"10.1016/j.scs.2019.101829","ISSN":"22106707","journalAbbreviation":"Sustainable Cities and Society","language":"en","page":"101829","source":"DOI.org (Crossref)","title":"Determination of suitable waste transfer station areas for sustainable territories: Eskisehir case","title-short":"Determination of suitable waste transfer station areas for sustainable territories","volume":"52","author":[{"family":"Ağaçsapan","given":"Balca"},{"family":"Çabuk","given":"Saye Nihan"}],"issued":{"date-parts":[["2020",1]]}}}],"schema":"https://github.com/citation-style-language/schema/raw/master/csl-citation.json"} </w:instrText>
      </w:r>
      <w:r w:rsidR="00916F23">
        <w:fldChar w:fldCharType="separate"/>
      </w:r>
      <w:r w:rsidR="00916F23" w:rsidRPr="00916F23">
        <w:rPr>
          <w:rFonts w:cs="Arial"/>
          <w:szCs w:val="24"/>
        </w:rPr>
        <w:t>(Ağaçsapan and Çabuk, 2020)</w:t>
      </w:r>
      <w:r w:rsidR="00916F23">
        <w:fldChar w:fldCharType="end"/>
      </w:r>
      <w:r w:rsidR="000F6004">
        <w:t xml:space="preserve">. </w:t>
      </w:r>
      <w:r w:rsidR="00F76CB2" w:rsidRPr="00F76CB2">
        <w:t>They are equally useful in the presence of complex territorial and orographic characteristics (e.g. historic centres), in which collection takes place with small trucks, due to access difficulties; and/or where the treatment plants are located very far from the p</w:t>
      </w:r>
      <w:r w:rsidR="00F76CB2">
        <w:t>roduction and collection points</w:t>
      </w:r>
      <w:r w:rsidR="00916F23">
        <w:t xml:space="preserve"> </w:t>
      </w:r>
      <w:r w:rsidR="00916F23">
        <w:fldChar w:fldCharType="begin"/>
      </w:r>
      <w:r w:rsidR="00916F23">
        <w:instrText xml:space="preserve"> ADDIN ZOTERO_ITEM CSL_CITATION {"citationID":"RqsfU8s2","properties":{"formattedCitation":"(RAFIEE et al., 2011)","plainCitation":"(RAFIEE et al., 2011)","noteIndex":0},"citationItems":[{"id":20,"uris":["http://zotero.org/users/local/v0vTCllF/items/5VDWHK57"],"itemData":{"id":20,"type":"article-journal","abstract":"Population growth and an increase in the quantity of municipal solid waste have made it ever more difficult to locate appropriate sites for waste disposal in urban areas. Transfer stations are used for landfills located far from waste generation centers, but they generate noise, offensive odors, and dirt that give rise to dissatisfaction of neighbors. This study identified suitable waste transfer stations for Mashhad City, Iran. A multi-criteria evaluation (MCE) model for assessing suitability of land for solid waste transfer stations was developed. The criteria for site selection included soils, geology, slope, and distance to residential areas, waste generation centers, streams, faults, and highways. Each of the criteria used in the MCE was standardized with a fuzzy subset, and a linear function was used to rank each criterion. Relative importance of each criterion was calculated using the pairwise comparison method. A weighted linear combination method was used for spatial multi-criteria layer combination. Twelve zones ranked in descending order are proposed for transfer stations. The MCE results also provided a first-cut information layer for a fast environmental impact assessment. The nature of MCE, being repeatable as many times as desired, makes consensus building among stakeholders possible. The results can be used by decision makers for site selection of the waste transfer stations after taking into account other relevant ecological and economic factors.","container-title":"Environmental &amp; Engineering Geoscience","DOI":"10.2113/gseegeosci.17.2.143","ISSN":"1078-7275","issue":"2","journalAbbreviation":"Environmental &amp; Engineering Geoscience","page":"143-154","title":"Siting Transfer Stations for Municipal Solid Waste Using a Spatial Multi-Criteria Analysis","volume":"17","author":[{"family":"RAFIEE","given":"REZA"},{"family":"KHORASANI","given":"NEMATOLAH"},{"family":"MAHINY","given":"ABDOLRASSOUL SALMAN"},{"family":"DARVISHSEFAT","given":"ALI ASGHAR"},{"family":"DANEKAR","given":"AFSHIN"},{"family":"HASAN","given":"SYED E."}],"issued":{"date-parts":[["2011",5,1]]}},"label":"page"}],"schema":"https://github.com/citation-style-language/schema/raw/master/csl-citation.json"} </w:instrText>
      </w:r>
      <w:r w:rsidR="00916F23">
        <w:fldChar w:fldCharType="separate"/>
      </w:r>
      <w:r w:rsidR="00916F23" w:rsidRPr="00916F23">
        <w:rPr>
          <w:rFonts w:cs="Arial"/>
        </w:rPr>
        <w:t>(RAFIEE et al., 2011)</w:t>
      </w:r>
      <w:r w:rsidR="00916F23">
        <w:fldChar w:fldCharType="end"/>
      </w:r>
      <w:r w:rsidR="008D43CD">
        <w:t>.</w:t>
      </w:r>
      <w:r w:rsidR="00542265">
        <w:t xml:space="preserve"> </w:t>
      </w:r>
      <w:r w:rsidR="00F76CB2">
        <w:t>As</w:t>
      </w:r>
      <w:r w:rsidR="000B552B" w:rsidRPr="007D44AF">
        <w:t xml:space="preserve"> regard</w:t>
      </w:r>
      <w:r w:rsidR="00F76CB2">
        <w:t>s</w:t>
      </w:r>
      <w:r w:rsidR="000B552B" w:rsidRPr="007D44AF">
        <w:t xml:space="preserve"> </w:t>
      </w:r>
      <w:r w:rsidR="00F76CB2">
        <w:t>the</w:t>
      </w:r>
      <w:r w:rsidR="00A16154">
        <w:t xml:space="preserve"> management of </w:t>
      </w:r>
      <w:r w:rsidR="00B812D6" w:rsidRPr="007D44AF">
        <w:t xml:space="preserve">OFMSW </w:t>
      </w:r>
      <w:r w:rsidR="00A16154">
        <w:t>in</w:t>
      </w:r>
      <w:r w:rsidR="000B552B" w:rsidRPr="007D44AF">
        <w:t xml:space="preserve"> transfer stations, </w:t>
      </w:r>
      <w:r w:rsidR="00F76CB2">
        <w:t xml:space="preserve">the </w:t>
      </w:r>
      <w:r w:rsidR="00F56895" w:rsidRPr="007D44AF">
        <w:t>Italian legislation</w:t>
      </w:r>
      <w:r w:rsidR="00F76CB2">
        <w:t xml:space="preserve"> (DM 08.04.2008) </w:t>
      </w:r>
      <w:r w:rsidR="00ED7273" w:rsidRPr="007D44AF">
        <w:t>covers</w:t>
      </w:r>
      <w:r w:rsidR="00F56895" w:rsidRPr="007D44AF">
        <w:t xml:space="preserve"> </w:t>
      </w:r>
      <w:r w:rsidR="00A16154">
        <w:t xml:space="preserve">various </w:t>
      </w:r>
      <w:r w:rsidR="00F56895" w:rsidRPr="007D44AF">
        <w:t xml:space="preserve">aspects, but with reference to </w:t>
      </w:r>
      <w:r w:rsidR="00ED7273" w:rsidRPr="007D44AF">
        <w:t xml:space="preserve">the storage time, </w:t>
      </w:r>
      <w:r w:rsidR="00F56895" w:rsidRPr="007D44AF">
        <w:t>the only requirement</w:t>
      </w:r>
      <w:r w:rsidR="00A16154">
        <w:t xml:space="preserve"> is to </w:t>
      </w:r>
      <w:r w:rsidR="00F76CB2">
        <w:t xml:space="preserve">schedule delivery </w:t>
      </w:r>
      <w:r w:rsidR="000B552B" w:rsidRPr="007D44AF">
        <w:t xml:space="preserve">to the treatment plant </w:t>
      </w:r>
      <w:r w:rsidR="00A16154">
        <w:t>by</w:t>
      </w:r>
      <w:r w:rsidR="000B552B" w:rsidRPr="007D44AF">
        <w:t xml:space="preserve"> 72 hours</w:t>
      </w:r>
      <w:r w:rsidR="00646046" w:rsidRPr="007D44AF">
        <w:t xml:space="preserve"> from the collection</w:t>
      </w:r>
      <w:r w:rsidR="000B552B" w:rsidRPr="007D44AF">
        <w:t>.</w:t>
      </w:r>
      <w:r w:rsidR="00623A49">
        <w:t xml:space="preserve"> </w:t>
      </w:r>
    </w:p>
    <w:p w14:paraId="7725FBF4" w14:textId="73622C8C" w:rsidR="007E6467" w:rsidRDefault="00A16154" w:rsidP="0003442A">
      <w:pPr>
        <w:pStyle w:val="Paragrafoelenco"/>
        <w:ind w:left="0"/>
      </w:pPr>
      <w:r w:rsidRPr="00A16154">
        <w:t>Several studies demonstrate that OFMSW changes its composition over time due to degradation of the substrate, generating environmental pressures, such as odo</w:t>
      </w:r>
      <w:r>
        <w:t>u</w:t>
      </w:r>
      <w:r w:rsidRPr="00A16154">
        <w:t>r emissions, greenhouse gases (GHG) and leachate</w:t>
      </w:r>
      <w:r w:rsidR="001A2380">
        <w:t xml:space="preserve"> </w:t>
      </w:r>
      <w:r w:rsidR="001A2380">
        <w:fldChar w:fldCharType="begin"/>
      </w:r>
      <w:r w:rsidR="001A2380">
        <w:instrText xml:space="preserve"> ADDIN ZOTERO_ITEM CSL_CITATION {"citationID":"hZvJcyko","properties":{"formattedCitation":"(Barreiro-Vescovo et al., 2020)","plainCitation":"(Barreiro-Vescovo et al., 2020)","noteIndex":0},"citationItems":[{"id":22,"uris":["http://zotero.org/users/local/v0vTCllF/items/GEL5E6LF"],"itemData":{"id":22,"type":"article-journal","abstract":"In this study, the feasibility of integrating microalgae cultivation in a biogas production process that treats the organic fraction of municipal solid waste (OFMSW) was investigated. In particular, the biomass growth performances in the liquid fraction of the digestate, characterized by high ammonia concentrations and turbidity, were assessed together with the nutrient removal efficiency. Preliminary laboratory-scale experiments were first carried out in photobioreactors operating in a continuous mode (Continuous-flow Stirred-Tank Reactor, CSTR), to gain preliminary data aimed at aiding the subsequent scaling up to a pilot scale facility. An outdoor experimental campaign, operated from July to October 2019, was then performed in a pilot scale raceway pond (4.5 m2), located in Arzignano (VI), Italy, to assess the performances under real environmental conditions. The results show that microalgae could grow well in this complex substrate, although dilution was necessary to enhance light penetration in the culture. In outdoor conditions, nitrification by autotrophic bacteria appeared to be significant, while the photosynthetic nitrogen removal was around 12% with respect to the inlet. On the other hand, phosphorus was almost completely removed from the medium under all the conditions tested, and a biomass production between 2–7 g m−2 d−1 was obtained.","container-title":"ChemEngineering","DOI":"10.3390/chemengineering4020025","ISSN":"2305-7084","issue":"2","title":"Integration of Microalgae Cultivation in a Biogas Production Process from Organic Municipal Solid Waste: From Laboratory to Pilot Scale","volume":"4","author":[{"family":"Barreiro-Vescovo","given":"Santiago"},{"family":"Barbera","given":"Elena"},{"family":"Bertucco","given":"Alberto"},{"family":"Sforza","given":"Eleonora"}],"issued":{"date-parts":[["2020"]]}}}],"schema":"https://github.com/citation-style-language/schema/raw/master/csl-citation.json"} </w:instrText>
      </w:r>
      <w:r w:rsidR="001A2380">
        <w:fldChar w:fldCharType="separate"/>
      </w:r>
      <w:r w:rsidR="001A2380" w:rsidRPr="00916F23">
        <w:rPr>
          <w:rFonts w:cs="Arial"/>
        </w:rPr>
        <w:t>(Barreiro-Vescovo et al., 2020)</w:t>
      </w:r>
      <w:r w:rsidR="001A2380">
        <w:fldChar w:fldCharType="end"/>
      </w:r>
      <w:r w:rsidR="001A2380">
        <w:t xml:space="preserve">. </w:t>
      </w:r>
      <w:r w:rsidRPr="00A16154">
        <w:t>Among these, odo</w:t>
      </w:r>
      <w:r>
        <w:t>u</w:t>
      </w:r>
      <w:r w:rsidRPr="00A16154">
        <w:t>r emissions represent the main concern due to their nuisance and significant impacts on the exposed population</w:t>
      </w:r>
      <w:r w:rsidR="001A2380">
        <w:t xml:space="preserve">. </w:t>
      </w:r>
      <w:r>
        <w:t>Odour emissions affect quality of life, leading to psychological stress and symptoms such as insomnia, loss of appetite and irrational behaviour</w:t>
      </w:r>
      <w:r w:rsidR="00242982">
        <w:t xml:space="preserve"> </w:t>
      </w:r>
      <w:r w:rsidR="00242982">
        <w:fldChar w:fldCharType="begin"/>
      </w:r>
      <w:r w:rsidR="00242982">
        <w:instrText xml:space="preserve"> ADDIN ZOTERO_ITEM CSL_CITATION {"citationID":"zcJyru1X","properties":{"formattedCitation":"(Zarra et al., 2013)","plainCitation":"(Zarra et al., 2013)","noteIndex":0},"citationItems":[{"id":36,"uris":["http://zotero.org/users/local/v0vTCllF/items/KUCW838V"],"itemData":{"id":36,"type":"article-journal","abstract":"Odour emissions are a major environmental issue in sanitary environmental engineering plants, due to the increasing number of complaints being made by the exposed population. The particular and complex nature of the substances considered to be the cause of the odour impact, their variability in time and the climatic conditions, as well as the subjectivity of the odour perception, are the elements that have delayed their regulation. For this reason there are few international laws that set the limits of odour emissions from industrial sources and/or define the criteria of quality related to the smell. In particular, there are currently no regulations that deal with this problem in Italy.","container-title":"Global NEST Journal","DOI":"10.30955/gnj.000484","ISSN":"1790-7632, 2241-777X","issue":"4","language":"en","page":"477-486","source":"DOI.org (Crossref)","title":"A novel tool for estimating the odour emissions of composting plants in air pollution management","volume":"11","author":[{"family":"Zarra","given":"Tiziano"},{"family":"Naddeo","given":"Vincenzo"},{"family":"Belgiorno","given":"Vincenzo"}],"issued":{"date-parts":[["2013",4,30]]}}}],"schema":"https://github.com/citation-style-language/schema/raw/master/csl-citation.json"} </w:instrText>
      </w:r>
      <w:r w:rsidR="00242982">
        <w:fldChar w:fldCharType="separate"/>
      </w:r>
      <w:r w:rsidR="00242982" w:rsidRPr="00242982">
        <w:rPr>
          <w:rFonts w:cs="Arial"/>
        </w:rPr>
        <w:t>(Zarra et al., 2013)</w:t>
      </w:r>
      <w:r w:rsidR="00242982">
        <w:fldChar w:fldCharType="end"/>
      </w:r>
      <w:r>
        <w:fldChar w:fldCharType="begin"/>
      </w:r>
      <w:r w:rsidR="00242982">
        <w:instrText xml:space="preserve"> ADDIN ZOTERO_ITEM CSL_CITATION {"citationID":"TQkkjK0O","properties":{"formattedCitation":"(Zarra et al., 2009)","plainCitation":"(Zarra et al., 2009)","dontUpdate":true,"noteIndex":0},"citationItems":[{"id":24,"uris":["http://zotero.org/users/local/v0vTCllF/items/QYJE9V4L"],"itemData":{"id":24,"type":"article-journal","abstract":"Odour emissions are a major environmental issue in wastewater treatment plants and are considered to be the main cause of disturbance noticed by the exposed population. Odour measurement is carried out using analytical or sensorial methods. Sensorial analysis, being assigned to the “human sensor”, is the cause of a considerable uncertainty. In this study a correlation between analytical and sensorial methods was investigated. A novel tool was used to both define odour indexes and characterise the odour sources and the volatile substances that cause annoyance in a wastewater treatment plant, with the aim to remove the subjective component in the measure of the odours and define the induced impact. The sources and the main chemical substances responsible for the olfactory annoyances were identified. Around 36 different substances were detected, with more than half being smell relevant components as well as responsible. Dimethyl disulphide was identified as key compound. Results highlight the applicability of highly correlation between analytical and sensorial methods in odour emission monitoring.","container-title":"Water Science and Technology","DOI":"10.2166/wst.2009.125","ISSN":"0273-1223, 1996-9732","issue":"8","language":"en","page":"1603-1609","source":"DOI.org (Crossref)","title":"Instrumental characterization of odour: a combination of olfactory and analytical methods","title-short":"Instrumental characterization of odour","volume":"59","author":[{"family":"Zarra","given":"T."},{"family":"Naddeo","given":"V."},{"family":"Belgiorno","given":"V."},{"family":"Reiser","given":"M."},{"family":"Kranert","given":"M."}],"issued":{"date-parts":[["2009",4,1]]}}}],"schema":"https://github.com/citation-style-language/schema/raw/master/csl-citation.json"} </w:instrText>
      </w:r>
      <w:r>
        <w:fldChar w:fldCharType="separate"/>
      </w:r>
      <w:r>
        <w:fldChar w:fldCharType="end"/>
      </w:r>
      <w:r>
        <w:t xml:space="preserve">. </w:t>
      </w:r>
      <w:r w:rsidRPr="00A16154">
        <w:t>It is therefore essential to characterize, measure and control the odo</w:t>
      </w:r>
      <w:r w:rsidR="000C5463">
        <w:t>u</w:t>
      </w:r>
      <w:r w:rsidRPr="00A16154">
        <w:t>r emissions associated with the OFMSW collection phase, in order to quantify the pressures and reduce the consequent impacts</w:t>
      </w:r>
      <w:r w:rsidR="0054425C" w:rsidRPr="00D8624E">
        <w:t>.</w:t>
      </w:r>
      <w:r w:rsidR="0054425C">
        <w:t xml:space="preserve"> </w:t>
      </w:r>
      <w:r w:rsidR="000C5463" w:rsidRPr="000C5463">
        <w:t>The techniques available for odo</w:t>
      </w:r>
      <w:r w:rsidR="000C5463">
        <w:t>u</w:t>
      </w:r>
      <w:r w:rsidR="000C5463" w:rsidRPr="000C5463">
        <w:t>r measurement are classified into analytical, sensorial and sensor-instrumental</w:t>
      </w:r>
      <w:r w:rsidR="00242982">
        <w:t xml:space="preserve"> </w:t>
      </w:r>
      <w:r w:rsidR="00242982">
        <w:fldChar w:fldCharType="begin"/>
      </w:r>
      <w:r w:rsidR="00242982">
        <w:instrText xml:space="preserve"> ADDIN ZOTERO_ITEM CSL_CITATION {"citationID":"t45A1y3L","properties":{"formattedCitation":"(Zarra et al., 2010)","plainCitation":"(Zarra et al., 2010)","noteIndex":0},"citationItems":[{"id":38,"uris":["http://zotero.org/users/local/v0vTCllF/items/L9836M8C"],"itemData":{"id":38,"type":"paper-conference","abstract":"Odour emissions are causing serious nuisance for the population, especially in the surrounding of sanitary environmental engineering plants. Extended exposure to odours generate undesirable reactions ranging from emotional stresses such as unease, discomfort, headaches, or depression to physical symptoms.\nOdour assessment can be performed using two different approaches: measurement of sources emissions and/or evaluation of impact area. German Guidelines VDI3940 proposes the standardization of the field inspection method to predict the level of exposure of odours in the surrounding community. However, the main drawback of this method is high cost due to the excessive needs of assessors and long time of analysis.\nThis study investigates the role of the measurement elements provided with the field inspection method according to VDI3940, with a discussion of a case study, with the aim to reduce the human resources, time and costs related with the analysis. Results highlight the possibility of reducing the sampling frequency and the panel number in specific conditions.","archive_location":"WOS:000286972300016","container-title":"University of Salerno","DOI":"10.3303/CET1023016","event-title":"NOSE 2010: INTERNATIONAL CONFERENCE ON ENVIRONMENTAL ODOUR MONITORING AND CONTROL","ISBN":"1974-9791","language":"English","page":"93-98","title":"Optimization of field inspection method for odour impact assessment","volume":"23","author":[{"family":"Zarra","given":"T"},{"family":"Naddeo","given":"V"},{"family":"Giuliani","given":"S"},{"family":"Belgiorno","given":"V"}],"editor":[{"family":"DelRosso","given":"R"}],"issued":{"date-parts":[["2010"]]}}}],"schema":"https://github.com/citation-style-language/schema/raw/master/csl-citation.json"} </w:instrText>
      </w:r>
      <w:r w:rsidR="00242982">
        <w:fldChar w:fldCharType="separate"/>
      </w:r>
      <w:r w:rsidR="00242982" w:rsidRPr="00242982">
        <w:rPr>
          <w:rFonts w:cs="Arial"/>
        </w:rPr>
        <w:t>(Zarra et al., 2010)</w:t>
      </w:r>
      <w:r w:rsidR="00242982">
        <w:fldChar w:fldCharType="end"/>
      </w:r>
      <w:r w:rsidR="0054425C">
        <w:t xml:space="preserve">. </w:t>
      </w:r>
      <w:r w:rsidR="000C5463" w:rsidRPr="000C5463">
        <w:t>Among the sensory techniques, the most used is dynamic olfactometry</w:t>
      </w:r>
      <w:r w:rsidR="0054425C">
        <w:t xml:space="preserve"> applied i</w:t>
      </w:r>
      <w:r w:rsidR="000C5463">
        <w:t>n accordance with EN 13725:2022</w:t>
      </w:r>
      <w:r w:rsidR="0054425C">
        <w:t xml:space="preserve"> </w:t>
      </w:r>
      <w:r w:rsidR="0054425C" w:rsidRPr="00250392">
        <w:fldChar w:fldCharType="begin"/>
      </w:r>
      <w:r w:rsidR="0054425C" w:rsidRPr="00250392">
        <w:instrText xml:space="preserve"> ADDIN ZOTERO_ITEM CSL_CITATION {"citationID":"ddBuFq3M","properties":{"formattedCitation":"(Wang et al., 2023)","plainCitation":"(Wang et al., 2023)","noteIndex":0},"citationItems":[{"id":28,"uris":["http://zotero.org/users/local/v0vTCllF/items/IA636W8I"],"itemData":{"id":28,"type":"article-journal","abstract":"For public health consideration, it is important to ensure the wastewater discharged from wastewater treatment plant is within the regulatory limits. This problem can be effectively solved by improving the accuracy and rapid characterization of water quality parameters and odor concentration of wastewater. In this paper, we proposed a novel solution to realize the precisive analysis of water quality parameters and odor concentration of wastewater by the electronic nose device. The main work of this paper was divided into three steps: 1) recognizing waste­ water samples qualitatively from different sampling points, 2) analyzing the correlation between electronic nose response signals and water quality parameters and odor concentration, and 3) predicting the odor concentration and water quality parameters quantitatively. Combined with different feature extraction methods, support vector machine and linear discriminant analysis were applied as classifiers to recognize samples at different sampling points, which reported the best recognition rate of 98.83%. Partial least squares regression was applied to complete the second step, and R2 was reaching 0.992. As for the third step, ridge regression was used to predict water quality parameters and odor concentration with the RMSE less than 0.9476. Thus, electronic noses can be applied to determine water quality parameters and odor concentrations in the effluent discharged from waste­ water plants.","container-title":"Water Research","DOI":"10.1016/j.watres.2023.119878","ISSN":"00431354","journalAbbreviation":"Water Research","language":"en","page":"119878","source":"DOI.org (Crossref)","title":"Development of an electronic nose to characterize water quality parameters and odor concentration of wastewater emitted from different phases in a wastewater treatment plant","volume":"235","author":[{"family":"Wang","given":"Bingyang"},{"family":"Li","given":"Xiaodan"},{"family":"Chen","given":"Donghui"},{"family":"Weng","given":"Xiaohui"},{"family":"Chang","given":"Zhiyong"}],"issued":{"date-parts":[["2023",5]]}}}],"schema":"https://github.com/citation-style-language/schema/raw/master/csl-citation.json"} </w:instrText>
      </w:r>
      <w:r w:rsidR="0054425C" w:rsidRPr="00250392">
        <w:fldChar w:fldCharType="separate"/>
      </w:r>
      <w:r w:rsidR="0054425C" w:rsidRPr="00250392">
        <w:rPr>
          <w:rFonts w:cs="Arial"/>
        </w:rPr>
        <w:t>(Wang et al., 2023)</w:t>
      </w:r>
      <w:r w:rsidR="0054425C" w:rsidRPr="00250392">
        <w:fldChar w:fldCharType="end"/>
      </w:r>
      <w:r w:rsidR="0054425C" w:rsidRPr="00250392">
        <w:t>.</w:t>
      </w:r>
      <w:r w:rsidR="0054425C">
        <w:t xml:space="preserve"> </w:t>
      </w:r>
      <w:r w:rsidR="000C5463" w:rsidRPr="000C5463">
        <w:t>The odor concentration results are expressed in terms of OUE m-3 and obtained by analyzing the gaseous sample at decreasing dilution thresholds using an olfactometer, by a group of appropriately selected people</w:t>
      </w:r>
      <w:r w:rsidR="00242982">
        <w:t xml:space="preserve"> </w:t>
      </w:r>
      <w:r w:rsidR="00242982">
        <w:fldChar w:fldCharType="begin"/>
      </w:r>
      <w:r w:rsidR="00242982">
        <w:instrText xml:space="preserve"> ADDIN ZOTERO_ITEM CSL_CITATION {"citationID":"zzvLv4FC","properties":{"formattedCitation":"(Oliva et al., 2021)","plainCitation":"(Oliva et al., 2021)","noteIndex":0},"citationItems":[{"id":40,"uris":["http://zotero.org/users/local/v0vTCllF/items/68T4TT9E"],"itemData":{"id":40,"type":"article-journal","abstract":"Odour emissions from complex industrial plants may cause potential impacts on the surrounding areas. Consequently, the validation of effective tools for the control of the associated environmental pressures, without hindering economic growth, is strongly needed. Nowadays, senso-instrumental methods by using Instrumental Odour Emissions Systems (IOMSs) is among the most attractive tool for the continuous monitoring of environmental odours, allowing the possibility of obtaining real-time information to support the decision-making process and proactive approach. The systems complexity and scarcity of real data limited their wider full-scale employment. The study presents an advanced prototype of IOMS for the continuous classification and quantification of the odours emitted in ambient air by complex industrial plants, to continuously control the plants emissions with backwards approach. The IOMS device was designed and optimized and included the system for the automatic control of the conditions inside the measurement chamber. The designed operational procedures were presented and discussed. Results highlighted the influence of temperature and air flow rate for the measurement repeatability. Accurate prediction model was created and optimized and resulted able to distinguish 3 different industrial odour sources with accuracy approximately equal to 96%. The models were optimized thanks to the software features, which allowed to automatically apply the designed statistical procedures on the identified dataset with different pre-processing approach. The usefulness of having a fully-developed and user-friendly flexible system that allowed to select and automatically compare different settings options, including the different feature extraction methods, was demonstrated in order to identify the best prediction model.","container-title":"Chemosphere","DOI":"10.1016/j.chemosphere.2021.129768","ISSN":"0045-6535","journalAbbreviation":"Chemosphere","page":"129768","title":"Next-generation of instrumental odour monitoring system (IOMS) for the gaseous emissions control in complex industrial plants","volume":"271","author":[{"family":"Oliva","given":"G."},{"family":"Zarra","given":"T."},{"family":"Pittoni","given":"G."},{"family":"Senatore","given":"V."},{"family":"Galang","given":"M.G."},{"family":"Castellani","given":"M."},{"family":"Belgiorno","given":"V."},{"family":"Naddeo","given":"V."}],"issued":{"date-parts":[["2021",5,1]]}}}],"schema":"https://github.com/citation-style-language/schema/raw/master/csl-citation.json"} </w:instrText>
      </w:r>
      <w:r w:rsidR="00242982">
        <w:fldChar w:fldCharType="separate"/>
      </w:r>
      <w:r w:rsidR="00242982" w:rsidRPr="00242982">
        <w:rPr>
          <w:rFonts w:cs="Arial"/>
        </w:rPr>
        <w:t>(Oliva et al., 2021)</w:t>
      </w:r>
      <w:r w:rsidR="00242982">
        <w:fldChar w:fldCharType="end"/>
      </w:r>
      <w:r w:rsidR="0054425C">
        <w:t xml:space="preserve">. </w:t>
      </w:r>
      <w:r w:rsidR="000C5463" w:rsidRPr="000C5463">
        <w:t>While, in recent years, instrumental odor monitoring systems (IOMS), in the field of sensori-instrumental techniques, have gained popularity and applicability in the field of air quality, in particular thanks to their possibility of continuous monitoring</w:t>
      </w:r>
      <w:r w:rsidR="00242982">
        <w:t xml:space="preserve"> </w:t>
      </w:r>
      <w:r w:rsidR="00242982">
        <w:fldChar w:fldCharType="begin"/>
      </w:r>
      <w:r w:rsidR="00242982">
        <w:instrText xml:space="preserve"> ADDIN ZOTERO_ITEM CSL_CITATION {"citationID":"bRCJSxkY","properties":{"formattedCitation":"(Fasolino et al., 2016)","plainCitation":"(Fasolino et al., 2016)","noteIndex":0},"citationItems":[{"id":42,"uris":["http://zotero.org/users/local/v0vTCllF/items/R5UCPZ9F"],"itemData":{"id":42,"type":"article-journal","abstract":"Different land uses, infrastructures, industrial activities and residential patterns of developed cities expose simultaneously people to several annoying sources. Over recent years, the European Union has provided several tools to harmonize noise mapping methodologies and relative Noise Action Plans through directives. Unfortunately, the same effort has not been made for the harmonization of approaches of other annoying sources such as odours. As a consequence, each European Member State has defined its own direct or indirect approach to limit odour impacts.","container-title":"Global NEST Journal","DOI":"10.30955/gnj.002109","ISSN":"1790-7632, 2241-777X","issue":"4","language":"en","page":"734-741","source":"DOI.org (Crossref)","title":"Odour control strategies for a sustainable nuisances action plan","volume":"18","author":[{"family":"Fasolino","given":"I."},{"family":"Grimaldi","given":"M."},{"family":"Zarra","given":"Tiziano"},{"family":"Naddeo","given":"Vincenzo"}],"issued":{"date-parts":[["2016",10,12]]}}}],"schema":"https://github.com/citation-style-language/schema/raw/master/csl-citation.json"} </w:instrText>
      </w:r>
      <w:r w:rsidR="00242982">
        <w:fldChar w:fldCharType="separate"/>
      </w:r>
      <w:r w:rsidR="00242982" w:rsidRPr="00242982">
        <w:rPr>
          <w:rFonts w:cs="Arial"/>
        </w:rPr>
        <w:t>(Fasolino et al., 2016)</w:t>
      </w:r>
      <w:r w:rsidR="00242982">
        <w:fldChar w:fldCharType="end"/>
      </w:r>
      <w:r w:rsidR="0054425C" w:rsidRPr="007469A9">
        <w:t>.</w:t>
      </w:r>
      <w:r w:rsidR="00953827">
        <w:t xml:space="preserve"> </w:t>
      </w:r>
      <w:r w:rsidR="000C5463" w:rsidRPr="000C5463">
        <w:t>At present, there are no studies in the scientific literature that analyze the environmental pressures in terms of odor produced by the storage of OFMSW, thus not guaranteeing the availability of useful tools to address this problem proactively</w:t>
      </w:r>
      <w:r w:rsidR="008F0C7A">
        <w:t>.</w:t>
      </w:r>
      <w:r w:rsidR="000C5463" w:rsidRPr="000C5463">
        <w:t xml:space="preserve"> </w:t>
      </w:r>
    </w:p>
    <w:p w14:paraId="0331AD95" w14:textId="4D9D7C1F" w:rsidR="00FE1C8D" w:rsidRDefault="008F0C7A" w:rsidP="0003442A">
      <w:pPr>
        <w:pStyle w:val="Paragrafoelenco"/>
        <w:ind w:left="0"/>
      </w:pPr>
      <w:r w:rsidRPr="008F0C7A">
        <w:t>The research presents and discusses an in-depth study of odo</w:t>
      </w:r>
      <w:r>
        <w:t>u</w:t>
      </w:r>
      <w:r w:rsidRPr="008F0C7A">
        <w:t>r emissions linked to the degradation of OFMSW over time, with the aim of bridging this gap and therefore providing a useful decision-making tool for identifying the best intervention strategies and actions</w:t>
      </w:r>
      <w:r w:rsidRPr="000C5463">
        <w:t>.</w:t>
      </w:r>
      <w:r>
        <w:t xml:space="preserve"> For experimental </w:t>
      </w:r>
      <w:r w:rsidR="009B7674">
        <w:t>activities, s</w:t>
      </w:r>
      <w:r w:rsidR="007F5F76">
        <w:t>ynthetic samples</w:t>
      </w:r>
      <w:r w:rsidR="00AD607A">
        <w:t>,</w:t>
      </w:r>
      <w:r w:rsidR="007F5F76">
        <w:t xml:space="preserve"> representative of real </w:t>
      </w:r>
      <w:r>
        <w:t>OFMSW</w:t>
      </w:r>
      <w:r w:rsidR="00AD607A">
        <w:t>,</w:t>
      </w:r>
      <w:r w:rsidR="007F5F76">
        <w:t xml:space="preserve"> were </w:t>
      </w:r>
      <w:r>
        <w:t xml:space="preserve">prepared and </w:t>
      </w:r>
      <w:r w:rsidR="007F5F76">
        <w:t>analysed</w:t>
      </w:r>
      <w:r w:rsidR="005D405E">
        <w:t xml:space="preserve"> </w:t>
      </w:r>
      <w:r w:rsidR="00953827">
        <w:t>over time</w:t>
      </w:r>
      <w:r>
        <w:t>s in terms of odour emissions</w:t>
      </w:r>
      <w:r w:rsidR="005D405E">
        <w:t xml:space="preserve">. </w:t>
      </w:r>
      <w:r>
        <w:t>Measured data</w:t>
      </w:r>
      <w:r w:rsidR="007F5F76">
        <w:t xml:space="preserve"> w</w:t>
      </w:r>
      <w:r>
        <w:t>ere</w:t>
      </w:r>
      <w:r w:rsidR="007F5F76">
        <w:t xml:space="preserve"> </w:t>
      </w:r>
      <w:r>
        <w:t>elaborated</w:t>
      </w:r>
      <w:r w:rsidR="007F5F76">
        <w:t xml:space="preserve"> </w:t>
      </w:r>
      <w:r>
        <w:t>by</w:t>
      </w:r>
      <w:r w:rsidR="007F5F76">
        <w:t xml:space="preserve"> multivariate statistical techniques</w:t>
      </w:r>
      <w:r w:rsidR="002C5399">
        <w:t xml:space="preserve">. </w:t>
      </w:r>
      <w:r w:rsidR="004A6C54" w:rsidRPr="004A6C54">
        <w:t>The research aims to improve the collection process and its transport to treatment plants through transfer stations and to provide operators with a tool to adequately plan the management phases</w:t>
      </w:r>
      <w:r>
        <w:t>.</w:t>
      </w:r>
    </w:p>
    <w:p w14:paraId="677EBFF0" w14:textId="64306BDB" w:rsidR="00600535" w:rsidRDefault="00EA54A0" w:rsidP="00600535">
      <w:pPr>
        <w:pStyle w:val="CETHeading1"/>
        <w:tabs>
          <w:tab w:val="right" w:pos="7100"/>
        </w:tabs>
        <w:jc w:val="both"/>
        <w:rPr>
          <w:lang w:val="en-GB"/>
        </w:rPr>
      </w:pPr>
      <w:r>
        <w:rPr>
          <w:lang w:val="en-GB"/>
        </w:rPr>
        <w:t>Material and Methods</w:t>
      </w:r>
    </w:p>
    <w:p w14:paraId="2C1995DD" w14:textId="59F50229" w:rsidR="00AD693E" w:rsidRDefault="007352FC" w:rsidP="00CE15AC">
      <w:pPr>
        <w:pStyle w:val="CETheadingx"/>
      </w:pPr>
      <w:r>
        <w:t>Experimental p</w:t>
      </w:r>
      <w:r w:rsidR="00122318">
        <w:t>lan and program</w:t>
      </w:r>
    </w:p>
    <w:p w14:paraId="24CBE26B" w14:textId="09A0BEE1" w:rsidR="002C7300" w:rsidRDefault="003577FB" w:rsidP="00642387">
      <w:pPr>
        <w:pStyle w:val="CETBodytext"/>
      </w:pPr>
      <w:r>
        <w:t>A</w:t>
      </w:r>
      <w:r w:rsidR="00E224D0">
        <w:t xml:space="preserve">nalysis of </w:t>
      </w:r>
      <w:r>
        <w:t xml:space="preserve">synthetic prepared </w:t>
      </w:r>
      <w:r w:rsidR="007352FC">
        <w:t>OFMSW loads</w:t>
      </w:r>
      <w:r w:rsidR="0073555C">
        <w:t>,</w:t>
      </w:r>
      <w:r w:rsidR="00122318" w:rsidRPr="00122318">
        <w:t xml:space="preserve"> </w:t>
      </w:r>
      <w:r w:rsidR="00E224D0">
        <w:t xml:space="preserve">at different times, </w:t>
      </w:r>
      <w:r w:rsidR="00E224D0" w:rsidRPr="00122318">
        <w:t xml:space="preserve">in order to evaluate </w:t>
      </w:r>
      <w:r w:rsidR="00E224D0">
        <w:t>and identify potential correlations in</w:t>
      </w:r>
      <w:r w:rsidR="00E224D0" w:rsidRPr="00122318">
        <w:t xml:space="preserve"> chemical-physical characteristics and </w:t>
      </w:r>
      <w:r w:rsidR="00E224D0">
        <w:t>in odour emissions, measured in terms of odour concentration</w:t>
      </w:r>
      <w:r>
        <w:t xml:space="preserve">, </w:t>
      </w:r>
      <w:r w:rsidR="005A6490">
        <w:t>we</w:t>
      </w:r>
      <w:r>
        <w:t>re carried out</w:t>
      </w:r>
      <w:r w:rsidR="00E224D0">
        <w:t xml:space="preserve">. </w:t>
      </w:r>
      <w:r>
        <w:t>In particular, s</w:t>
      </w:r>
      <w:r w:rsidR="008172FA">
        <w:t xml:space="preserve">ix samples </w:t>
      </w:r>
      <w:r w:rsidR="00E224D0">
        <w:t>of OFMSW (P</w:t>
      </w:r>
      <w:r w:rsidR="00E224D0" w:rsidRPr="008172FA">
        <w:rPr>
          <w:vertAlign w:val="subscript"/>
        </w:rPr>
        <w:t>1</w:t>
      </w:r>
      <w:r w:rsidR="008172FA">
        <w:rPr>
          <w:vertAlign w:val="subscript"/>
        </w:rPr>
        <w:t>,</w:t>
      </w:r>
      <w:r w:rsidR="008172FA" w:rsidRPr="008172FA">
        <w:rPr>
          <w:vertAlign w:val="subscript"/>
        </w:rPr>
        <w:t>1</w:t>
      </w:r>
      <w:r w:rsidR="008172FA">
        <w:t>-</w:t>
      </w:r>
      <w:r w:rsidR="00E224D0">
        <w:t xml:space="preserve"> P</w:t>
      </w:r>
      <w:r w:rsidR="008172FA" w:rsidRPr="008172FA">
        <w:rPr>
          <w:vertAlign w:val="subscript"/>
        </w:rPr>
        <w:t>1</w:t>
      </w:r>
      <w:r w:rsidR="008172FA">
        <w:rPr>
          <w:vertAlign w:val="subscript"/>
        </w:rPr>
        <w:t>,</w:t>
      </w:r>
      <w:r w:rsidR="008172FA" w:rsidRPr="008172FA">
        <w:rPr>
          <w:vertAlign w:val="subscript"/>
        </w:rPr>
        <w:t>6</w:t>
      </w:r>
      <w:r w:rsidR="00E224D0">
        <w:t>)</w:t>
      </w:r>
      <w:r w:rsidR="005A6490" w:rsidRPr="005A6490">
        <w:t xml:space="preserve"> </w:t>
      </w:r>
      <w:r w:rsidR="005A6490">
        <w:t>were made</w:t>
      </w:r>
      <w:r>
        <w:t xml:space="preserve">, </w:t>
      </w:r>
      <w:r w:rsidR="005A6490" w:rsidRPr="005A6490">
        <w:t>weighing 5 kg each</w:t>
      </w:r>
      <w:r>
        <w:t xml:space="preserve">, </w:t>
      </w:r>
      <w:r w:rsidR="005A6490" w:rsidRPr="005A6490">
        <w:t>adopting the same composition in percentage terms of 8 different food fractions (Figure 1) in accordance with literature studies</w:t>
      </w:r>
      <w:r w:rsidR="008172FA">
        <w:t xml:space="preserve"> </w:t>
      </w:r>
      <w:r w:rsidR="00723C6D">
        <w:fldChar w:fldCharType="begin"/>
      </w:r>
      <w:r w:rsidR="00723C6D">
        <w:instrText xml:space="preserve"> ADDIN ZOTERO_ITEM CSL_CITATION {"citationID":"MjFcz04u","properties":{"formattedCitation":"(Zhang et al., 2013)","plainCitation":"(Zhang et al., 2013)","noteIndex":0},"citationItems":[{"id":34,"uris":["http://zotero.org/users/local/v0vTCllF/items/VQYRIVIC"],"itemData":{"id":34,"type":"book","title":"Compositional analysis of food waste entering the source segregation stream in four European regions and implications for valorisation via anaerobic digestion","author":[{"family":"Zhang","given":"Yue"},{"family":"Arnold","given":"Rebecca"},{"family":"Paavola","given":"Teija"},{"family":"Vaz","given":"Filipa"},{"family":"Correia","given":"Constanca"},{"family":"Cavinato","given":"Cristina"},{"family":"Kusch-Brandt","given":"Sigrid"},{"family":"Heaven","given":"Sonia"}],"issued":{"date-parts":[["2013",9,1]]}}}],"schema":"https://github.com/citation-style-language/schema/raw/master/csl-citation.json"} </w:instrText>
      </w:r>
      <w:r w:rsidR="00723C6D">
        <w:fldChar w:fldCharType="separate"/>
      </w:r>
      <w:r w:rsidR="00723C6D" w:rsidRPr="00723C6D">
        <w:rPr>
          <w:rFonts w:cs="Arial"/>
        </w:rPr>
        <w:t>(Zhang et al., 2013)</w:t>
      </w:r>
      <w:r w:rsidR="00723C6D">
        <w:fldChar w:fldCharType="end"/>
      </w:r>
      <w:r w:rsidR="005A6490">
        <w:t xml:space="preserve">. </w:t>
      </w:r>
      <w:r w:rsidR="002C7300">
        <w:t xml:space="preserve">The </w:t>
      </w:r>
      <w:r w:rsidR="005A6490">
        <w:t xml:space="preserve">OFMSW </w:t>
      </w:r>
      <w:r w:rsidR="002C7300">
        <w:t xml:space="preserve">samples, </w:t>
      </w:r>
      <w:r w:rsidR="00642387">
        <w:t>collected</w:t>
      </w:r>
      <w:r w:rsidR="00642387" w:rsidRPr="00D37C2D">
        <w:t xml:space="preserve"> in compostable </w:t>
      </w:r>
      <w:r w:rsidR="00642387">
        <w:t>bags</w:t>
      </w:r>
      <w:r w:rsidR="002C7300">
        <w:t>, were</w:t>
      </w:r>
      <w:r w:rsidR="00642387" w:rsidRPr="00D37C2D">
        <w:t xml:space="preserve"> placed inside a single-use container of 10</w:t>
      </w:r>
      <w:r w:rsidR="00642387">
        <w:t xml:space="preserve"> L</w:t>
      </w:r>
      <w:r w:rsidR="002C7300">
        <w:t xml:space="preserve"> and stored at ambient temperature, in order to re</w:t>
      </w:r>
      <w:r w:rsidR="00642387">
        <w:t>plicate</w:t>
      </w:r>
      <w:r w:rsidR="00642387" w:rsidRPr="00D37C2D">
        <w:t xml:space="preserve"> the </w:t>
      </w:r>
      <w:r w:rsidR="00642387">
        <w:t>real</w:t>
      </w:r>
      <w:r w:rsidR="00642387" w:rsidRPr="00D37C2D">
        <w:t xml:space="preserve"> </w:t>
      </w:r>
      <w:r w:rsidR="005A6490">
        <w:t>OFMSW</w:t>
      </w:r>
      <w:r w:rsidR="005A6490" w:rsidRPr="00D37C2D">
        <w:t xml:space="preserve"> storage </w:t>
      </w:r>
      <w:r w:rsidR="00642387" w:rsidRPr="00D37C2D">
        <w:t xml:space="preserve">conditions </w:t>
      </w:r>
      <w:r w:rsidR="005A6490">
        <w:t>in the</w:t>
      </w:r>
      <w:r w:rsidR="00642387" w:rsidRPr="00D37C2D">
        <w:t xml:space="preserve"> transfer station</w:t>
      </w:r>
      <w:r w:rsidR="002C7300">
        <w:t>s</w:t>
      </w:r>
      <w:r w:rsidR="00642387" w:rsidRPr="00D37C2D">
        <w:t>.</w:t>
      </w:r>
      <w:r w:rsidR="008E01E5">
        <w:t xml:space="preserve"> </w:t>
      </w:r>
      <w:r w:rsidR="005A6490" w:rsidRPr="005A6490">
        <w:t>The samples were then investigated over time, in 8 different steps starting from 0 to 72 hours (time steps: 0, 4, 8, 24, 36, 48, 60, 72 hours).</w:t>
      </w:r>
      <w:r w:rsidR="005A6490">
        <w:t xml:space="preserve"> </w:t>
      </w:r>
      <w:r w:rsidR="00C230E3" w:rsidRPr="00C230E3">
        <w:t>For each sample, chemical-physical characterization and olfactometric analysis were carried out. During the monitoring period, a total of 336 chemical-physical analyzes and 48 olfactometric analyzes were carried out</w:t>
      </w:r>
      <w:r w:rsidR="00565DE5">
        <w:t>. All investigations were carried out at the Sanitary Environmental Engineering Division (SEED) Laboratory of the Department of Civil Engineering of the University of Salerno.</w:t>
      </w:r>
    </w:p>
    <w:p w14:paraId="5C904EC7" w14:textId="5281E00D" w:rsidR="00C11613" w:rsidRDefault="00E84ADF" w:rsidP="00E84ADF">
      <w:pPr>
        <w:pStyle w:val="CETBodytext"/>
        <w:keepNext/>
        <w:spacing w:line="240" w:lineRule="auto"/>
        <w:jc w:val="center"/>
      </w:pPr>
      <w:r w:rsidRPr="00E84ADF">
        <w:rPr>
          <w:noProof/>
          <w:lang w:val="it-IT" w:eastAsia="it-IT"/>
        </w:rPr>
        <w:lastRenderedPageBreak/>
        <w:drawing>
          <wp:inline distT="0" distB="0" distL="0" distR="0" wp14:anchorId="1AB7D86A" wp14:editId="15271876">
            <wp:extent cx="3589648" cy="1810139"/>
            <wp:effectExtent l="0" t="0" r="0" b="0"/>
            <wp:docPr id="3" name="Immagine 3" descr="G:\Il mio Drive\Il mio Drive\Work\SEED\Conferenze\Nose2024\File per redazione articolo\Immagini DEF\Food com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Il mio Drive\Work\SEED\Conferenze\Nose2024\File per redazione articolo\Immagini DEF\Food composi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948" cy="1837521"/>
                    </a:xfrm>
                    <a:prstGeom prst="rect">
                      <a:avLst/>
                    </a:prstGeom>
                    <a:noFill/>
                    <a:ln>
                      <a:noFill/>
                    </a:ln>
                  </pic:spPr>
                </pic:pic>
              </a:graphicData>
            </a:graphic>
          </wp:inline>
        </w:drawing>
      </w:r>
    </w:p>
    <w:p w14:paraId="590074CC" w14:textId="24FFB65B" w:rsidR="002E5324" w:rsidRDefault="00C11613" w:rsidP="00C11613">
      <w:pPr>
        <w:pStyle w:val="CETCaption"/>
        <w:jc w:val="center"/>
      </w:pPr>
      <w:bookmarkStart w:id="0" w:name="_Ref161753414"/>
      <w:r>
        <w:t xml:space="preserve">Figure </w:t>
      </w:r>
      <w:r>
        <w:fldChar w:fldCharType="begin"/>
      </w:r>
      <w:r>
        <w:instrText xml:space="preserve"> SEQ Figure \* ARABIC </w:instrText>
      </w:r>
      <w:r>
        <w:fldChar w:fldCharType="separate"/>
      </w:r>
      <w:r w:rsidR="00470E91">
        <w:rPr>
          <w:noProof/>
        </w:rPr>
        <w:t>1</w:t>
      </w:r>
      <w:r>
        <w:fldChar w:fldCharType="end"/>
      </w:r>
      <w:bookmarkEnd w:id="0"/>
      <w:r>
        <w:t xml:space="preserve">: </w:t>
      </w:r>
      <w:r w:rsidR="00E224D0">
        <w:t>F</w:t>
      </w:r>
      <w:r w:rsidR="00945997">
        <w:t>ood</w:t>
      </w:r>
      <w:r w:rsidR="00A012D0" w:rsidRPr="00A012D0">
        <w:t xml:space="preserve"> composition</w:t>
      </w:r>
      <w:r w:rsidR="00E84ADF">
        <w:t xml:space="preserve"> % of</w:t>
      </w:r>
      <w:r w:rsidR="00E224D0">
        <w:t xml:space="preserve"> </w:t>
      </w:r>
      <w:r w:rsidR="00CE70BE">
        <w:t>the synthetic prepared and investigated OFMSW</w:t>
      </w:r>
    </w:p>
    <w:p w14:paraId="1721935D" w14:textId="44CAD1FE" w:rsidR="00115040" w:rsidRPr="00115040" w:rsidRDefault="00115040" w:rsidP="00115040">
      <w:pPr>
        <w:pStyle w:val="CETheadingx"/>
      </w:pPr>
      <w:r w:rsidRPr="00115040">
        <w:t>Chemical-physics characterization</w:t>
      </w:r>
    </w:p>
    <w:p w14:paraId="04D80E33" w14:textId="67FB8147" w:rsidR="00CE70BE" w:rsidRDefault="00F74061" w:rsidP="00AF211B">
      <w:pPr>
        <w:pStyle w:val="CETBodytext"/>
      </w:pPr>
      <w:r>
        <w:fldChar w:fldCharType="begin"/>
      </w:r>
      <w:r>
        <w:instrText xml:space="preserve"> REF _Ref161753638 </w:instrText>
      </w:r>
      <w:r>
        <w:fldChar w:fldCharType="separate"/>
      </w:r>
      <w:r w:rsidR="00470E91">
        <w:t xml:space="preserve">Table </w:t>
      </w:r>
      <w:r w:rsidR="00470E91">
        <w:rPr>
          <w:noProof/>
        </w:rPr>
        <w:t>1</w:t>
      </w:r>
      <w:r>
        <w:fldChar w:fldCharType="end"/>
      </w:r>
      <w:r>
        <w:t xml:space="preserve"> shows t</w:t>
      </w:r>
      <w:r w:rsidR="00DC021E" w:rsidRPr="00DC021E">
        <w:t>he experimental</w:t>
      </w:r>
      <w:r>
        <w:t xml:space="preserve"> parameters investigated for</w:t>
      </w:r>
      <w:r w:rsidR="00DC021E" w:rsidRPr="00DC021E">
        <w:t xml:space="preserve"> the chemical</w:t>
      </w:r>
      <w:r w:rsidR="00DC021E">
        <w:t>-</w:t>
      </w:r>
      <w:r w:rsidR="00DC021E" w:rsidRPr="00DC021E">
        <w:t>physical characterization</w:t>
      </w:r>
      <w:r w:rsidR="002C7300">
        <w:t xml:space="preserve"> of the six investigated samples</w:t>
      </w:r>
      <w:r w:rsidR="00361E7A">
        <w:t xml:space="preserve">, along with the respective methods and instrumentation used for </w:t>
      </w:r>
      <w:r w:rsidR="00CC5EEC">
        <w:t xml:space="preserve">their </w:t>
      </w:r>
      <w:r w:rsidR="00361E7A">
        <w:t>determination.</w:t>
      </w:r>
      <w:r w:rsidR="002C7300">
        <w:t xml:space="preserve"> </w:t>
      </w:r>
    </w:p>
    <w:p w14:paraId="3683C8D0" w14:textId="3A0AAE00" w:rsidR="00F74061" w:rsidRDefault="00CE70BE" w:rsidP="00AF211B">
      <w:pPr>
        <w:pStyle w:val="CETBodytext"/>
      </w:pPr>
      <w:r>
        <w:t>R</w:t>
      </w:r>
      <w:r w:rsidR="002C7300">
        <w:t>epresent</w:t>
      </w:r>
      <w:r w:rsidR="004C7723">
        <w:t>ative sample</w:t>
      </w:r>
      <w:r w:rsidR="002C7300">
        <w:t xml:space="preserve"> was collected according to the </w:t>
      </w:r>
      <w:r>
        <w:t>NWTC (</w:t>
      </w:r>
      <w:r w:rsidRPr="00CE70BE">
        <w:t>National Waste Thematic Centers</w:t>
      </w:r>
      <w:r>
        <w:t>)</w:t>
      </w:r>
      <w:r w:rsidR="002C7300">
        <w:t xml:space="preserve"> Italian technical norm. </w:t>
      </w:r>
    </w:p>
    <w:p w14:paraId="0091868B" w14:textId="4257FB1C" w:rsidR="00C147B3" w:rsidRDefault="00C147B3" w:rsidP="00C147B3">
      <w:pPr>
        <w:pStyle w:val="CETTabletitle"/>
      </w:pPr>
      <w:bookmarkStart w:id="1" w:name="_Ref161753638"/>
      <w:r>
        <w:t xml:space="preserve">Table </w:t>
      </w:r>
      <w:r>
        <w:fldChar w:fldCharType="begin"/>
      </w:r>
      <w:r>
        <w:instrText xml:space="preserve"> SEQ Table \* ARABIC </w:instrText>
      </w:r>
      <w:r>
        <w:fldChar w:fldCharType="separate"/>
      </w:r>
      <w:r w:rsidR="00470E91">
        <w:rPr>
          <w:noProof/>
        </w:rPr>
        <w:t>1</w:t>
      </w:r>
      <w:r>
        <w:fldChar w:fldCharType="end"/>
      </w:r>
      <w:bookmarkEnd w:id="1"/>
      <w:r w:rsidRPr="0015336A">
        <w:rPr>
          <w:bCs/>
        </w:rPr>
        <w:t xml:space="preserve">: </w:t>
      </w:r>
      <w:r>
        <w:t xml:space="preserve">chemical-physics parameters </w:t>
      </w:r>
      <w:r w:rsidR="00036120">
        <w:rPr>
          <w:bCs/>
        </w:rPr>
        <w:t>investigated</w:t>
      </w:r>
    </w:p>
    <w:tbl>
      <w:tblPr>
        <w:tblpPr w:leftFromText="180" w:rightFromText="180" w:vertAnchor="text" w:horzAnchor="margin" w:tblpXSpec="center" w:tblpY="122"/>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276"/>
        <w:gridCol w:w="3118"/>
        <w:gridCol w:w="2975"/>
      </w:tblGrid>
      <w:tr w:rsidR="00A33BC9" w:rsidRPr="00F74061" w14:paraId="4F0CFA02" w14:textId="77777777" w:rsidTr="00D132BE">
        <w:trPr>
          <w:trHeight w:val="403"/>
        </w:trPr>
        <w:tc>
          <w:tcPr>
            <w:tcW w:w="807" w:type="pct"/>
            <w:tcBorders>
              <w:top w:val="single" w:sz="12" w:space="0" w:color="008000"/>
              <w:bottom w:val="single" w:sz="6" w:space="0" w:color="008000"/>
            </w:tcBorders>
            <w:shd w:val="clear" w:color="auto" w:fill="FFFFFF"/>
            <w:vAlign w:val="center"/>
          </w:tcPr>
          <w:p w14:paraId="0B9A56E5" w14:textId="77777777" w:rsidR="00A33BC9" w:rsidRPr="00F74061" w:rsidRDefault="00A33BC9" w:rsidP="0063280C">
            <w:pPr>
              <w:pStyle w:val="CETBodytext"/>
              <w:jc w:val="center"/>
              <w:rPr>
                <w:b/>
                <w:bCs/>
                <w:szCs w:val="18"/>
                <w:lang w:val="en-GB"/>
              </w:rPr>
            </w:pPr>
            <w:r w:rsidRPr="00F74061">
              <w:rPr>
                <w:b/>
                <w:bCs/>
                <w:szCs w:val="18"/>
                <w:lang w:val="en-GB"/>
              </w:rPr>
              <w:t>Parameter</w:t>
            </w:r>
          </w:p>
        </w:tc>
        <w:tc>
          <w:tcPr>
            <w:tcW w:w="726" w:type="pct"/>
            <w:tcBorders>
              <w:top w:val="single" w:sz="12" w:space="0" w:color="008000"/>
              <w:bottom w:val="single" w:sz="6" w:space="0" w:color="008000"/>
            </w:tcBorders>
            <w:shd w:val="clear" w:color="auto" w:fill="FFFFFF"/>
            <w:vAlign w:val="center"/>
          </w:tcPr>
          <w:p w14:paraId="3B043448" w14:textId="53C93484" w:rsidR="00A33BC9" w:rsidRPr="00F74061" w:rsidRDefault="00CE70BE" w:rsidP="0063280C">
            <w:pPr>
              <w:pStyle w:val="CETBodytext"/>
              <w:jc w:val="center"/>
              <w:rPr>
                <w:b/>
                <w:bCs/>
                <w:szCs w:val="18"/>
                <w:lang w:val="en-GB"/>
              </w:rPr>
            </w:pPr>
            <w:r>
              <w:rPr>
                <w:b/>
                <w:bCs/>
                <w:szCs w:val="18"/>
                <w:lang w:val="en-GB"/>
              </w:rPr>
              <w:t>m</w:t>
            </w:r>
            <w:r w:rsidR="00A33BC9" w:rsidRPr="00F74061">
              <w:rPr>
                <w:b/>
                <w:bCs/>
                <w:szCs w:val="18"/>
                <w:lang w:val="en-GB"/>
              </w:rPr>
              <w:t>easure</w:t>
            </w:r>
            <w:r>
              <w:rPr>
                <w:b/>
                <w:bCs/>
                <w:szCs w:val="18"/>
                <w:lang w:val="en-GB"/>
              </w:rPr>
              <w:t>ment</w:t>
            </w:r>
            <w:r w:rsidR="00A33BC9" w:rsidRPr="00F74061">
              <w:rPr>
                <w:b/>
                <w:bCs/>
                <w:szCs w:val="18"/>
                <w:lang w:val="en-GB"/>
              </w:rPr>
              <w:t xml:space="preserve"> unit</w:t>
            </w:r>
          </w:p>
        </w:tc>
        <w:tc>
          <w:tcPr>
            <w:tcW w:w="1774" w:type="pct"/>
            <w:tcBorders>
              <w:top w:val="single" w:sz="12" w:space="0" w:color="008000"/>
              <w:bottom w:val="single" w:sz="6" w:space="0" w:color="008000"/>
            </w:tcBorders>
            <w:shd w:val="clear" w:color="auto" w:fill="FFFFFF"/>
            <w:vAlign w:val="center"/>
          </w:tcPr>
          <w:p w14:paraId="2B5684A0" w14:textId="77777777" w:rsidR="00A33BC9" w:rsidRPr="00F74061" w:rsidRDefault="00A33BC9" w:rsidP="0063280C">
            <w:pPr>
              <w:pStyle w:val="CETBodytext"/>
              <w:jc w:val="center"/>
              <w:rPr>
                <w:b/>
                <w:bCs/>
                <w:szCs w:val="18"/>
                <w:lang w:val="en-GB"/>
              </w:rPr>
            </w:pPr>
            <w:r w:rsidRPr="00F74061">
              <w:rPr>
                <w:b/>
                <w:bCs/>
                <w:szCs w:val="18"/>
                <w:lang w:val="en-GB"/>
              </w:rPr>
              <w:t>Instrument</w:t>
            </w:r>
          </w:p>
        </w:tc>
        <w:tc>
          <w:tcPr>
            <w:tcW w:w="1693" w:type="pct"/>
            <w:tcBorders>
              <w:top w:val="single" w:sz="12" w:space="0" w:color="008000"/>
              <w:bottom w:val="single" w:sz="6" w:space="0" w:color="008000"/>
            </w:tcBorders>
            <w:shd w:val="clear" w:color="auto" w:fill="FFFFFF"/>
            <w:vAlign w:val="center"/>
          </w:tcPr>
          <w:p w14:paraId="312AB921" w14:textId="77777777" w:rsidR="00A33BC9" w:rsidRPr="00F74061" w:rsidRDefault="00A33BC9" w:rsidP="0063280C">
            <w:pPr>
              <w:pStyle w:val="CETBodytext"/>
              <w:jc w:val="center"/>
              <w:rPr>
                <w:b/>
                <w:bCs/>
                <w:szCs w:val="18"/>
                <w:vertAlign w:val="superscript"/>
                <w:lang w:val="en-GB"/>
              </w:rPr>
            </w:pPr>
            <w:r w:rsidRPr="00F74061">
              <w:rPr>
                <w:b/>
                <w:bCs/>
                <w:szCs w:val="18"/>
                <w:lang w:val="en-GB"/>
              </w:rPr>
              <w:t>Method</w:t>
            </w:r>
          </w:p>
        </w:tc>
      </w:tr>
      <w:tr w:rsidR="00F74061" w:rsidRPr="00F74061" w14:paraId="40BFA0C9" w14:textId="77777777" w:rsidTr="00D132BE">
        <w:trPr>
          <w:trHeight w:val="283"/>
        </w:trPr>
        <w:tc>
          <w:tcPr>
            <w:tcW w:w="807" w:type="pct"/>
            <w:tcBorders>
              <w:top w:val="single" w:sz="6" w:space="0" w:color="008000"/>
              <w:bottom w:val="single" w:sz="6" w:space="0" w:color="008000"/>
            </w:tcBorders>
            <w:shd w:val="clear" w:color="auto" w:fill="FFFFFF"/>
            <w:vAlign w:val="center"/>
          </w:tcPr>
          <w:p w14:paraId="3FE00275" w14:textId="77777777" w:rsidR="00F74061" w:rsidRPr="00F74061" w:rsidRDefault="00F74061" w:rsidP="00A33BC9">
            <w:pPr>
              <w:pStyle w:val="CETBodytext"/>
              <w:jc w:val="center"/>
              <w:rPr>
                <w:b/>
                <w:bCs/>
                <w:szCs w:val="18"/>
                <w:lang w:val="en-GB"/>
              </w:rPr>
            </w:pPr>
            <w:r w:rsidRPr="00F74061">
              <w:rPr>
                <w:b/>
                <w:bCs/>
                <w:szCs w:val="18"/>
                <w:lang w:val="en-GB"/>
              </w:rPr>
              <w:t>pH</w:t>
            </w:r>
          </w:p>
        </w:tc>
        <w:tc>
          <w:tcPr>
            <w:tcW w:w="726" w:type="pct"/>
            <w:tcBorders>
              <w:top w:val="single" w:sz="6" w:space="0" w:color="008000"/>
              <w:bottom w:val="single" w:sz="6" w:space="0" w:color="008000"/>
            </w:tcBorders>
            <w:shd w:val="clear" w:color="auto" w:fill="FFFFFF"/>
            <w:vAlign w:val="center"/>
          </w:tcPr>
          <w:p w14:paraId="0FCB1348" w14:textId="4CA60F2A" w:rsidR="00F74061" w:rsidRPr="00F74061" w:rsidRDefault="00F74061" w:rsidP="00A33BC9">
            <w:pPr>
              <w:pStyle w:val="CETBodytext"/>
              <w:jc w:val="center"/>
              <w:rPr>
                <w:szCs w:val="18"/>
                <w:lang w:val="en-GB"/>
              </w:rPr>
            </w:pPr>
            <w:r w:rsidRPr="00F74061">
              <w:rPr>
                <w:szCs w:val="18"/>
                <w:lang w:val="en-GB"/>
              </w:rPr>
              <w:t>---</w:t>
            </w:r>
          </w:p>
        </w:tc>
        <w:tc>
          <w:tcPr>
            <w:tcW w:w="1774" w:type="pct"/>
            <w:vMerge w:val="restart"/>
            <w:tcBorders>
              <w:top w:val="single" w:sz="6" w:space="0" w:color="008000"/>
              <w:bottom w:val="nil"/>
            </w:tcBorders>
            <w:shd w:val="clear" w:color="auto" w:fill="FFFFFF"/>
            <w:vAlign w:val="center"/>
          </w:tcPr>
          <w:p w14:paraId="1907732B" w14:textId="77777777" w:rsidR="003766BD" w:rsidRDefault="00F74061" w:rsidP="00A33BC9">
            <w:pPr>
              <w:pStyle w:val="CETBodytext"/>
              <w:jc w:val="center"/>
              <w:rPr>
                <w:szCs w:val="18"/>
              </w:rPr>
            </w:pPr>
            <w:r>
              <w:rPr>
                <w:szCs w:val="18"/>
              </w:rPr>
              <w:t>multiparameter probe</w:t>
            </w:r>
            <w:r w:rsidRPr="00F74061">
              <w:rPr>
                <w:szCs w:val="18"/>
              </w:rPr>
              <w:t xml:space="preserve"> </w:t>
            </w:r>
          </w:p>
          <w:p w14:paraId="7CAF5D49" w14:textId="6223F8AA" w:rsidR="00F74061" w:rsidRPr="00F74061" w:rsidRDefault="00F74061" w:rsidP="00A33BC9">
            <w:pPr>
              <w:pStyle w:val="CETBodytext"/>
              <w:jc w:val="center"/>
              <w:rPr>
                <w:szCs w:val="18"/>
                <w:lang w:val="en-GB"/>
              </w:rPr>
            </w:pPr>
            <w:r w:rsidRPr="00F74061">
              <w:rPr>
                <w:szCs w:val="18"/>
              </w:rPr>
              <w:t>(HI5521-Hanna Instruments)</w:t>
            </w:r>
          </w:p>
        </w:tc>
        <w:tc>
          <w:tcPr>
            <w:tcW w:w="1693" w:type="pct"/>
            <w:tcBorders>
              <w:top w:val="single" w:sz="6" w:space="0" w:color="008000"/>
              <w:bottom w:val="nil"/>
            </w:tcBorders>
            <w:shd w:val="clear" w:color="auto" w:fill="FFFFFF"/>
            <w:vAlign w:val="center"/>
          </w:tcPr>
          <w:p w14:paraId="6E9AB932" w14:textId="2B17FF15" w:rsidR="00F74061" w:rsidRPr="00F74061" w:rsidRDefault="00F74061" w:rsidP="002124D6">
            <w:pPr>
              <w:pStyle w:val="CETBodytext"/>
              <w:jc w:val="center"/>
              <w:rPr>
                <w:szCs w:val="18"/>
                <w:lang w:val="en-GB"/>
              </w:rPr>
            </w:pPr>
            <w:r w:rsidRPr="00F74061">
              <w:rPr>
                <w:szCs w:val="18"/>
                <w:lang w:val="en-GB"/>
              </w:rPr>
              <w:t>adapted from APAT CNR IRSA 2060</w:t>
            </w:r>
          </w:p>
        </w:tc>
      </w:tr>
      <w:tr w:rsidR="00F74061" w:rsidRPr="00F74061" w14:paraId="4202119A" w14:textId="77777777" w:rsidTr="00D132BE">
        <w:trPr>
          <w:trHeight w:val="283"/>
        </w:trPr>
        <w:tc>
          <w:tcPr>
            <w:tcW w:w="807" w:type="pct"/>
            <w:tcBorders>
              <w:top w:val="single" w:sz="6" w:space="0" w:color="008000"/>
              <w:bottom w:val="single" w:sz="6" w:space="0" w:color="008000"/>
            </w:tcBorders>
            <w:shd w:val="clear" w:color="auto" w:fill="FFFFFF"/>
            <w:vAlign w:val="center"/>
          </w:tcPr>
          <w:p w14:paraId="12880EF9" w14:textId="77777777" w:rsidR="00F74061" w:rsidRPr="00F74061" w:rsidRDefault="00F74061" w:rsidP="00A33BC9">
            <w:pPr>
              <w:pStyle w:val="CETBodytext"/>
              <w:jc w:val="center"/>
              <w:rPr>
                <w:b/>
                <w:bCs/>
                <w:szCs w:val="18"/>
                <w:lang w:val="en-GB"/>
              </w:rPr>
            </w:pPr>
            <w:r w:rsidRPr="00F74061">
              <w:rPr>
                <w:b/>
                <w:bCs/>
                <w:szCs w:val="18"/>
                <w:lang w:val="en-GB"/>
              </w:rPr>
              <w:t>Temperature</w:t>
            </w:r>
          </w:p>
        </w:tc>
        <w:tc>
          <w:tcPr>
            <w:tcW w:w="726" w:type="pct"/>
            <w:tcBorders>
              <w:top w:val="single" w:sz="6" w:space="0" w:color="008000"/>
              <w:bottom w:val="single" w:sz="6" w:space="0" w:color="008000"/>
            </w:tcBorders>
            <w:shd w:val="clear" w:color="auto" w:fill="FFFFFF"/>
            <w:vAlign w:val="center"/>
          </w:tcPr>
          <w:p w14:paraId="08B312AB" w14:textId="4D44F776" w:rsidR="00F74061" w:rsidRPr="00F74061" w:rsidRDefault="00F74061" w:rsidP="00A33BC9">
            <w:pPr>
              <w:pStyle w:val="CETBodytext"/>
              <w:jc w:val="center"/>
              <w:rPr>
                <w:szCs w:val="18"/>
                <w:lang w:val="en-GB"/>
              </w:rPr>
            </w:pPr>
            <w:r w:rsidRPr="00F74061">
              <w:rPr>
                <w:szCs w:val="18"/>
              </w:rPr>
              <w:t>°C</w:t>
            </w:r>
          </w:p>
        </w:tc>
        <w:tc>
          <w:tcPr>
            <w:tcW w:w="1774" w:type="pct"/>
            <w:vMerge/>
            <w:tcBorders>
              <w:top w:val="single" w:sz="6" w:space="0" w:color="008000"/>
              <w:bottom w:val="nil"/>
            </w:tcBorders>
            <w:shd w:val="clear" w:color="auto" w:fill="FFFFFF"/>
            <w:vAlign w:val="center"/>
          </w:tcPr>
          <w:p w14:paraId="58DFE40A" w14:textId="1F6B35CB" w:rsidR="00F74061" w:rsidRPr="00F74061" w:rsidRDefault="00F74061" w:rsidP="00F74061">
            <w:pPr>
              <w:pStyle w:val="CETBodytext"/>
              <w:rPr>
                <w:szCs w:val="18"/>
                <w:lang w:val="en-GB"/>
              </w:rPr>
            </w:pPr>
          </w:p>
        </w:tc>
        <w:tc>
          <w:tcPr>
            <w:tcW w:w="1693" w:type="pct"/>
            <w:tcBorders>
              <w:top w:val="single" w:sz="6" w:space="0" w:color="008000"/>
              <w:bottom w:val="nil"/>
            </w:tcBorders>
            <w:shd w:val="clear" w:color="auto" w:fill="FFFFFF"/>
            <w:vAlign w:val="center"/>
          </w:tcPr>
          <w:p w14:paraId="203C3D22" w14:textId="6EBE88FB" w:rsidR="00F74061" w:rsidRPr="00F74061" w:rsidRDefault="00F74061" w:rsidP="00A33BC9">
            <w:pPr>
              <w:pStyle w:val="CETBodytext"/>
              <w:jc w:val="center"/>
              <w:rPr>
                <w:szCs w:val="18"/>
                <w:lang w:val="en-GB"/>
              </w:rPr>
            </w:pPr>
            <w:r w:rsidRPr="00F74061">
              <w:rPr>
                <w:szCs w:val="18"/>
                <w:lang w:val="en-GB"/>
              </w:rPr>
              <w:t>adapted from APAT CNR IRSA 2100</w:t>
            </w:r>
          </w:p>
        </w:tc>
      </w:tr>
      <w:tr w:rsidR="00F74061" w:rsidRPr="00F74061" w14:paraId="3E73A958" w14:textId="77777777" w:rsidTr="00D132BE">
        <w:trPr>
          <w:trHeight w:val="283"/>
        </w:trPr>
        <w:tc>
          <w:tcPr>
            <w:tcW w:w="807" w:type="pct"/>
            <w:tcBorders>
              <w:top w:val="single" w:sz="6" w:space="0" w:color="008000"/>
              <w:bottom w:val="single" w:sz="6" w:space="0" w:color="008000"/>
            </w:tcBorders>
            <w:shd w:val="clear" w:color="auto" w:fill="FFFFFF"/>
            <w:vAlign w:val="center"/>
          </w:tcPr>
          <w:p w14:paraId="646A0906" w14:textId="2A3993CF" w:rsidR="00F74061" w:rsidRPr="00F74061" w:rsidRDefault="00F74061" w:rsidP="00A33BC9">
            <w:pPr>
              <w:pStyle w:val="CETBodytext"/>
              <w:ind w:right="-1"/>
              <w:jc w:val="center"/>
              <w:rPr>
                <w:rFonts w:cs="Arial"/>
                <w:b/>
                <w:bCs/>
                <w:szCs w:val="18"/>
                <w:lang w:val="en-GB"/>
              </w:rPr>
            </w:pPr>
            <w:r w:rsidRPr="00F74061">
              <w:rPr>
                <w:rFonts w:cs="Arial"/>
                <w:b/>
                <w:bCs/>
                <w:szCs w:val="18"/>
                <w:lang w:val="en-GB"/>
              </w:rPr>
              <w:t>Humidity</w:t>
            </w:r>
          </w:p>
        </w:tc>
        <w:tc>
          <w:tcPr>
            <w:tcW w:w="726" w:type="pct"/>
            <w:tcBorders>
              <w:top w:val="single" w:sz="6" w:space="0" w:color="008000"/>
              <w:bottom w:val="single" w:sz="6" w:space="0" w:color="008000"/>
            </w:tcBorders>
            <w:shd w:val="clear" w:color="auto" w:fill="FFFFFF"/>
            <w:vAlign w:val="center"/>
          </w:tcPr>
          <w:p w14:paraId="52E92157" w14:textId="35C1CA26" w:rsidR="00F74061" w:rsidRPr="00F74061" w:rsidRDefault="003766BD" w:rsidP="00A33BC9">
            <w:pPr>
              <w:pStyle w:val="CETBodytext"/>
              <w:ind w:right="-1"/>
              <w:jc w:val="center"/>
              <w:rPr>
                <w:rFonts w:cs="Arial"/>
                <w:szCs w:val="18"/>
                <w:lang w:val="en-GB"/>
              </w:rPr>
            </w:pPr>
            <w:r>
              <w:rPr>
                <w:szCs w:val="18"/>
              </w:rPr>
              <w:t>%rh</w:t>
            </w:r>
          </w:p>
        </w:tc>
        <w:tc>
          <w:tcPr>
            <w:tcW w:w="1774" w:type="pct"/>
            <w:tcBorders>
              <w:top w:val="single" w:sz="6" w:space="0" w:color="008000"/>
              <w:bottom w:val="nil"/>
            </w:tcBorders>
            <w:shd w:val="clear" w:color="auto" w:fill="FFFFFF"/>
            <w:vAlign w:val="center"/>
          </w:tcPr>
          <w:p w14:paraId="54B0F19A" w14:textId="1077EAC9" w:rsidR="00F74061" w:rsidRPr="00F74061" w:rsidRDefault="003766BD" w:rsidP="003766BD">
            <w:pPr>
              <w:pStyle w:val="CETBodytext"/>
              <w:ind w:right="-1"/>
              <w:jc w:val="center"/>
              <w:rPr>
                <w:rFonts w:cs="Arial"/>
                <w:szCs w:val="18"/>
                <w:lang w:val="en-GB"/>
              </w:rPr>
            </w:pPr>
            <w:r>
              <w:rPr>
                <w:szCs w:val="18"/>
              </w:rPr>
              <w:t xml:space="preserve">oven at </w:t>
            </w:r>
            <w:r w:rsidR="00F74061" w:rsidRPr="00F74061">
              <w:rPr>
                <w:szCs w:val="18"/>
              </w:rPr>
              <w:t>105°C</w:t>
            </w:r>
          </w:p>
        </w:tc>
        <w:tc>
          <w:tcPr>
            <w:tcW w:w="1693" w:type="pct"/>
            <w:vMerge w:val="restart"/>
            <w:tcBorders>
              <w:top w:val="single" w:sz="6" w:space="0" w:color="008000"/>
              <w:bottom w:val="nil"/>
            </w:tcBorders>
            <w:shd w:val="clear" w:color="auto" w:fill="FFFFFF"/>
            <w:vAlign w:val="center"/>
          </w:tcPr>
          <w:p w14:paraId="23318979" w14:textId="2D12127A" w:rsidR="00F74061" w:rsidRPr="00F74061" w:rsidRDefault="00F74061" w:rsidP="00A33BC9">
            <w:pPr>
              <w:pStyle w:val="CETBodytext"/>
              <w:ind w:right="-1"/>
              <w:jc w:val="center"/>
              <w:rPr>
                <w:rFonts w:cs="Arial"/>
                <w:szCs w:val="18"/>
                <w:lang w:val="en-GB"/>
              </w:rPr>
            </w:pPr>
            <w:r w:rsidRPr="00F74061">
              <w:rPr>
                <w:szCs w:val="18"/>
              </w:rPr>
              <w:t>CNR IRSA 2 Q 64 Vol. 2</w:t>
            </w:r>
          </w:p>
        </w:tc>
      </w:tr>
      <w:tr w:rsidR="00F74061" w:rsidRPr="00F74061" w14:paraId="01BB744D" w14:textId="77777777" w:rsidTr="00D132BE">
        <w:trPr>
          <w:trHeight w:val="283"/>
        </w:trPr>
        <w:tc>
          <w:tcPr>
            <w:tcW w:w="807" w:type="pct"/>
            <w:tcBorders>
              <w:top w:val="single" w:sz="6" w:space="0" w:color="008000"/>
              <w:bottom w:val="single" w:sz="6" w:space="0" w:color="008000"/>
            </w:tcBorders>
            <w:shd w:val="clear" w:color="auto" w:fill="FFFFFF"/>
            <w:vAlign w:val="center"/>
          </w:tcPr>
          <w:p w14:paraId="76346C42" w14:textId="77777777" w:rsidR="00F74061" w:rsidRPr="00F74061" w:rsidRDefault="00F74061" w:rsidP="00A33BC9">
            <w:pPr>
              <w:pStyle w:val="CETBodytext"/>
              <w:ind w:right="-1"/>
              <w:jc w:val="center"/>
              <w:rPr>
                <w:rFonts w:cs="Arial"/>
                <w:b/>
                <w:bCs/>
                <w:szCs w:val="18"/>
                <w:lang w:val="en-GB"/>
              </w:rPr>
            </w:pPr>
            <w:r w:rsidRPr="00F74061">
              <w:rPr>
                <w:rFonts w:cs="Arial"/>
                <w:b/>
                <w:bCs/>
                <w:szCs w:val="18"/>
                <w:lang w:val="en-GB"/>
              </w:rPr>
              <w:t>Volatile solids</w:t>
            </w:r>
          </w:p>
        </w:tc>
        <w:tc>
          <w:tcPr>
            <w:tcW w:w="726" w:type="pct"/>
            <w:tcBorders>
              <w:top w:val="single" w:sz="6" w:space="0" w:color="008000"/>
              <w:bottom w:val="single" w:sz="6" w:space="0" w:color="008000"/>
            </w:tcBorders>
            <w:shd w:val="clear" w:color="auto" w:fill="FFFFFF"/>
            <w:vAlign w:val="center"/>
          </w:tcPr>
          <w:p w14:paraId="542A1144" w14:textId="3EDB3FF8" w:rsidR="00F74061" w:rsidRPr="00F74061" w:rsidRDefault="00F74061" w:rsidP="00A33BC9">
            <w:pPr>
              <w:pStyle w:val="CETBodytext"/>
              <w:ind w:right="-1"/>
              <w:jc w:val="center"/>
              <w:rPr>
                <w:rFonts w:cs="Arial"/>
                <w:szCs w:val="18"/>
                <w:lang w:val="en-GB"/>
              </w:rPr>
            </w:pPr>
            <w:r w:rsidRPr="00F74061">
              <w:rPr>
                <w:szCs w:val="18"/>
              </w:rPr>
              <w:t>%VS</w:t>
            </w:r>
          </w:p>
        </w:tc>
        <w:tc>
          <w:tcPr>
            <w:tcW w:w="1774" w:type="pct"/>
            <w:tcBorders>
              <w:top w:val="single" w:sz="6" w:space="0" w:color="008000"/>
              <w:bottom w:val="single" w:sz="6" w:space="0" w:color="008000"/>
            </w:tcBorders>
            <w:shd w:val="clear" w:color="auto" w:fill="FFFFFF"/>
            <w:vAlign w:val="center"/>
          </w:tcPr>
          <w:p w14:paraId="6CE5501E" w14:textId="6A3D33D0" w:rsidR="00F74061" w:rsidRPr="00F74061" w:rsidRDefault="003766BD" w:rsidP="00A33BC9">
            <w:pPr>
              <w:pStyle w:val="CETBodytext"/>
              <w:ind w:right="-1"/>
              <w:jc w:val="center"/>
              <w:rPr>
                <w:rFonts w:cs="Arial"/>
                <w:szCs w:val="18"/>
                <w:lang w:val="en-GB"/>
              </w:rPr>
            </w:pPr>
            <w:r>
              <w:rPr>
                <w:szCs w:val="18"/>
              </w:rPr>
              <w:t>muffle furnace at 550°C</w:t>
            </w:r>
          </w:p>
        </w:tc>
        <w:tc>
          <w:tcPr>
            <w:tcW w:w="1693" w:type="pct"/>
            <w:vMerge/>
            <w:tcBorders>
              <w:top w:val="single" w:sz="6" w:space="0" w:color="008000"/>
              <w:bottom w:val="single" w:sz="6" w:space="0" w:color="008000"/>
            </w:tcBorders>
            <w:shd w:val="clear" w:color="auto" w:fill="FFFFFF"/>
            <w:vAlign w:val="center"/>
          </w:tcPr>
          <w:p w14:paraId="343F76C0" w14:textId="3AC49A40" w:rsidR="00F74061" w:rsidRPr="00F74061" w:rsidRDefault="00F74061" w:rsidP="00A33BC9">
            <w:pPr>
              <w:pStyle w:val="CETBodytext"/>
              <w:ind w:right="-1"/>
              <w:jc w:val="center"/>
              <w:rPr>
                <w:rFonts w:cs="Arial"/>
                <w:szCs w:val="18"/>
                <w:lang w:val="en-GB"/>
              </w:rPr>
            </w:pPr>
          </w:p>
        </w:tc>
      </w:tr>
      <w:tr w:rsidR="00F74061" w:rsidRPr="00F74061" w14:paraId="08B4B1D6" w14:textId="77777777" w:rsidTr="00D132BE">
        <w:trPr>
          <w:trHeight w:val="379"/>
        </w:trPr>
        <w:tc>
          <w:tcPr>
            <w:tcW w:w="807" w:type="pct"/>
            <w:tcBorders>
              <w:top w:val="single" w:sz="6" w:space="0" w:color="008000"/>
              <w:bottom w:val="single" w:sz="6" w:space="0" w:color="008000"/>
            </w:tcBorders>
            <w:shd w:val="clear" w:color="auto" w:fill="FFFFFF"/>
            <w:vAlign w:val="center"/>
          </w:tcPr>
          <w:p w14:paraId="0F696B91" w14:textId="0AE0295A" w:rsidR="00F74061" w:rsidRPr="00F74061" w:rsidRDefault="001F7262" w:rsidP="001F7262">
            <w:pPr>
              <w:pStyle w:val="CETBodytext"/>
              <w:ind w:right="-1"/>
              <w:jc w:val="center"/>
              <w:rPr>
                <w:rFonts w:cs="Arial"/>
                <w:b/>
                <w:bCs/>
                <w:szCs w:val="18"/>
                <w:lang w:val="en-GB"/>
              </w:rPr>
            </w:pPr>
            <w:r>
              <w:rPr>
                <w:rFonts w:cs="Arial"/>
                <w:b/>
                <w:bCs/>
                <w:szCs w:val="18"/>
                <w:lang w:val="en-GB"/>
              </w:rPr>
              <w:t>Higher Heating Value (HHV)</w:t>
            </w:r>
          </w:p>
        </w:tc>
        <w:tc>
          <w:tcPr>
            <w:tcW w:w="726" w:type="pct"/>
            <w:tcBorders>
              <w:top w:val="single" w:sz="6" w:space="0" w:color="008000"/>
              <w:bottom w:val="single" w:sz="6" w:space="0" w:color="008000"/>
            </w:tcBorders>
            <w:shd w:val="clear" w:color="auto" w:fill="FFFFFF"/>
            <w:vAlign w:val="center"/>
          </w:tcPr>
          <w:p w14:paraId="5A5058FE" w14:textId="422E936D" w:rsidR="00F74061" w:rsidRPr="00F74061" w:rsidRDefault="00F74061" w:rsidP="00A33BC9">
            <w:pPr>
              <w:pStyle w:val="CETBodytext"/>
              <w:ind w:right="-1"/>
              <w:jc w:val="center"/>
              <w:rPr>
                <w:rFonts w:cs="Arial"/>
                <w:szCs w:val="18"/>
                <w:lang w:val="en-GB"/>
              </w:rPr>
            </w:pPr>
            <w:r w:rsidRPr="00F74061">
              <w:rPr>
                <w:szCs w:val="18"/>
              </w:rPr>
              <w:t>kcal/kg</w:t>
            </w:r>
          </w:p>
        </w:tc>
        <w:tc>
          <w:tcPr>
            <w:tcW w:w="1774" w:type="pct"/>
            <w:vMerge w:val="restart"/>
            <w:tcBorders>
              <w:top w:val="single" w:sz="6" w:space="0" w:color="008000"/>
              <w:bottom w:val="single" w:sz="12" w:space="0" w:color="008000"/>
            </w:tcBorders>
            <w:shd w:val="clear" w:color="auto" w:fill="FFFFFF"/>
            <w:vAlign w:val="center"/>
          </w:tcPr>
          <w:p w14:paraId="57974AF8" w14:textId="77777777" w:rsidR="003766BD" w:rsidRDefault="00F74061" w:rsidP="003766BD">
            <w:pPr>
              <w:pStyle w:val="CETBodytext"/>
              <w:ind w:right="-1"/>
              <w:jc w:val="center"/>
              <w:rPr>
                <w:szCs w:val="18"/>
              </w:rPr>
            </w:pPr>
            <w:r w:rsidRPr="00F74061">
              <w:rPr>
                <w:szCs w:val="18"/>
              </w:rPr>
              <w:t xml:space="preserve">CHNSO analyzer </w:t>
            </w:r>
          </w:p>
          <w:p w14:paraId="5772E568" w14:textId="64F9A0B6" w:rsidR="00F74061" w:rsidRPr="00F74061" w:rsidRDefault="00F74061" w:rsidP="003766BD">
            <w:pPr>
              <w:pStyle w:val="CETBodytext"/>
              <w:ind w:right="-1"/>
              <w:jc w:val="center"/>
              <w:rPr>
                <w:rFonts w:cs="Arial"/>
                <w:szCs w:val="18"/>
                <w:lang w:val="en-GB"/>
              </w:rPr>
            </w:pPr>
            <w:r w:rsidRPr="00F74061">
              <w:rPr>
                <w:szCs w:val="18"/>
              </w:rPr>
              <w:t>(</w:t>
            </w:r>
            <w:r w:rsidR="003766BD">
              <w:rPr>
                <w:szCs w:val="18"/>
              </w:rPr>
              <w:t>Flash 2000-</w:t>
            </w:r>
            <w:r w:rsidRPr="00F74061">
              <w:rPr>
                <w:szCs w:val="18"/>
              </w:rPr>
              <w:t>Thermo Fisher Scientific)</w:t>
            </w:r>
          </w:p>
        </w:tc>
        <w:tc>
          <w:tcPr>
            <w:tcW w:w="1693" w:type="pct"/>
            <w:vMerge w:val="restart"/>
            <w:tcBorders>
              <w:top w:val="single" w:sz="6" w:space="0" w:color="008000"/>
              <w:bottom w:val="single" w:sz="12" w:space="0" w:color="008000"/>
            </w:tcBorders>
            <w:shd w:val="clear" w:color="auto" w:fill="FFFFFF"/>
            <w:vAlign w:val="center"/>
          </w:tcPr>
          <w:p w14:paraId="6DD7BE84" w14:textId="4CF5B8F3" w:rsidR="00F74061" w:rsidRPr="00F74061" w:rsidRDefault="00F74061" w:rsidP="00A33BC9">
            <w:pPr>
              <w:pStyle w:val="CETBodytext"/>
              <w:ind w:right="-1"/>
              <w:jc w:val="center"/>
              <w:rPr>
                <w:rFonts w:cs="Arial"/>
                <w:szCs w:val="18"/>
                <w:lang w:val="en-GB"/>
              </w:rPr>
            </w:pPr>
            <w:r w:rsidRPr="00F74061">
              <w:rPr>
                <w:szCs w:val="18"/>
              </w:rPr>
              <w:t>ASTM D 5373</w:t>
            </w:r>
          </w:p>
        </w:tc>
      </w:tr>
      <w:tr w:rsidR="00F74061" w:rsidRPr="00F74061" w14:paraId="1AF91CA5" w14:textId="77777777" w:rsidTr="00D132BE">
        <w:trPr>
          <w:trHeight w:val="379"/>
        </w:trPr>
        <w:tc>
          <w:tcPr>
            <w:tcW w:w="807" w:type="pct"/>
            <w:tcBorders>
              <w:top w:val="single" w:sz="6" w:space="0" w:color="008000"/>
              <w:bottom w:val="single" w:sz="6" w:space="0" w:color="008000"/>
            </w:tcBorders>
            <w:shd w:val="clear" w:color="auto" w:fill="FFFFFF"/>
            <w:vAlign w:val="center"/>
          </w:tcPr>
          <w:p w14:paraId="1717172B" w14:textId="38188C16" w:rsidR="00F74061" w:rsidRPr="00F74061" w:rsidRDefault="001F7262" w:rsidP="002124D6">
            <w:pPr>
              <w:pStyle w:val="CETBodytext"/>
              <w:ind w:right="-1"/>
              <w:jc w:val="center"/>
              <w:rPr>
                <w:rFonts w:cs="Arial"/>
                <w:b/>
                <w:bCs/>
                <w:szCs w:val="18"/>
                <w:lang w:val="en-GB"/>
              </w:rPr>
            </w:pPr>
            <w:r>
              <w:rPr>
                <w:rFonts w:cs="Arial"/>
                <w:b/>
                <w:bCs/>
                <w:szCs w:val="18"/>
                <w:lang w:val="en-GB"/>
              </w:rPr>
              <w:t>Lower Heating Value (LHV)</w:t>
            </w:r>
          </w:p>
        </w:tc>
        <w:tc>
          <w:tcPr>
            <w:tcW w:w="726" w:type="pct"/>
            <w:tcBorders>
              <w:top w:val="single" w:sz="6" w:space="0" w:color="008000"/>
              <w:bottom w:val="single" w:sz="6" w:space="0" w:color="008000"/>
            </w:tcBorders>
            <w:shd w:val="clear" w:color="auto" w:fill="FFFFFF"/>
            <w:vAlign w:val="center"/>
          </w:tcPr>
          <w:p w14:paraId="6BE0777A" w14:textId="3677FA68" w:rsidR="00F74061" w:rsidRPr="00F74061" w:rsidRDefault="00F74061" w:rsidP="002124D6">
            <w:pPr>
              <w:pStyle w:val="CETBodytext"/>
              <w:ind w:right="-1"/>
              <w:jc w:val="center"/>
              <w:rPr>
                <w:rFonts w:cs="Arial"/>
                <w:szCs w:val="18"/>
                <w:lang w:val="en-GB"/>
              </w:rPr>
            </w:pPr>
            <w:r w:rsidRPr="00F74061">
              <w:rPr>
                <w:szCs w:val="18"/>
              </w:rPr>
              <w:t>kcal/kg</w:t>
            </w:r>
          </w:p>
        </w:tc>
        <w:tc>
          <w:tcPr>
            <w:tcW w:w="1774" w:type="pct"/>
            <w:vMerge/>
            <w:tcBorders>
              <w:top w:val="nil"/>
              <w:bottom w:val="single" w:sz="12" w:space="0" w:color="008000"/>
            </w:tcBorders>
            <w:shd w:val="clear" w:color="auto" w:fill="FFFFFF"/>
            <w:vAlign w:val="center"/>
          </w:tcPr>
          <w:p w14:paraId="1D547FA1" w14:textId="15A6DD59" w:rsidR="00F74061" w:rsidRPr="00F74061" w:rsidRDefault="00F74061" w:rsidP="002124D6">
            <w:pPr>
              <w:pStyle w:val="CETBodytext"/>
              <w:ind w:right="-1"/>
              <w:jc w:val="center"/>
              <w:rPr>
                <w:rFonts w:cs="Arial"/>
                <w:szCs w:val="18"/>
                <w:lang w:val="en-GB"/>
              </w:rPr>
            </w:pPr>
          </w:p>
        </w:tc>
        <w:tc>
          <w:tcPr>
            <w:tcW w:w="1693" w:type="pct"/>
            <w:vMerge/>
            <w:tcBorders>
              <w:top w:val="nil"/>
              <w:bottom w:val="single" w:sz="12" w:space="0" w:color="008000"/>
            </w:tcBorders>
            <w:shd w:val="clear" w:color="auto" w:fill="FFFFFF"/>
            <w:vAlign w:val="center"/>
          </w:tcPr>
          <w:p w14:paraId="4DB10427" w14:textId="46DC5D6E" w:rsidR="00F74061" w:rsidRPr="00F74061" w:rsidRDefault="00F74061" w:rsidP="002124D6">
            <w:pPr>
              <w:pStyle w:val="CETBodytext"/>
              <w:ind w:right="-1"/>
              <w:jc w:val="center"/>
              <w:rPr>
                <w:rFonts w:cs="Arial"/>
                <w:szCs w:val="18"/>
                <w:lang w:val="it-IT"/>
              </w:rPr>
            </w:pPr>
          </w:p>
        </w:tc>
      </w:tr>
      <w:tr w:rsidR="00F74061" w:rsidRPr="00F74061" w14:paraId="4B5AFD04" w14:textId="77777777" w:rsidTr="00D132BE">
        <w:trPr>
          <w:trHeight w:val="283"/>
        </w:trPr>
        <w:tc>
          <w:tcPr>
            <w:tcW w:w="807" w:type="pct"/>
            <w:tcBorders>
              <w:top w:val="single" w:sz="6" w:space="0" w:color="008000"/>
              <w:bottom w:val="single" w:sz="12" w:space="0" w:color="008000"/>
            </w:tcBorders>
            <w:shd w:val="clear" w:color="auto" w:fill="FFFFFF"/>
            <w:vAlign w:val="center"/>
          </w:tcPr>
          <w:p w14:paraId="61CC9C90" w14:textId="50F37679" w:rsidR="00F74061" w:rsidRPr="00F74061" w:rsidRDefault="00F74061" w:rsidP="002124D6">
            <w:pPr>
              <w:pStyle w:val="CETBodytext"/>
              <w:ind w:right="-1"/>
              <w:jc w:val="center"/>
              <w:rPr>
                <w:rFonts w:cs="Arial"/>
                <w:b/>
                <w:bCs/>
                <w:szCs w:val="18"/>
                <w:lang w:val="en-GB"/>
              </w:rPr>
            </w:pPr>
            <w:r w:rsidRPr="00F74061">
              <w:rPr>
                <w:rFonts w:cs="Arial"/>
                <w:b/>
                <w:bCs/>
                <w:szCs w:val="18"/>
                <w:lang w:val="en-GB"/>
              </w:rPr>
              <w:t>C/N</w:t>
            </w:r>
            <w:r w:rsidR="001F7262">
              <w:rPr>
                <w:rFonts w:cs="Arial"/>
                <w:b/>
                <w:bCs/>
                <w:szCs w:val="18"/>
                <w:lang w:val="en-GB"/>
              </w:rPr>
              <w:t xml:space="preserve"> Ratio</w:t>
            </w:r>
          </w:p>
        </w:tc>
        <w:tc>
          <w:tcPr>
            <w:tcW w:w="726" w:type="pct"/>
            <w:tcBorders>
              <w:top w:val="single" w:sz="6" w:space="0" w:color="008000"/>
              <w:bottom w:val="single" w:sz="12" w:space="0" w:color="008000"/>
            </w:tcBorders>
            <w:shd w:val="clear" w:color="auto" w:fill="FFFFFF"/>
            <w:vAlign w:val="center"/>
          </w:tcPr>
          <w:p w14:paraId="019F2A1E" w14:textId="0E8A0498" w:rsidR="00F74061" w:rsidRPr="00F74061" w:rsidRDefault="00F74061" w:rsidP="002124D6">
            <w:pPr>
              <w:pStyle w:val="CETBodytext"/>
              <w:ind w:right="-1"/>
              <w:jc w:val="center"/>
              <w:rPr>
                <w:rFonts w:cs="Arial"/>
                <w:szCs w:val="18"/>
                <w:lang w:val="en-GB"/>
              </w:rPr>
            </w:pPr>
            <w:r w:rsidRPr="00F74061">
              <w:rPr>
                <w:rFonts w:cs="Arial"/>
                <w:szCs w:val="18"/>
                <w:lang w:val="en-GB"/>
              </w:rPr>
              <w:t>---</w:t>
            </w:r>
          </w:p>
        </w:tc>
        <w:tc>
          <w:tcPr>
            <w:tcW w:w="1774" w:type="pct"/>
            <w:vMerge/>
            <w:tcBorders>
              <w:top w:val="nil"/>
              <w:bottom w:val="single" w:sz="12" w:space="0" w:color="008000"/>
            </w:tcBorders>
            <w:shd w:val="clear" w:color="auto" w:fill="FFFFFF"/>
            <w:vAlign w:val="center"/>
          </w:tcPr>
          <w:p w14:paraId="521F604B" w14:textId="3D865308" w:rsidR="00F74061" w:rsidRPr="00F74061" w:rsidRDefault="00F74061" w:rsidP="00F74061">
            <w:pPr>
              <w:pStyle w:val="CETBodytext"/>
              <w:ind w:right="-1"/>
              <w:jc w:val="center"/>
              <w:rPr>
                <w:rFonts w:cs="Arial"/>
                <w:szCs w:val="18"/>
                <w:lang w:val="en-GB"/>
              </w:rPr>
            </w:pPr>
          </w:p>
        </w:tc>
        <w:tc>
          <w:tcPr>
            <w:tcW w:w="1693" w:type="pct"/>
            <w:vMerge/>
            <w:tcBorders>
              <w:top w:val="nil"/>
              <w:bottom w:val="single" w:sz="12" w:space="0" w:color="008000"/>
            </w:tcBorders>
            <w:shd w:val="clear" w:color="auto" w:fill="FFFFFF"/>
            <w:vAlign w:val="center"/>
          </w:tcPr>
          <w:p w14:paraId="18BDFB36" w14:textId="0EF917D6" w:rsidR="00F74061" w:rsidRPr="00F74061" w:rsidRDefault="00F74061" w:rsidP="002124D6">
            <w:pPr>
              <w:pStyle w:val="CETBodytext"/>
              <w:ind w:right="-1"/>
              <w:jc w:val="center"/>
              <w:rPr>
                <w:rFonts w:cs="Arial"/>
                <w:szCs w:val="18"/>
                <w:lang w:val="it-IT"/>
              </w:rPr>
            </w:pPr>
          </w:p>
        </w:tc>
      </w:tr>
    </w:tbl>
    <w:p w14:paraId="7206D806" w14:textId="4AAB6953" w:rsidR="00A33BC9" w:rsidRPr="00A33BC9" w:rsidRDefault="00A33BC9" w:rsidP="00AF211B">
      <w:pPr>
        <w:pStyle w:val="CETBodytext"/>
        <w:rPr>
          <w:lang w:val="it-IT"/>
        </w:rPr>
      </w:pPr>
    </w:p>
    <w:p w14:paraId="4D2E7843" w14:textId="49C3B6EC" w:rsidR="00C22057" w:rsidRPr="00115040" w:rsidRDefault="00C22057" w:rsidP="00C22057">
      <w:pPr>
        <w:pStyle w:val="CETheadingx"/>
      </w:pPr>
      <w:r>
        <w:t>Olfactometric an</w:t>
      </w:r>
      <w:r w:rsidR="004C6FD0">
        <w:t>a</w:t>
      </w:r>
      <w:r>
        <w:t>lysis</w:t>
      </w:r>
    </w:p>
    <w:p w14:paraId="5C87B3AA" w14:textId="1CA944A9" w:rsidR="00DF0F82" w:rsidRDefault="00DF0F82" w:rsidP="00DF0F82">
      <w:pPr>
        <w:pStyle w:val="CETBodytext"/>
      </w:pPr>
      <w:r>
        <w:t>The odou</w:t>
      </w:r>
      <w:r w:rsidR="004C6FD0">
        <w:t xml:space="preserve">r samples </w:t>
      </w:r>
      <w:r w:rsidR="00AD0C15">
        <w:t>for</w:t>
      </w:r>
      <w:r w:rsidR="00704EFA">
        <w:t xml:space="preserve"> olfactometric</w:t>
      </w:r>
      <w:r>
        <w:t xml:space="preserve"> analysis were </w:t>
      </w:r>
      <w:r w:rsidR="00CE70BE">
        <w:t>collected</w:t>
      </w:r>
      <w:r w:rsidR="008D4FA8">
        <w:t xml:space="preserve"> in Nalophan bags with a volume of 7 L</w:t>
      </w:r>
      <w:r w:rsidR="004C7723">
        <w:t xml:space="preserve">. The sampling was performed </w:t>
      </w:r>
      <w:r>
        <w:t xml:space="preserve">using a static </w:t>
      </w:r>
      <w:r w:rsidR="00CE70BE" w:rsidRPr="00CE70BE">
        <w:t>vacuum sampler</w:t>
      </w:r>
      <w:r w:rsidR="00CE70BE">
        <w:t xml:space="preserve"> (Ecoma, GmbH, D)</w:t>
      </w:r>
      <w:r w:rsidR="004C7723" w:rsidRPr="00CE70BE">
        <w:t>.</w:t>
      </w:r>
      <w:r w:rsidR="008D4FA8">
        <w:t xml:space="preserve"> </w:t>
      </w:r>
      <w:r w:rsidR="00CE70BE">
        <w:t xml:space="preserve">While for the odour concentration determination the </w:t>
      </w:r>
      <w:r w:rsidR="008D4FA8">
        <w:t>TO8 olfactometer</w:t>
      </w:r>
      <w:r>
        <w:t xml:space="preserve"> </w:t>
      </w:r>
      <w:r w:rsidR="008D4FA8">
        <w:t>(</w:t>
      </w:r>
      <w:r>
        <w:t>E</w:t>
      </w:r>
      <w:r w:rsidR="008D4FA8">
        <w:t xml:space="preserve">coma, Gmbh, D) </w:t>
      </w:r>
      <w:r>
        <w:t>in accordance wit</w:t>
      </w:r>
      <w:r w:rsidR="008D4FA8">
        <w:t>h the standard UNI EN 13725:202</w:t>
      </w:r>
      <w:r w:rsidR="00565DE5">
        <w:t>2</w:t>
      </w:r>
      <w:r w:rsidR="00CE70BE">
        <w:t>, were used</w:t>
      </w:r>
      <w:r>
        <w:t>.</w:t>
      </w:r>
    </w:p>
    <w:p w14:paraId="4C7094DD" w14:textId="78912A6B" w:rsidR="00565DE5" w:rsidRDefault="00565DE5" w:rsidP="00565DE5">
      <w:pPr>
        <w:pStyle w:val="CETheadingx"/>
      </w:pPr>
      <w:r>
        <w:t>Statistical analysis</w:t>
      </w:r>
      <w:bookmarkStart w:id="2" w:name="_GoBack"/>
      <w:bookmarkEnd w:id="2"/>
    </w:p>
    <w:p w14:paraId="365BBDE7" w14:textId="19683A1F" w:rsidR="00565DE5" w:rsidRPr="00A2623C" w:rsidRDefault="008E6C2F" w:rsidP="00DF0F82">
      <w:pPr>
        <w:pStyle w:val="CETBodytext"/>
        <w:rPr>
          <w:lang w:val="en-GB"/>
        </w:rPr>
      </w:pPr>
      <w:r w:rsidRPr="00D92B5E">
        <w:rPr>
          <w:lang w:val="en-GB"/>
        </w:rPr>
        <w:t xml:space="preserve">Microsoft Excel, box-plots and Principal Component Analysis (PCA) </w:t>
      </w:r>
      <w:r w:rsidR="00A2623C" w:rsidRPr="00D92B5E">
        <w:rPr>
          <w:lang w:val="en-GB"/>
        </w:rPr>
        <w:t xml:space="preserve">were </w:t>
      </w:r>
      <w:r w:rsidR="00AB3EF5">
        <w:rPr>
          <w:lang w:val="en-GB"/>
        </w:rPr>
        <w:t>applied for the data elaboration and analyses</w:t>
      </w:r>
      <w:r w:rsidR="00A2623C" w:rsidRPr="00D92B5E">
        <w:rPr>
          <w:lang w:val="en-GB"/>
        </w:rPr>
        <w:t xml:space="preserve">. </w:t>
      </w:r>
      <w:r w:rsidRPr="00D92B5E">
        <w:rPr>
          <w:lang w:val="en-GB"/>
        </w:rPr>
        <w:t>Specifically</w:t>
      </w:r>
      <w:r w:rsidR="00A2623C" w:rsidRPr="00D92B5E">
        <w:rPr>
          <w:lang w:val="en-GB"/>
        </w:rPr>
        <w:t xml:space="preserve">, Microsoft Excel was </w:t>
      </w:r>
      <w:r w:rsidRPr="00D92B5E">
        <w:rPr>
          <w:lang w:val="en-GB"/>
        </w:rPr>
        <w:t xml:space="preserve">employed </w:t>
      </w:r>
      <w:r w:rsidR="00A2623C" w:rsidRPr="00D92B5E">
        <w:rPr>
          <w:lang w:val="en-GB"/>
        </w:rPr>
        <w:t xml:space="preserve">to analyse the </w:t>
      </w:r>
      <w:r w:rsidRPr="00D92B5E">
        <w:rPr>
          <w:lang w:val="en-GB"/>
        </w:rPr>
        <w:t xml:space="preserve">chemical-physical </w:t>
      </w:r>
      <w:r w:rsidR="00A2623C" w:rsidRPr="00D92B5E">
        <w:rPr>
          <w:lang w:val="en-GB"/>
        </w:rPr>
        <w:t>behaviour</w:t>
      </w:r>
      <w:r w:rsidRPr="00D92B5E">
        <w:rPr>
          <w:lang w:val="en-GB"/>
        </w:rPr>
        <w:t xml:space="preserve"> of the OFMSW samples</w:t>
      </w:r>
      <w:r w:rsidR="00A2623C" w:rsidRPr="00D92B5E">
        <w:rPr>
          <w:lang w:val="en-GB"/>
        </w:rPr>
        <w:t>,</w:t>
      </w:r>
      <w:r w:rsidR="00694E11" w:rsidRPr="00D92B5E">
        <w:rPr>
          <w:lang w:val="en-GB"/>
        </w:rPr>
        <w:t xml:space="preserve"> while</w:t>
      </w:r>
      <w:r w:rsidR="00A2623C" w:rsidRPr="00D92B5E">
        <w:rPr>
          <w:lang w:val="en-GB"/>
        </w:rPr>
        <w:t xml:space="preserve"> box-plot</w:t>
      </w:r>
      <w:r w:rsidRPr="00D92B5E">
        <w:rPr>
          <w:lang w:val="en-GB"/>
        </w:rPr>
        <w:t>s</w:t>
      </w:r>
      <w:r w:rsidR="00694E11" w:rsidRPr="00D92B5E">
        <w:rPr>
          <w:lang w:val="en-GB"/>
        </w:rPr>
        <w:t xml:space="preserve"> tool</w:t>
      </w:r>
      <w:r w:rsidR="00A2623C" w:rsidRPr="00D92B5E">
        <w:rPr>
          <w:lang w:val="en-GB"/>
        </w:rPr>
        <w:t xml:space="preserve"> </w:t>
      </w:r>
      <w:r w:rsidR="00694E11" w:rsidRPr="00D92B5E">
        <w:rPr>
          <w:lang w:val="en-GB"/>
        </w:rPr>
        <w:t>was</w:t>
      </w:r>
      <w:r w:rsidRPr="00D92B5E">
        <w:rPr>
          <w:lang w:val="en-GB"/>
        </w:rPr>
        <w:t xml:space="preserve"> used </w:t>
      </w:r>
      <w:r w:rsidR="00A2623C" w:rsidRPr="00D92B5E">
        <w:rPr>
          <w:lang w:val="en-GB"/>
        </w:rPr>
        <w:t>to evaluate t</w:t>
      </w:r>
      <w:r w:rsidRPr="00D92B5E">
        <w:rPr>
          <w:lang w:val="en-GB"/>
        </w:rPr>
        <w:t>he</w:t>
      </w:r>
      <w:r w:rsidR="00127821">
        <w:rPr>
          <w:lang w:val="en-GB"/>
        </w:rPr>
        <w:t xml:space="preserve"> </w:t>
      </w:r>
      <w:r w:rsidRPr="00D92B5E">
        <w:rPr>
          <w:lang w:val="en-GB"/>
        </w:rPr>
        <w:t>odour concentration</w:t>
      </w:r>
      <w:r w:rsidR="00AB3EF5" w:rsidRPr="00AB3EF5">
        <w:rPr>
          <w:lang w:val="en-GB"/>
        </w:rPr>
        <w:t xml:space="preserve"> </w:t>
      </w:r>
      <w:r w:rsidR="00AB3EF5">
        <w:rPr>
          <w:lang w:val="en-GB"/>
        </w:rPr>
        <w:t>trends</w:t>
      </w:r>
      <w:r w:rsidR="00694E11" w:rsidRPr="00D92B5E">
        <w:rPr>
          <w:lang w:val="en-GB"/>
        </w:rPr>
        <w:t>.</w:t>
      </w:r>
      <w:r w:rsidR="00A2623C" w:rsidRPr="00D92B5E">
        <w:rPr>
          <w:lang w:val="en-GB"/>
        </w:rPr>
        <w:t xml:space="preserve"> PCA analysis</w:t>
      </w:r>
      <w:r w:rsidR="00694E11" w:rsidRPr="00D92B5E">
        <w:rPr>
          <w:lang w:val="en-GB"/>
        </w:rPr>
        <w:t xml:space="preserve"> </w:t>
      </w:r>
      <w:r w:rsidR="00AB3EF5">
        <w:rPr>
          <w:lang w:val="en-GB"/>
        </w:rPr>
        <w:t xml:space="preserve">was instead used </w:t>
      </w:r>
      <w:r w:rsidR="00694E11" w:rsidRPr="00D92B5E">
        <w:rPr>
          <w:lang w:val="en-GB"/>
        </w:rPr>
        <w:t xml:space="preserve">to </w:t>
      </w:r>
      <w:r w:rsidR="00A2623C" w:rsidRPr="00D92B5E">
        <w:rPr>
          <w:lang w:val="en-GB"/>
        </w:rPr>
        <w:t xml:space="preserve">identify </w:t>
      </w:r>
      <w:r w:rsidR="00AB3EF5">
        <w:rPr>
          <w:lang w:val="en-GB"/>
        </w:rPr>
        <w:t xml:space="preserve">correlations among the detected </w:t>
      </w:r>
      <w:r w:rsidRPr="00D92B5E">
        <w:rPr>
          <w:lang w:val="en-GB"/>
        </w:rPr>
        <w:t>parameters</w:t>
      </w:r>
      <w:r w:rsidR="00694E11" w:rsidRPr="00D92B5E">
        <w:rPr>
          <w:lang w:val="en-GB"/>
        </w:rPr>
        <w:t xml:space="preserve"> </w:t>
      </w:r>
      <w:r w:rsidR="00AB3EF5">
        <w:rPr>
          <w:lang w:val="en-GB"/>
        </w:rPr>
        <w:t>(</w:t>
      </w:r>
      <w:r w:rsidR="00694E11" w:rsidRPr="00D92B5E">
        <w:rPr>
          <w:lang w:val="en-GB"/>
        </w:rPr>
        <w:t>chemical-physical ones and odour concentration</w:t>
      </w:r>
      <w:r w:rsidR="00AB3EF5">
        <w:rPr>
          <w:lang w:val="en-GB"/>
        </w:rPr>
        <w:t>s)</w:t>
      </w:r>
      <w:r w:rsidR="00A2623C" w:rsidRPr="00D92B5E">
        <w:rPr>
          <w:lang w:val="en-GB"/>
        </w:rPr>
        <w:t xml:space="preserve">. </w:t>
      </w:r>
      <w:r w:rsidRPr="00D92B5E">
        <w:rPr>
          <w:lang w:val="en-GB"/>
        </w:rPr>
        <w:t>Additional</w:t>
      </w:r>
      <w:r w:rsidR="00A2623C" w:rsidRPr="00D92B5E">
        <w:rPr>
          <w:lang w:val="en-GB"/>
        </w:rPr>
        <w:t xml:space="preserve"> correlations studies were </w:t>
      </w:r>
      <w:r w:rsidRPr="00D92B5E">
        <w:rPr>
          <w:lang w:val="en-GB"/>
        </w:rPr>
        <w:t xml:space="preserve">performed </w:t>
      </w:r>
      <w:r w:rsidR="00A2623C" w:rsidRPr="00D92B5E">
        <w:rPr>
          <w:lang w:val="en-GB"/>
        </w:rPr>
        <w:t xml:space="preserve">in Microsoft Excel to better </w:t>
      </w:r>
      <w:r w:rsidRPr="00D92B5E">
        <w:rPr>
          <w:lang w:val="en-GB"/>
        </w:rPr>
        <w:t xml:space="preserve">understand </w:t>
      </w:r>
      <w:r w:rsidR="00A2623C" w:rsidRPr="00D92B5E">
        <w:rPr>
          <w:lang w:val="en-GB"/>
        </w:rPr>
        <w:t xml:space="preserve">the </w:t>
      </w:r>
      <w:r w:rsidRPr="00D92B5E">
        <w:rPr>
          <w:lang w:val="en-GB"/>
        </w:rPr>
        <w:t xml:space="preserve">nature of the </w:t>
      </w:r>
      <w:r w:rsidR="00A2623C" w:rsidRPr="00D92B5E">
        <w:rPr>
          <w:lang w:val="en-GB"/>
        </w:rPr>
        <w:t xml:space="preserve">correlation between the parameters </w:t>
      </w:r>
      <w:r w:rsidRPr="00D92B5E">
        <w:rPr>
          <w:lang w:val="en-GB"/>
        </w:rPr>
        <w:t xml:space="preserve">identified </w:t>
      </w:r>
      <w:r w:rsidR="00A2623C" w:rsidRPr="00D92B5E">
        <w:rPr>
          <w:lang w:val="en-GB"/>
        </w:rPr>
        <w:t>in the PCA analysis.</w:t>
      </w:r>
    </w:p>
    <w:p w14:paraId="69685F55" w14:textId="78214281" w:rsidR="00276651" w:rsidRPr="00276651" w:rsidRDefault="00EA54A0" w:rsidP="00276651">
      <w:pPr>
        <w:pStyle w:val="CETHeading1"/>
        <w:rPr>
          <w:lang w:val="en-GB"/>
        </w:rPr>
      </w:pPr>
      <w:r>
        <w:rPr>
          <w:lang w:val="en-GB"/>
        </w:rPr>
        <w:t>Results and Discussion</w:t>
      </w:r>
    </w:p>
    <w:p w14:paraId="23EFC216" w14:textId="73F75EB7" w:rsidR="00365895" w:rsidRDefault="00DF7BAF" w:rsidP="00CE15AC">
      <w:pPr>
        <w:pStyle w:val="CETheadingx"/>
      </w:pPr>
      <w:r>
        <w:t>Chemical-physic</w:t>
      </w:r>
      <w:r w:rsidR="00F47E25">
        <w:t>al</w:t>
      </w:r>
      <w:r>
        <w:t xml:space="preserve"> characterization</w:t>
      </w:r>
    </w:p>
    <w:p w14:paraId="63E478D2" w14:textId="0CBB9F4F" w:rsidR="00D132BE" w:rsidRDefault="00D132BE" w:rsidP="00B677A7">
      <w:pPr>
        <w:pStyle w:val="CETBodytext"/>
      </w:pPr>
      <w:r>
        <w:fldChar w:fldCharType="begin"/>
      </w:r>
      <w:r>
        <w:instrText xml:space="preserve"> REF _Ref161753609 </w:instrText>
      </w:r>
      <w:r>
        <w:fldChar w:fldCharType="separate"/>
      </w:r>
      <w:r w:rsidR="00470E91">
        <w:t xml:space="preserve">Figure </w:t>
      </w:r>
      <w:r w:rsidR="00470E91">
        <w:rPr>
          <w:noProof/>
        </w:rPr>
        <w:t>2</w:t>
      </w:r>
      <w:r>
        <w:fldChar w:fldCharType="end"/>
      </w:r>
      <w:r>
        <w:t xml:space="preserve"> </w:t>
      </w:r>
      <w:r w:rsidR="00461ED7" w:rsidRPr="00461ED7">
        <w:t>shows the trend at the different times of the average values and the relative standard deviations of the chemical-physical parameters detected during the experimental activities conducted for the different samples ov</w:t>
      </w:r>
      <w:r w:rsidR="00461ED7">
        <w:t>er the entire monitoring period</w:t>
      </w:r>
      <w:r w:rsidR="00461ED7" w:rsidRPr="00461ED7">
        <w:t>.</w:t>
      </w:r>
    </w:p>
    <w:p w14:paraId="17D58C90" w14:textId="77777777" w:rsidR="007A3A28" w:rsidRDefault="007A3A28" w:rsidP="00B677A7">
      <w:pPr>
        <w:pStyle w:val="CETBodytext"/>
      </w:pPr>
    </w:p>
    <w:p w14:paraId="2C302051" w14:textId="197B0F3A" w:rsidR="00133184" w:rsidRDefault="002706CB" w:rsidP="00B677A7">
      <w:pPr>
        <w:pStyle w:val="CETBodytext"/>
      </w:pPr>
      <w:r w:rsidRPr="002706CB">
        <w:rPr>
          <w:noProof/>
          <w:lang w:val="it-IT" w:eastAsia="it-IT"/>
        </w:rPr>
        <w:drawing>
          <wp:inline distT="0" distB="0" distL="0" distR="0" wp14:anchorId="6B04E6E3" wp14:editId="3F03F918">
            <wp:extent cx="5579745" cy="1391959"/>
            <wp:effectExtent l="0" t="0" r="1905" b="0"/>
            <wp:docPr id="8" name="Immagine 8" descr="G:\Il mio Drive\Il mio Drive\Work\SEED\Conferenze\Nose2024\File per redazione articolo\Immagini DEF\Risultati analisi chimico fis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l mio Drive\Il mio Drive\Work\SEED\Conferenze\Nose2024\File per redazione articolo\Immagini DEF\Risultati analisi chimico fisich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1391959"/>
                    </a:xfrm>
                    <a:prstGeom prst="rect">
                      <a:avLst/>
                    </a:prstGeom>
                    <a:noFill/>
                    <a:ln>
                      <a:noFill/>
                    </a:ln>
                  </pic:spPr>
                </pic:pic>
              </a:graphicData>
            </a:graphic>
          </wp:inline>
        </w:drawing>
      </w:r>
    </w:p>
    <w:p w14:paraId="3423D6A8" w14:textId="16744A11" w:rsidR="00D132BE" w:rsidRDefault="00D132BE" w:rsidP="00D132BE">
      <w:pPr>
        <w:pStyle w:val="CETCaption"/>
        <w:jc w:val="center"/>
      </w:pPr>
      <w:bookmarkStart w:id="3" w:name="_Ref161753609"/>
      <w:r>
        <w:t xml:space="preserve">Figure </w:t>
      </w:r>
      <w:r>
        <w:fldChar w:fldCharType="begin"/>
      </w:r>
      <w:r>
        <w:instrText xml:space="preserve"> SEQ Figure \* ARABIC </w:instrText>
      </w:r>
      <w:r>
        <w:fldChar w:fldCharType="separate"/>
      </w:r>
      <w:r w:rsidR="00470E91">
        <w:rPr>
          <w:noProof/>
        </w:rPr>
        <w:t>2</w:t>
      </w:r>
      <w:r>
        <w:fldChar w:fldCharType="end"/>
      </w:r>
      <w:bookmarkEnd w:id="3"/>
      <w:r>
        <w:t xml:space="preserve">: </w:t>
      </w:r>
      <w:r w:rsidR="00461ED7" w:rsidRPr="00461ED7">
        <w:t>trend at the different times of the average values and the relative standard deviations of the chemical-physical parameters</w:t>
      </w:r>
      <w:r>
        <w:t xml:space="preserve"> </w:t>
      </w:r>
    </w:p>
    <w:p w14:paraId="61C692D5" w14:textId="38CB84A8" w:rsidR="001A3FC2" w:rsidRPr="001A3FC2" w:rsidRDefault="00461ED7" w:rsidP="001A3FC2">
      <w:pPr>
        <w:pStyle w:val="CETBodytext"/>
      </w:pPr>
      <w:r>
        <w:t>R</w:t>
      </w:r>
      <w:r w:rsidR="00D8260D" w:rsidRPr="00D8260D">
        <w:t>esults s</w:t>
      </w:r>
      <w:r w:rsidR="00D8260D">
        <w:t>how slightly acidic pH values,</w:t>
      </w:r>
      <w:r w:rsidR="00D8260D" w:rsidRPr="00D8260D">
        <w:t xml:space="preserve"> around 5.5, which generally</w:t>
      </w:r>
      <w:r w:rsidR="00D8260D">
        <w:t xml:space="preserve"> remain</w:t>
      </w:r>
      <w:r w:rsidR="00D8260D" w:rsidRPr="00D8260D">
        <w:t xml:space="preserve"> constant over time.</w:t>
      </w:r>
      <w:r w:rsidR="00D8260D">
        <w:t xml:space="preserve"> A </w:t>
      </w:r>
      <w:r w:rsidR="00B14D46">
        <w:t>modest</w:t>
      </w:r>
      <w:r w:rsidR="00D8260D">
        <w:t xml:space="preserve"> increase in temperature of approximately </w:t>
      </w:r>
      <w:r w:rsidR="00D8260D" w:rsidRPr="00D8260D">
        <w:t>1</w:t>
      </w:r>
      <w:r w:rsidR="00D8260D">
        <w:t>°C</w:t>
      </w:r>
      <w:r w:rsidR="00D8260D" w:rsidRPr="00D8260D">
        <w:t xml:space="preserve"> </w:t>
      </w:r>
      <w:r w:rsidR="00D8260D">
        <w:t xml:space="preserve">is observed </w:t>
      </w:r>
      <w:r w:rsidR="00D8260D" w:rsidRPr="00D8260D">
        <w:t xml:space="preserve">after 72 hours. VS </w:t>
      </w:r>
      <w:r w:rsidR="00D8260D">
        <w:t xml:space="preserve">exhibit variability between </w:t>
      </w:r>
      <w:r w:rsidR="00D8260D" w:rsidRPr="00D8260D">
        <w:t>84% and 93</w:t>
      </w:r>
      <w:r w:rsidR="00D8260D">
        <w:t>% of total solids</w:t>
      </w:r>
      <w:r w:rsidR="00D8260D" w:rsidRPr="00D8260D">
        <w:t xml:space="preserve">, while humidity shows a </w:t>
      </w:r>
      <w:r w:rsidR="00B14D46">
        <w:t>moderately</w:t>
      </w:r>
      <w:r w:rsidR="00D8260D" w:rsidRPr="00D8260D">
        <w:t xml:space="preserve"> decreasing trend </w:t>
      </w:r>
      <w:r w:rsidR="00B14D46">
        <w:t xml:space="preserve">in </w:t>
      </w:r>
      <w:r w:rsidR="00D8260D">
        <w:t>the observation period</w:t>
      </w:r>
      <w:r w:rsidR="00D8260D" w:rsidRPr="00D8260D">
        <w:t xml:space="preserve">. C/N ratio shows a non-univocal trend characterized by significant fluctuations in </w:t>
      </w:r>
      <w:r w:rsidR="00D8260D">
        <w:t>mean values and</w:t>
      </w:r>
      <w:r w:rsidR="00D8260D" w:rsidRPr="00D8260D">
        <w:t xml:space="preserve"> marked variability between minimum and maximum values. </w:t>
      </w:r>
      <w:r w:rsidR="00D8260D">
        <w:t xml:space="preserve">The same can be observed for HHV and LHV, which </w:t>
      </w:r>
      <w:r w:rsidR="00272602">
        <w:t>highlight</w:t>
      </w:r>
      <w:r w:rsidR="00D8260D">
        <w:t xml:space="preserve"> notable standard deviation from the </w:t>
      </w:r>
      <w:r w:rsidR="00B14D46">
        <w:t>average</w:t>
      </w:r>
      <w:r w:rsidR="00D8260D">
        <w:t xml:space="preserve"> values</w:t>
      </w:r>
      <w:r w:rsidR="00D8260D" w:rsidRPr="00D8260D">
        <w:t>.</w:t>
      </w:r>
    </w:p>
    <w:p w14:paraId="179C9B98" w14:textId="6C0925F7" w:rsidR="007C3AC9" w:rsidRDefault="00F47E25" w:rsidP="00CE15AC">
      <w:pPr>
        <w:pStyle w:val="CETheadingx"/>
      </w:pPr>
      <w:bookmarkStart w:id="4" w:name="_Hlk36462578"/>
      <w:r>
        <w:t>Odour concentration characterization</w:t>
      </w:r>
    </w:p>
    <w:p w14:paraId="3BAC03F5" w14:textId="05EAA0F1" w:rsidR="00B55CCD" w:rsidRDefault="00E0276D" w:rsidP="00DF7BAF">
      <w:pPr>
        <w:pStyle w:val="CETBodytext"/>
      </w:pPr>
      <w:r>
        <w:fldChar w:fldCharType="begin"/>
      </w:r>
      <w:r w:rsidRPr="00470E91">
        <w:rPr>
          <w:lang w:val="it-IT"/>
        </w:rPr>
        <w:instrText xml:space="preserve"> REF _Ref161756788 </w:instrText>
      </w:r>
      <w:r>
        <w:fldChar w:fldCharType="separate"/>
      </w:r>
      <w:r w:rsidR="00470E91">
        <w:rPr>
          <w:b/>
          <w:bCs/>
          <w:lang w:val="it-IT"/>
        </w:rPr>
        <w:t>Errore. L'origine riferimento non è stata trovata.</w:t>
      </w:r>
      <w:r>
        <w:fldChar w:fldCharType="end"/>
      </w:r>
      <w:r w:rsidRPr="00470E91">
        <w:rPr>
          <w:lang w:val="it-IT"/>
        </w:rPr>
        <w:t xml:space="preserve"> </w:t>
      </w:r>
      <w:r>
        <w:t xml:space="preserve">shows the trends of the </w:t>
      </w:r>
      <w:r w:rsidR="00B14D46">
        <w:t>odour concentration</w:t>
      </w:r>
      <w:r w:rsidR="00053EDD" w:rsidRPr="00053EDD">
        <w:t xml:space="preserve"> </w:t>
      </w:r>
      <w:r w:rsidR="00053EDD">
        <w:t>over time</w:t>
      </w:r>
      <w:r>
        <w:t xml:space="preserve"> determined with dynamic </w:t>
      </w:r>
      <w:r w:rsidR="00F47E25">
        <w:t xml:space="preserve">olfactometric </w:t>
      </w:r>
      <w:r>
        <w:t>analysis for the six synthetic samples</w:t>
      </w:r>
      <w:r w:rsidR="00156335">
        <w:t xml:space="preserve"> investigated</w:t>
      </w:r>
      <w:r w:rsidR="00053EDD">
        <w:t>.</w:t>
      </w:r>
    </w:p>
    <w:p w14:paraId="75E7E9F2" w14:textId="77777777" w:rsidR="00053EDD" w:rsidRDefault="00053EDD" w:rsidP="00DF7BAF">
      <w:pPr>
        <w:pStyle w:val="CETBodytext"/>
      </w:pPr>
    </w:p>
    <w:p w14:paraId="6E778842" w14:textId="2C260AB6" w:rsidR="00B55CCD" w:rsidRDefault="00156335" w:rsidP="00A2623C">
      <w:pPr>
        <w:pStyle w:val="CETBodytext"/>
        <w:jc w:val="center"/>
      </w:pPr>
      <w:r w:rsidRPr="00156335">
        <w:rPr>
          <w:noProof/>
          <w:lang w:val="it-IT" w:eastAsia="it-IT"/>
        </w:rPr>
        <w:drawing>
          <wp:inline distT="0" distB="0" distL="0" distR="0" wp14:anchorId="6A7E701C" wp14:editId="098D81AE">
            <wp:extent cx="2570027" cy="1433182"/>
            <wp:effectExtent l="0" t="0" r="1905" b="0"/>
            <wp:docPr id="10" name="Immagine 10" descr="G:\Il mio Drive\Il mio Drive\Work\SEED\Conferenze\Nose2024\File per redazione articolo\Immagini DEF\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l mio Drive\Il mio Drive\Work\SEED\Conferenze\Nose2024\File per redazione articolo\Immagini DEF\D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0290" cy="1466788"/>
                    </a:xfrm>
                    <a:prstGeom prst="rect">
                      <a:avLst/>
                    </a:prstGeom>
                    <a:noFill/>
                    <a:ln>
                      <a:noFill/>
                    </a:ln>
                  </pic:spPr>
                </pic:pic>
              </a:graphicData>
            </a:graphic>
          </wp:inline>
        </w:drawing>
      </w:r>
    </w:p>
    <w:p w14:paraId="1DFD0017" w14:textId="2A53CDFE" w:rsidR="00B55CCD" w:rsidRDefault="00B55CCD" w:rsidP="00B55CCD">
      <w:pPr>
        <w:pStyle w:val="CETCaption"/>
        <w:jc w:val="center"/>
      </w:pPr>
      <w:r>
        <w:t xml:space="preserve">Figure </w:t>
      </w:r>
      <w:r>
        <w:fldChar w:fldCharType="begin"/>
      </w:r>
      <w:r>
        <w:instrText xml:space="preserve"> SEQ Figure \* ARABIC </w:instrText>
      </w:r>
      <w:r>
        <w:fldChar w:fldCharType="separate"/>
      </w:r>
      <w:r w:rsidR="00470E91">
        <w:rPr>
          <w:noProof/>
        </w:rPr>
        <w:t>3</w:t>
      </w:r>
      <w:r>
        <w:fldChar w:fldCharType="end"/>
      </w:r>
      <w:r>
        <w:t xml:space="preserve"> – Trends of the odour concentration</w:t>
      </w:r>
      <w:r w:rsidR="00DD5FFD">
        <w:t>s</w:t>
      </w:r>
      <w:r>
        <w:t xml:space="preserve"> </w:t>
      </w:r>
      <w:r w:rsidR="00DD5FFD">
        <w:t>for</w:t>
      </w:r>
      <w:r>
        <w:t xml:space="preserve"> the investigated</w:t>
      </w:r>
      <w:r w:rsidR="00E23C9A">
        <w:t xml:space="preserve"> samples</w:t>
      </w:r>
      <w:r w:rsidR="005843DC">
        <w:t>, at different times</w:t>
      </w:r>
    </w:p>
    <w:p w14:paraId="1E7C8FF8" w14:textId="4A0725F4" w:rsidR="00E0276D" w:rsidRDefault="00F47E25" w:rsidP="001244C6">
      <w:pPr>
        <w:pStyle w:val="CETBodytext"/>
      </w:pPr>
      <w:r>
        <w:t>R</w:t>
      </w:r>
      <w:r w:rsidR="00156335">
        <w:t xml:space="preserve">esults show an overall </w:t>
      </w:r>
      <w:r w:rsidR="00E23C9A">
        <w:t xml:space="preserve">increasing trend for </w:t>
      </w:r>
      <w:r w:rsidR="00B14D46">
        <w:t xml:space="preserve">all </w:t>
      </w:r>
      <w:r w:rsidR="00E23C9A">
        <w:t xml:space="preserve">the </w:t>
      </w:r>
      <w:r w:rsidR="00156335">
        <w:t xml:space="preserve">investigated </w:t>
      </w:r>
      <w:r w:rsidR="00E23C9A">
        <w:t>samples</w:t>
      </w:r>
      <w:r w:rsidR="00156335">
        <w:t xml:space="preserve">. In particular, for each sample, the most significant increase was recorded </w:t>
      </w:r>
      <w:r w:rsidR="001244C6">
        <w:t xml:space="preserve">between </w:t>
      </w:r>
      <w:r w:rsidR="00156335">
        <w:t>60 and 72 hours.</w:t>
      </w:r>
      <w:r w:rsidR="005E689F">
        <w:t xml:space="preserve"> </w:t>
      </w:r>
      <w:r w:rsidR="001244C6">
        <w:t xml:space="preserve">Odour concentrations ranging from </w:t>
      </w:r>
      <w:r w:rsidR="005E689F">
        <w:t>81 to 342 OU/m</w:t>
      </w:r>
      <w:r w:rsidR="005E689F">
        <w:rPr>
          <w:vertAlign w:val="superscript"/>
        </w:rPr>
        <w:t>3</w:t>
      </w:r>
      <w:r w:rsidR="005E689F">
        <w:t xml:space="preserve">, </w:t>
      </w:r>
      <w:r w:rsidR="001244C6">
        <w:t xml:space="preserve">at time t=0 hours, and from 1218 to </w:t>
      </w:r>
      <w:r w:rsidR="005E689F">
        <w:t>4340 OU/m</w:t>
      </w:r>
      <w:r w:rsidR="005E689F">
        <w:rPr>
          <w:vertAlign w:val="superscript"/>
        </w:rPr>
        <w:t>3</w:t>
      </w:r>
      <w:r w:rsidR="001244C6">
        <w:t xml:space="preserve"> at time t=72 hours.</w:t>
      </w:r>
    </w:p>
    <w:p w14:paraId="0D890775" w14:textId="67257FA5" w:rsidR="0065280E" w:rsidRDefault="0065280E" w:rsidP="00E0276D">
      <w:pPr>
        <w:pStyle w:val="CETBodytext"/>
      </w:pPr>
      <w:r>
        <w:fldChar w:fldCharType="begin"/>
      </w:r>
      <w:r>
        <w:instrText xml:space="preserve"> REF _Ref161758203 </w:instrText>
      </w:r>
      <w:r>
        <w:fldChar w:fldCharType="separate"/>
      </w:r>
      <w:r w:rsidR="00470E91">
        <w:t xml:space="preserve">Figure </w:t>
      </w:r>
      <w:r w:rsidR="00470E91">
        <w:rPr>
          <w:noProof/>
        </w:rPr>
        <w:t>4</w:t>
      </w:r>
      <w:r>
        <w:fldChar w:fldCharType="end"/>
      </w:r>
      <w:r>
        <w:t xml:space="preserve"> </w:t>
      </w:r>
      <w:r w:rsidR="001244C6">
        <w:t>shows the</w:t>
      </w:r>
      <w:r>
        <w:t xml:space="preserve"> box-plots of the odour concentration </w:t>
      </w:r>
      <w:r w:rsidR="001244C6">
        <w:t>of the different samples a</w:t>
      </w:r>
      <w:r>
        <w:t>t different times</w:t>
      </w:r>
      <w:r w:rsidR="001244C6">
        <w:t xml:space="preserve">, also highlighting the </w:t>
      </w:r>
      <w:r w:rsidR="008E01E5">
        <w:t>values of each samples</w:t>
      </w:r>
      <w:r>
        <w:t xml:space="preserve"> </w:t>
      </w:r>
      <w:r w:rsidR="00B14D46">
        <w:t xml:space="preserve">using </w:t>
      </w:r>
      <w:r>
        <w:t>different colors.</w:t>
      </w:r>
    </w:p>
    <w:p w14:paraId="25372AC2" w14:textId="77777777" w:rsidR="00FF698D" w:rsidRDefault="00FF698D" w:rsidP="00E0276D">
      <w:pPr>
        <w:pStyle w:val="CETBodytext"/>
      </w:pPr>
    </w:p>
    <w:p w14:paraId="3C08674D" w14:textId="516C50EE" w:rsidR="00114EFD" w:rsidRPr="00133184" w:rsidRDefault="00A2623C" w:rsidP="00114EFD">
      <w:pPr>
        <w:pStyle w:val="CETBodytext"/>
        <w:jc w:val="center"/>
        <w:rPr>
          <w:lang w:val="it-IT"/>
        </w:rPr>
      </w:pPr>
      <w:r w:rsidRPr="00A2623C">
        <w:rPr>
          <w:noProof/>
          <w:lang w:val="it-IT" w:eastAsia="it-IT"/>
        </w:rPr>
        <w:drawing>
          <wp:inline distT="0" distB="0" distL="0" distR="0" wp14:anchorId="3E11AA83" wp14:editId="2C48FE0A">
            <wp:extent cx="3084713" cy="1708960"/>
            <wp:effectExtent l="0" t="0" r="1905" b="5715"/>
            <wp:docPr id="4" name="Immagine 4" descr="G:\Il mio Drive\Il mio Drive\Work\SEED\Conferenze\Nose2024\File per redazione articolo\Immagini DEF\Box-plot con pu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l mio Drive\Il mio Drive\Work\SEED\Conferenze\Nose2024\File per redazione articolo\Immagini DEF\Box-plot con punti.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8714"/>
                    <a:stretch/>
                  </pic:blipFill>
                  <pic:spPr bwMode="auto">
                    <a:xfrm>
                      <a:off x="0" y="0"/>
                      <a:ext cx="3098014" cy="1716329"/>
                    </a:xfrm>
                    <a:prstGeom prst="rect">
                      <a:avLst/>
                    </a:prstGeom>
                    <a:noFill/>
                    <a:ln>
                      <a:noFill/>
                    </a:ln>
                    <a:extLst>
                      <a:ext uri="{53640926-AAD7-44D8-BBD7-CCE9431645EC}">
                        <a14:shadowObscured xmlns:a14="http://schemas.microsoft.com/office/drawing/2010/main"/>
                      </a:ext>
                    </a:extLst>
                  </pic:spPr>
                </pic:pic>
              </a:graphicData>
            </a:graphic>
          </wp:inline>
        </w:drawing>
      </w:r>
    </w:p>
    <w:p w14:paraId="296FC91E" w14:textId="0D452EEE" w:rsidR="00114EFD" w:rsidRDefault="00114EFD" w:rsidP="00114EFD">
      <w:pPr>
        <w:pStyle w:val="CETCaption"/>
        <w:jc w:val="center"/>
      </w:pPr>
      <w:bookmarkStart w:id="5" w:name="_Ref161758203"/>
      <w:r>
        <w:t xml:space="preserve">Figure </w:t>
      </w:r>
      <w:r>
        <w:fldChar w:fldCharType="begin"/>
      </w:r>
      <w:r>
        <w:instrText xml:space="preserve"> SEQ Figure \* ARABIC </w:instrText>
      </w:r>
      <w:r>
        <w:fldChar w:fldCharType="separate"/>
      </w:r>
      <w:r w:rsidR="00470E91">
        <w:rPr>
          <w:noProof/>
        </w:rPr>
        <w:t>4</w:t>
      </w:r>
      <w:r>
        <w:fldChar w:fldCharType="end"/>
      </w:r>
      <w:bookmarkEnd w:id="5"/>
      <w:r>
        <w:t xml:space="preserve"> – Box-plots of odour concentration at different times</w:t>
      </w:r>
    </w:p>
    <w:p w14:paraId="4B89AD88" w14:textId="31339FF1" w:rsidR="00DC3DF1" w:rsidRPr="00114EFD" w:rsidRDefault="001244C6" w:rsidP="00BC6D0D">
      <w:pPr>
        <w:pStyle w:val="CETBodytext"/>
      </w:pPr>
      <w:r>
        <w:lastRenderedPageBreak/>
        <w:t>Results show an increasing of the</w:t>
      </w:r>
      <w:r w:rsidR="00BC6D0D">
        <w:t xml:space="preserve"> median value over time, </w:t>
      </w:r>
      <w:r>
        <w:t xml:space="preserve">for each sample, </w:t>
      </w:r>
      <w:r w:rsidR="00B66ACD">
        <w:t>moving from 275</w:t>
      </w:r>
      <w:r w:rsidR="00B66ACD" w:rsidRPr="00B66ACD">
        <w:t xml:space="preserve"> </w:t>
      </w:r>
      <w:r w:rsidR="00B66ACD">
        <w:t>OU/m</w:t>
      </w:r>
      <w:r w:rsidR="00B66ACD" w:rsidRPr="001C4B51">
        <w:rPr>
          <w:vertAlign w:val="superscript"/>
        </w:rPr>
        <w:t>3</w:t>
      </w:r>
      <w:r w:rsidR="00B66ACD">
        <w:t xml:space="preserve"> at time t=0</w:t>
      </w:r>
      <w:r>
        <w:t xml:space="preserve"> hours</w:t>
      </w:r>
      <w:r w:rsidR="00B66ACD">
        <w:t xml:space="preserve"> to 2683 OU/m</w:t>
      </w:r>
      <w:r w:rsidR="00B66ACD" w:rsidRPr="001C4B51">
        <w:rPr>
          <w:vertAlign w:val="superscript"/>
        </w:rPr>
        <w:t>3</w:t>
      </w:r>
      <w:r w:rsidR="00B66ACD">
        <w:t xml:space="preserve"> at t=72 hours. Furthermore, at t=72 hours, </w:t>
      </w:r>
      <w:r>
        <w:t xml:space="preserve">the highest </w:t>
      </w:r>
      <w:r w:rsidR="00B66ACD">
        <w:t>increase in variability between minimum and maximum values is observed.</w:t>
      </w:r>
    </w:p>
    <w:bookmarkEnd w:id="4"/>
    <w:p w14:paraId="0745CE48" w14:textId="62B8F2D0" w:rsidR="005E4958" w:rsidRDefault="00565DE5" w:rsidP="00CE15AC">
      <w:pPr>
        <w:pStyle w:val="CETheadingx"/>
      </w:pPr>
      <w:r>
        <w:t>Statistical analysis and correlation studies</w:t>
      </w:r>
      <w:r w:rsidR="00DF7BAF">
        <w:t xml:space="preserve"> </w:t>
      </w:r>
    </w:p>
    <w:p w14:paraId="5E759A80" w14:textId="4BD82ADB" w:rsidR="0050096E" w:rsidRDefault="00CB17DA" w:rsidP="00DF7BAF">
      <w:pPr>
        <w:pStyle w:val="CETBodytext"/>
      </w:pPr>
      <w:r>
        <w:fldChar w:fldCharType="begin"/>
      </w:r>
      <w:r>
        <w:instrText xml:space="preserve"> REF _Ref161758165 </w:instrText>
      </w:r>
      <w:r>
        <w:fldChar w:fldCharType="separate"/>
      </w:r>
      <w:r w:rsidR="00470E91">
        <w:t xml:space="preserve">Figure </w:t>
      </w:r>
      <w:r w:rsidR="00470E91">
        <w:rPr>
          <w:noProof/>
        </w:rPr>
        <w:t>5</w:t>
      </w:r>
      <w:r>
        <w:fldChar w:fldCharType="end"/>
      </w:r>
      <w:r>
        <w:t xml:space="preserve"> shows the </w:t>
      </w:r>
      <w:r w:rsidR="00324245" w:rsidRPr="00324245">
        <w:t>PCA</w:t>
      </w:r>
      <w:r w:rsidR="00324245">
        <w:t xml:space="preserve"> (</w:t>
      </w:r>
      <w:r w:rsidR="00324245" w:rsidRPr="00324245">
        <w:rPr>
          <w:lang w:val="en-GB"/>
        </w:rPr>
        <w:t>Principal Component Analysis</w:t>
      </w:r>
      <w:r w:rsidR="00324245">
        <w:rPr>
          <w:lang w:val="en-GB"/>
        </w:rPr>
        <w:t>)</w:t>
      </w:r>
      <w:r w:rsidR="00324245" w:rsidRPr="00324245">
        <w:t xml:space="preserve"> </w:t>
      </w:r>
      <w:r w:rsidR="001244C6">
        <w:t>analysis</w:t>
      </w:r>
      <w:r w:rsidR="00324245" w:rsidRPr="00324245">
        <w:t>, on the total</w:t>
      </w:r>
      <w:r>
        <w:t>ity of the investigated samples</w:t>
      </w:r>
      <w:r w:rsidR="001244C6">
        <w:t>, times and detected parameters</w:t>
      </w:r>
      <w:r>
        <w:t>.</w:t>
      </w:r>
    </w:p>
    <w:p w14:paraId="24A0EA31" w14:textId="77777777" w:rsidR="00425D2E" w:rsidRDefault="00425D2E" w:rsidP="00DF7BAF">
      <w:pPr>
        <w:pStyle w:val="CETBodytext"/>
      </w:pPr>
    </w:p>
    <w:p w14:paraId="320B7E47" w14:textId="068D82E1" w:rsidR="0050096E" w:rsidRDefault="0094222D" w:rsidP="0050096E">
      <w:pPr>
        <w:pStyle w:val="CETBodytext"/>
        <w:keepNext/>
        <w:jc w:val="center"/>
      </w:pPr>
      <w:r w:rsidRPr="0094222D">
        <w:rPr>
          <w:noProof/>
          <w:lang w:val="it-IT" w:eastAsia="it-IT"/>
        </w:rPr>
        <w:drawing>
          <wp:inline distT="0" distB="0" distL="0" distR="0" wp14:anchorId="3ED4D08A" wp14:editId="01D955E9">
            <wp:extent cx="3179854" cy="3060564"/>
            <wp:effectExtent l="0" t="0" r="0" b="0"/>
            <wp:docPr id="1" name="Immagine 1" descr="G:\Il mio Drive\Il mio Drive\Work\SEED\Conferenze\Nose2024\File per redazione articolo\Immagini DEF\P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Il mio Drive\Work\SEED\Conferenze\Nose2024\File per redazione articolo\Immagini DEF\PC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3902" cy="3074085"/>
                    </a:xfrm>
                    <a:prstGeom prst="rect">
                      <a:avLst/>
                    </a:prstGeom>
                    <a:noFill/>
                    <a:ln>
                      <a:noFill/>
                    </a:ln>
                  </pic:spPr>
                </pic:pic>
              </a:graphicData>
            </a:graphic>
          </wp:inline>
        </w:drawing>
      </w:r>
    </w:p>
    <w:p w14:paraId="52AEDA93" w14:textId="058B1B30" w:rsidR="009C4619" w:rsidRDefault="0050096E" w:rsidP="0050096E">
      <w:pPr>
        <w:pStyle w:val="CETCaption"/>
        <w:jc w:val="center"/>
      </w:pPr>
      <w:bookmarkStart w:id="6" w:name="_Ref161758165"/>
      <w:r>
        <w:t xml:space="preserve">Figure </w:t>
      </w:r>
      <w:r>
        <w:fldChar w:fldCharType="begin"/>
      </w:r>
      <w:r>
        <w:instrText xml:space="preserve"> SEQ Figure \* ARABIC </w:instrText>
      </w:r>
      <w:r>
        <w:fldChar w:fldCharType="separate"/>
      </w:r>
      <w:r w:rsidR="00470E91">
        <w:rPr>
          <w:noProof/>
        </w:rPr>
        <w:t>5</w:t>
      </w:r>
      <w:r>
        <w:fldChar w:fldCharType="end"/>
      </w:r>
      <w:bookmarkEnd w:id="6"/>
      <w:r>
        <w:t xml:space="preserve"> –PCA analysis</w:t>
      </w:r>
      <w:r w:rsidR="001244C6">
        <w:t xml:space="preserve"> of the whole detected data</w:t>
      </w:r>
    </w:p>
    <w:p w14:paraId="3105AE23" w14:textId="628010E2" w:rsidR="00692206" w:rsidRDefault="00CB17DA" w:rsidP="00962AD7">
      <w:pPr>
        <w:pStyle w:val="CETBodytext"/>
      </w:pPr>
      <w:r>
        <w:t>The analysis</w:t>
      </w:r>
      <w:r w:rsidRPr="00324245">
        <w:t xml:space="preserve"> </w:t>
      </w:r>
      <w:r>
        <w:t>proved to be</w:t>
      </w:r>
      <w:r w:rsidRPr="00324245">
        <w:t xml:space="preserve"> representative </w:t>
      </w:r>
      <w:r>
        <w:t xml:space="preserve">as </w:t>
      </w:r>
      <w:r w:rsidRPr="00324245">
        <w:t>the main components manage</w:t>
      </w:r>
      <w:r>
        <w:t>d</w:t>
      </w:r>
      <w:r w:rsidRPr="00324245">
        <w:t xml:space="preserve"> to describe the model</w:t>
      </w:r>
      <w:r>
        <w:t xml:space="preserve"> by 62.46%.</w:t>
      </w:r>
      <w:r w:rsidR="00434064">
        <w:t xml:space="preserve"> </w:t>
      </w:r>
      <w:r>
        <w:t xml:space="preserve">The results </w:t>
      </w:r>
      <w:r w:rsidR="00794CB3">
        <w:t xml:space="preserve">indicate a </w:t>
      </w:r>
      <w:r w:rsidR="001244C6">
        <w:t xml:space="preserve">direct </w:t>
      </w:r>
      <w:r w:rsidR="00794CB3">
        <w:t xml:space="preserve">relation of </w:t>
      </w:r>
      <w:r w:rsidR="001244C6">
        <w:t xml:space="preserve">the </w:t>
      </w:r>
      <w:r w:rsidR="00794CB3">
        <w:t xml:space="preserve">odour concentration with </w:t>
      </w:r>
      <w:r w:rsidR="001244C6">
        <w:t xml:space="preserve">the </w:t>
      </w:r>
      <w:r w:rsidR="00794CB3">
        <w:t>temperature</w:t>
      </w:r>
      <w:r w:rsidR="001B5D43">
        <w:t xml:space="preserve"> and an </w:t>
      </w:r>
      <w:r w:rsidRPr="009C4619">
        <w:t xml:space="preserve">inverse </w:t>
      </w:r>
      <w:r w:rsidR="00250392">
        <w:t xml:space="preserve">potential </w:t>
      </w:r>
      <w:r w:rsidRPr="009C4619">
        <w:t>relation with pH and humidity</w:t>
      </w:r>
      <w:r w:rsidR="00794CB3">
        <w:t>.</w:t>
      </w:r>
      <w:r w:rsidR="00434064">
        <w:t xml:space="preserve"> </w:t>
      </w:r>
      <w:r w:rsidR="00CE21E7" w:rsidRPr="00B1539C">
        <w:t xml:space="preserve">For these three parameters </w:t>
      </w:r>
      <w:r w:rsidR="00CE21E7">
        <w:t xml:space="preserve">correlation studies </w:t>
      </w:r>
      <w:r w:rsidR="00CE21E7" w:rsidRPr="00B1539C">
        <w:t>have been deepened</w:t>
      </w:r>
      <w:r w:rsidR="00B15F5C">
        <w:t xml:space="preserve"> </w:t>
      </w:r>
      <w:r w:rsidR="001B5D43">
        <w:t xml:space="preserve">also </w:t>
      </w:r>
      <w:r w:rsidR="00B15F5C">
        <w:t>using</w:t>
      </w:r>
      <w:r w:rsidR="00CE21E7">
        <w:t xml:space="preserve"> Microsoft Excel</w:t>
      </w:r>
      <w:r w:rsidR="001B5D43">
        <w:t xml:space="preserve"> tool</w:t>
      </w:r>
      <w:r w:rsidR="00CE21E7">
        <w:t>.</w:t>
      </w:r>
      <w:r w:rsidR="00396B59">
        <w:t xml:space="preserve"> </w:t>
      </w:r>
    </w:p>
    <w:p w14:paraId="52AB3F9C" w14:textId="050AEE1E" w:rsidR="00962AD7" w:rsidRDefault="00962AD7" w:rsidP="00962AD7">
      <w:pPr>
        <w:pStyle w:val="CETBodytext"/>
      </w:pPr>
      <w:r>
        <w:rPr>
          <w:highlight w:val="yellow"/>
        </w:rPr>
        <w:fldChar w:fldCharType="begin"/>
      </w:r>
      <w:r>
        <w:instrText xml:space="preserve"> REF _Ref161760080 </w:instrText>
      </w:r>
      <w:r>
        <w:rPr>
          <w:highlight w:val="yellow"/>
        </w:rPr>
        <w:fldChar w:fldCharType="separate"/>
      </w:r>
      <w:r w:rsidR="00470E91">
        <w:t xml:space="preserve">Figure </w:t>
      </w:r>
      <w:r w:rsidR="00470E91">
        <w:rPr>
          <w:noProof/>
        </w:rPr>
        <w:t>6</w:t>
      </w:r>
      <w:r>
        <w:rPr>
          <w:highlight w:val="yellow"/>
        </w:rPr>
        <w:fldChar w:fldCharType="end"/>
      </w:r>
      <w:r>
        <w:t xml:space="preserve"> shows the correlation graphs of the odour concentration with temperature, humidity and pH.</w:t>
      </w:r>
    </w:p>
    <w:p w14:paraId="67E848B9" w14:textId="77777777" w:rsidR="00434064" w:rsidRDefault="00434064" w:rsidP="00962AD7">
      <w:pPr>
        <w:pStyle w:val="CETBodytext"/>
      </w:pPr>
    </w:p>
    <w:p w14:paraId="769FAB17" w14:textId="52BD5438" w:rsidR="00490F19" w:rsidRDefault="00396B59" w:rsidP="00490F19">
      <w:pPr>
        <w:pStyle w:val="CETBodytext"/>
        <w:keepNext/>
      </w:pPr>
      <w:r w:rsidRPr="00AC662E">
        <w:rPr>
          <w:noProof/>
          <w:lang w:val="it-IT" w:eastAsia="it-IT"/>
        </w:rPr>
        <w:drawing>
          <wp:inline distT="0" distB="0" distL="0" distR="0" wp14:anchorId="4454C003" wp14:editId="08CF7160">
            <wp:extent cx="5579745" cy="1058545"/>
            <wp:effectExtent l="0" t="0" r="1905" b="8255"/>
            <wp:docPr id="14" name="Immagine 14" descr="G:\Il mio Drive\Il mio Drive\Work\SEED\Conferenze\Nose2024\File per redazione articolo\Immagini DEF\Studi di correlaz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 mio Drive\Il mio Drive\Work\SEED\Conferenze\Nose2024\File per redazione articolo\Immagini DEF\Studi di correlazion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1058545"/>
                    </a:xfrm>
                    <a:prstGeom prst="rect">
                      <a:avLst/>
                    </a:prstGeom>
                    <a:noFill/>
                    <a:ln>
                      <a:noFill/>
                    </a:ln>
                  </pic:spPr>
                </pic:pic>
              </a:graphicData>
            </a:graphic>
          </wp:inline>
        </w:drawing>
      </w:r>
    </w:p>
    <w:p w14:paraId="1EDFD7FA" w14:textId="3200E5E1" w:rsidR="00490F19" w:rsidRDefault="00490F19" w:rsidP="00490F19">
      <w:pPr>
        <w:pStyle w:val="CETCaption"/>
        <w:jc w:val="center"/>
      </w:pPr>
      <w:bookmarkStart w:id="7" w:name="_Ref161760080"/>
      <w:r>
        <w:t xml:space="preserve">Figure </w:t>
      </w:r>
      <w:r>
        <w:fldChar w:fldCharType="begin"/>
      </w:r>
      <w:r>
        <w:instrText xml:space="preserve"> SEQ Figure \* ARABIC </w:instrText>
      </w:r>
      <w:r>
        <w:fldChar w:fldCharType="separate"/>
      </w:r>
      <w:r w:rsidR="00470E91">
        <w:rPr>
          <w:noProof/>
        </w:rPr>
        <w:t>6</w:t>
      </w:r>
      <w:r>
        <w:fldChar w:fldCharType="end"/>
      </w:r>
      <w:bookmarkEnd w:id="7"/>
      <w:r>
        <w:t xml:space="preserve"> – Correlation</w:t>
      </w:r>
      <w:r w:rsidR="00CC3FB3">
        <w:t xml:space="preserve"> studies</w:t>
      </w:r>
      <w:r>
        <w:t xml:space="preserve"> between odour concentration</w:t>
      </w:r>
      <w:r w:rsidR="00CC3FB3">
        <w:t xml:space="preserve"> and pH</w:t>
      </w:r>
      <w:r w:rsidR="004B0244">
        <w:t xml:space="preserve"> (left), h</w:t>
      </w:r>
      <w:r w:rsidR="00CC3FB3">
        <w:t>umidity</w:t>
      </w:r>
      <w:r w:rsidR="004B0244">
        <w:t xml:space="preserve"> (middle) and t</w:t>
      </w:r>
      <w:r w:rsidR="00CC3FB3">
        <w:t>emperature</w:t>
      </w:r>
      <w:r w:rsidR="004B0244">
        <w:t>, respectively (right</w:t>
      </w:r>
      <w:r>
        <w:t>)</w:t>
      </w:r>
    </w:p>
    <w:p w14:paraId="74A8241B" w14:textId="75877DA9" w:rsidR="004D1DE7" w:rsidRDefault="004D1DE7" w:rsidP="00F5715A">
      <w:pPr>
        <w:pStyle w:val="CETBodytext"/>
      </w:pPr>
      <w:r w:rsidRPr="00250392">
        <w:t>The results</w:t>
      </w:r>
      <w:r w:rsidR="0001515D" w:rsidRPr="00250392">
        <w:t xml:space="preserve"> </w:t>
      </w:r>
      <w:r w:rsidR="00250392" w:rsidRPr="00250392">
        <w:t>show a</w:t>
      </w:r>
      <w:r w:rsidR="004B0244" w:rsidRPr="00250392">
        <w:t xml:space="preserve"> linear correlation between </w:t>
      </w:r>
      <w:r w:rsidR="0001515D" w:rsidRPr="00250392">
        <w:t>odour concentration</w:t>
      </w:r>
      <w:r w:rsidR="00F5715A" w:rsidRPr="00250392">
        <w:t xml:space="preserve"> </w:t>
      </w:r>
      <w:r w:rsidR="004B0244" w:rsidRPr="00250392">
        <w:t xml:space="preserve">and </w:t>
      </w:r>
      <w:r w:rsidR="00250392" w:rsidRPr="00250392">
        <w:t>temperature of 0,25%</w:t>
      </w:r>
      <w:r w:rsidR="004B0244" w:rsidRPr="00250392">
        <w:t xml:space="preserve">. While an inverse linear correlation between odour concentration and </w:t>
      </w:r>
      <w:r w:rsidR="00F5715A" w:rsidRPr="00250392">
        <w:t xml:space="preserve">humidity and temperature </w:t>
      </w:r>
      <w:r w:rsidR="004B0244" w:rsidRPr="00250392">
        <w:t xml:space="preserve">is </w:t>
      </w:r>
      <w:r w:rsidR="00250392" w:rsidRPr="00250392">
        <w:t>highlighted</w:t>
      </w:r>
      <w:r w:rsidR="004B0244" w:rsidRPr="00250392">
        <w:t xml:space="preserve">, respectively of </w:t>
      </w:r>
      <w:r w:rsidR="00250392" w:rsidRPr="00250392">
        <w:t>0,51%</w:t>
      </w:r>
      <w:r w:rsidR="004B0244" w:rsidRPr="00250392">
        <w:t xml:space="preserve"> and of </w:t>
      </w:r>
      <w:r w:rsidR="00250392" w:rsidRPr="00250392">
        <w:t>0,38%</w:t>
      </w:r>
      <w:r w:rsidR="00F5715A" w:rsidRPr="00250392">
        <w:t>.</w:t>
      </w:r>
      <w:r w:rsidR="00F5715A" w:rsidRPr="00B1539C">
        <w:t xml:space="preserve"> </w:t>
      </w:r>
    </w:p>
    <w:p w14:paraId="50DF02FD" w14:textId="43AAE3EB" w:rsidR="00EA54A0" w:rsidRDefault="00EA54A0" w:rsidP="00600535">
      <w:pPr>
        <w:pStyle w:val="CETHeading1"/>
        <w:rPr>
          <w:lang w:val="en-GB"/>
        </w:rPr>
      </w:pPr>
      <w:r w:rsidRPr="00B57B36">
        <w:rPr>
          <w:lang w:val="en-GB"/>
        </w:rPr>
        <w:t>Conclusions</w:t>
      </w:r>
    </w:p>
    <w:p w14:paraId="68E30C07" w14:textId="3464EEB3" w:rsidR="0029499E" w:rsidRDefault="00FF698D" w:rsidP="006F46EB">
      <w:pPr>
        <w:pStyle w:val="CETBodytext"/>
      </w:pPr>
      <w:r>
        <w:t>OFMSW</w:t>
      </w:r>
      <w:r w:rsidR="005D1E0A" w:rsidRPr="005D1E0A">
        <w:t xml:space="preserve"> management is essential in order to </w:t>
      </w:r>
      <w:r w:rsidR="004B0244">
        <w:t xml:space="preserve">prevent and </w:t>
      </w:r>
      <w:r w:rsidR="005D1E0A" w:rsidRPr="005D1E0A">
        <w:t xml:space="preserve">control </w:t>
      </w:r>
      <w:r w:rsidR="006406A8">
        <w:t xml:space="preserve">odour </w:t>
      </w:r>
      <w:r w:rsidR="004B0244">
        <w:t xml:space="preserve">emissions, avoiding significant negative </w:t>
      </w:r>
      <w:r w:rsidR="006406A8">
        <w:t>impacts</w:t>
      </w:r>
      <w:r w:rsidR="005D1E0A" w:rsidRPr="005D1E0A">
        <w:t xml:space="preserve">. </w:t>
      </w:r>
      <w:r w:rsidR="004B0244">
        <w:t>T</w:t>
      </w:r>
      <w:r w:rsidR="005D1E0A">
        <w:t xml:space="preserve">emporal variations </w:t>
      </w:r>
      <w:r w:rsidR="006406A8">
        <w:t xml:space="preserve">in odour </w:t>
      </w:r>
      <w:r w:rsidR="004B0244">
        <w:t>concentrations</w:t>
      </w:r>
      <w:r w:rsidR="006406A8">
        <w:t xml:space="preserve"> from </w:t>
      </w:r>
      <w:r w:rsidR="005D1E0A">
        <w:t xml:space="preserve">OFMSW </w:t>
      </w:r>
      <w:r w:rsidR="004B0244">
        <w:t xml:space="preserve">storage </w:t>
      </w:r>
      <w:r w:rsidR="005D1E0A">
        <w:t xml:space="preserve">samples </w:t>
      </w:r>
      <w:r w:rsidR="00250392">
        <w:t xml:space="preserve">has been </w:t>
      </w:r>
      <w:r w:rsidR="006406A8">
        <w:t>i</w:t>
      </w:r>
      <w:r w:rsidR="004B0244">
        <w:t>dentified</w:t>
      </w:r>
      <w:r w:rsidR="00250392">
        <w:t xml:space="preserve"> and proved trought the experimental analyses</w:t>
      </w:r>
      <w:r w:rsidR="005D1E0A">
        <w:t xml:space="preserve">. </w:t>
      </w:r>
      <w:r w:rsidR="005D1E0A" w:rsidRPr="005D1E0A">
        <w:t xml:space="preserve">Preliminary results </w:t>
      </w:r>
      <w:r w:rsidR="006406A8">
        <w:t>indicate</w:t>
      </w:r>
      <w:r w:rsidR="005D1E0A" w:rsidRPr="005D1E0A">
        <w:t xml:space="preserve"> </w:t>
      </w:r>
      <w:r w:rsidR="004B0244">
        <w:t>relation</w:t>
      </w:r>
      <w:r w:rsidR="006406A8">
        <w:t xml:space="preserve"> between odour concentration</w:t>
      </w:r>
      <w:r w:rsidR="005D1E0A" w:rsidRPr="005D1E0A">
        <w:t xml:space="preserve"> </w:t>
      </w:r>
      <w:r w:rsidR="005D1E0A" w:rsidRPr="005D1E0A">
        <w:lastRenderedPageBreak/>
        <w:t>and pH, temperature and humidity parameters.</w:t>
      </w:r>
      <w:r w:rsidR="0029499E">
        <w:t xml:space="preserve"> </w:t>
      </w:r>
      <w:r w:rsidR="006406A8">
        <w:t>Specifically</w:t>
      </w:r>
      <w:r w:rsidR="005D1E0A">
        <w:t xml:space="preserve">, </w:t>
      </w:r>
      <w:r w:rsidR="00250392">
        <w:t xml:space="preserve">an inverse relation between </w:t>
      </w:r>
      <w:r w:rsidR="006406A8">
        <w:t>odour</w:t>
      </w:r>
      <w:r w:rsidR="005D1E0A" w:rsidRPr="005D1E0A">
        <w:t xml:space="preserve"> concentration </w:t>
      </w:r>
      <w:r w:rsidR="00250392">
        <w:t xml:space="preserve">and </w:t>
      </w:r>
      <w:r w:rsidR="006406A8">
        <w:t>pH and humidity</w:t>
      </w:r>
      <w:r w:rsidR="00250392">
        <w:t xml:space="preserve"> could be noted</w:t>
      </w:r>
      <w:r w:rsidR="005D1E0A" w:rsidRPr="005D1E0A">
        <w:t xml:space="preserve">. </w:t>
      </w:r>
      <w:r w:rsidR="004B0244">
        <w:t xml:space="preserve">While </w:t>
      </w:r>
      <w:r w:rsidR="00250392">
        <w:t>between odour</w:t>
      </w:r>
      <w:r w:rsidR="00250392" w:rsidRPr="005D1E0A">
        <w:t xml:space="preserve"> concentration</w:t>
      </w:r>
      <w:r w:rsidR="00250392">
        <w:t xml:space="preserve"> and temperature the relation is proved to be </w:t>
      </w:r>
      <w:r w:rsidR="006406A8">
        <w:t>direct</w:t>
      </w:r>
      <w:r w:rsidR="00250392">
        <w:t>ly</w:t>
      </w:r>
      <w:r w:rsidR="005D1E0A" w:rsidRPr="005D1E0A">
        <w:t>.</w:t>
      </w:r>
      <w:r w:rsidR="006F46EB">
        <w:t xml:space="preserve"> </w:t>
      </w:r>
      <w:r w:rsidR="006F46EB" w:rsidRPr="006F46EB">
        <w:t>The overall analys</w:t>
      </w:r>
      <w:r w:rsidR="00A34DBB">
        <w:t>es</w:t>
      </w:r>
      <w:r w:rsidR="006F46EB" w:rsidRPr="006F46EB">
        <w:t xml:space="preserve"> </w:t>
      </w:r>
      <w:r w:rsidR="00A34DBB">
        <w:t xml:space="preserve">demonstrate, in any case, </w:t>
      </w:r>
      <w:r w:rsidR="00A34DBB" w:rsidRPr="00A34DBB">
        <w:t xml:space="preserve">that there is an increase in the odor concentration measured as the storage time of the </w:t>
      </w:r>
      <w:r w:rsidR="002A596E">
        <w:t>OFMSW</w:t>
      </w:r>
      <w:r w:rsidR="0029499E">
        <w:t xml:space="preserve">. </w:t>
      </w:r>
      <w:r w:rsidR="00A34DBB" w:rsidRPr="00A34DBB">
        <w:t xml:space="preserve">This result therefore confirms the opportunity to reduce the maximum time foreseen by the legislation for the storage of OFMSW in the transfer sites, to a more suitable period of 48 hours, in order to avoid potential impacts from odor in the sites themselves and/or then in the plants of treatment, in which the waste would arrive with a higher emission potential and therefore difficult to manage. </w:t>
      </w:r>
      <w:r w:rsidR="0029499E">
        <w:t>Th</w:t>
      </w:r>
      <w:r w:rsidR="002A596E">
        <w:t>e</w:t>
      </w:r>
      <w:r w:rsidR="0029499E">
        <w:t xml:space="preserve"> re</w:t>
      </w:r>
      <w:r w:rsidR="002A596E">
        <w:t xml:space="preserve">search </w:t>
      </w:r>
      <w:r w:rsidR="00A34DBB" w:rsidRPr="00A34DBB">
        <w:t>provides useful results for separate waste collection managers and control bodies, with a view to reviewing the regulations for the storage of OFMSW, in a proactive action to avoid odor impacts</w:t>
      </w:r>
      <w:r w:rsidR="0029499E">
        <w:t xml:space="preserve">. </w:t>
      </w:r>
    </w:p>
    <w:p w14:paraId="4F1327F8" w14:textId="6A524CB8" w:rsidR="00600535" w:rsidRPr="005D1E0A" w:rsidRDefault="00600535" w:rsidP="00AA1921">
      <w:pPr>
        <w:pStyle w:val="CETHeading1"/>
        <w:numPr>
          <w:ilvl w:val="0"/>
          <w:numId w:val="0"/>
        </w:numPr>
        <w:rPr>
          <w:lang w:val="en-GB"/>
        </w:rPr>
      </w:pPr>
      <w:r w:rsidRPr="005D1E0A">
        <w:rPr>
          <w:lang w:val="en-GB"/>
        </w:rPr>
        <w:t>References</w:t>
      </w:r>
    </w:p>
    <w:p w14:paraId="5F90A146" w14:textId="77777777" w:rsidR="00CD6698" w:rsidRPr="00CD6698" w:rsidRDefault="00CD6698" w:rsidP="00CD6698">
      <w:pPr>
        <w:pStyle w:val="Bibliografia"/>
        <w:rPr>
          <w:rFonts w:cs="Arial"/>
        </w:rPr>
      </w:pPr>
      <w:r>
        <w:fldChar w:fldCharType="begin"/>
      </w:r>
      <w:r>
        <w:instrText xml:space="preserve"> ADDIN ZOTERO_BIBL {"uncited":[],"omitted":[],"custom":[]} CSL_BIBLIOGRAPHY </w:instrText>
      </w:r>
      <w:r>
        <w:fldChar w:fldCharType="separate"/>
      </w:r>
      <w:r w:rsidRPr="00CD6698">
        <w:rPr>
          <w:rFonts w:cs="Arial"/>
        </w:rPr>
        <w:t>Ağaçsapan, B., Çabuk, S.N., 2020. Determination of suitable waste transfer station areas for sustainable territories: Eskisehir case. Sustainable Cities and Society 52, 101829. https://doi.org/10.1016/j.scs.2019.101829</w:t>
      </w:r>
    </w:p>
    <w:p w14:paraId="4A87D94A" w14:textId="77777777" w:rsidR="00CD6698" w:rsidRPr="00CD6698" w:rsidRDefault="00CD6698" w:rsidP="00CD6698">
      <w:pPr>
        <w:pStyle w:val="Bibliografia"/>
        <w:rPr>
          <w:rFonts w:cs="Arial"/>
          <w:lang w:val="it-IT"/>
        </w:rPr>
      </w:pPr>
      <w:r w:rsidRPr="00CD6698">
        <w:rPr>
          <w:rFonts w:cs="Arial"/>
        </w:rPr>
        <w:t xml:space="preserve">Alibardi, L., Cossu, R., 2015. Composition variability of the organic fraction of municipal solid waste and effects on hydrogen and methane production potentials. </w:t>
      </w:r>
      <w:r w:rsidRPr="00CD6698">
        <w:rPr>
          <w:rFonts w:cs="Arial"/>
          <w:lang w:val="it-IT"/>
        </w:rPr>
        <w:t>Waste Management 36, 147–155. https://doi.org/10.1016/j.wasman.2014.11.019</w:t>
      </w:r>
    </w:p>
    <w:p w14:paraId="58A7C412" w14:textId="77777777" w:rsidR="00CD6698" w:rsidRPr="00CD6698" w:rsidRDefault="00CD6698" w:rsidP="00CD6698">
      <w:pPr>
        <w:pStyle w:val="Bibliografia"/>
        <w:rPr>
          <w:rFonts w:cs="Arial"/>
        </w:rPr>
      </w:pPr>
      <w:r w:rsidRPr="00CD6698">
        <w:rPr>
          <w:rFonts w:cs="Arial"/>
          <w:lang w:val="it-IT"/>
        </w:rPr>
        <w:t xml:space="preserve">Barreiro-Vescovo, S., Barbera, E., Bertucco, A., Sforza, E., 2020. </w:t>
      </w:r>
      <w:r w:rsidRPr="00CD6698">
        <w:rPr>
          <w:rFonts w:cs="Arial"/>
        </w:rPr>
        <w:t>Integration of Microalgae Cultivation in a Biogas Production Process from Organic Municipal Solid Waste: From Laboratory to Pilot Scale. ChemEngineering 4. https://doi.org/10.3390/chemengineering4020025</w:t>
      </w:r>
    </w:p>
    <w:p w14:paraId="3719DEBA" w14:textId="77777777" w:rsidR="00CD6698" w:rsidRPr="00CD6698" w:rsidRDefault="00CD6698" w:rsidP="00CD6698">
      <w:pPr>
        <w:pStyle w:val="Bibliografia"/>
        <w:rPr>
          <w:rFonts w:cs="Arial"/>
          <w:lang w:val="it-IT"/>
        </w:rPr>
      </w:pPr>
      <w:r w:rsidRPr="00CD6698">
        <w:rPr>
          <w:rFonts w:cs="Arial"/>
        </w:rPr>
        <w:t xml:space="preserve">Fasolino, I., Grimaldi, M., Zarra, T., Naddeo, V., 2016. Odour control strategies for a sustainable nuisances action plan. </w:t>
      </w:r>
      <w:r w:rsidRPr="00CD6698">
        <w:rPr>
          <w:rFonts w:cs="Arial"/>
          <w:lang w:val="it-IT"/>
        </w:rPr>
        <w:t>Global NEST Journal 18, 734–741. https://doi.org/10.30955/gnj.002109</w:t>
      </w:r>
    </w:p>
    <w:p w14:paraId="76824688" w14:textId="77777777" w:rsidR="00CD6698" w:rsidRPr="00CD6698" w:rsidRDefault="00CD6698" w:rsidP="00CD6698">
      <w:pPr>
        <w:pStyle w:val="Bibliografia"/>
        <w:rPr>
          <w:rFonts w:cs="Arial"/>
        </w:rPr>
      </w:pPr>
      <w:r w:rsidRPr="00CD6698">
        <w:rPr>
          <w:rFonts w:cs="Arial"/>
          <w:lang w:val="it-IT"/>
        </w:rPr>
        <w:t xml:space="preserve">Oliva, G., Zarra, T., Pittoni, G., Senatore, V., Galang, M.G., Castellani, M., Belgiorno, V., Naddeo, V., 2021. </w:t>
      </w:r>
      <w:r w:rsidRPr="00CD6698">
        <w:rPr>
          <w:rFonts w:cs="Arial"/>
        </w:rPr>
        <w:t>Next-generation of instrumental odour monitoring system (IOMS) for the gaseous emissions control in complex industrial plants. Chemosphere 271, 129768. https://doi.org/10.1016/j.chemosphere.2021.129768</w:t>
      </w:r>
    </w:p>
    <w:p w14:paraId="7ED8BBC0" w14:textId="77777777" w:rsidR="00CD6698" w:rsidRPr="00CD6698" w:rsidRDefault="00CD6698" w:rsidP="00CD6698">
      <w:pPr>
        <w:pStyle w:val="Bibliografia"/>
        <w:rPr>
          <w:rFonts w:cs="Arial"/>
        </w:rPr>
      </w:pPr>
      <w:r w:rsidRPr="00CD6698">
        <w:rPr>
          <w:rFonts w:cs="Arial"/>
        </w:rPr>
        <w:t>RAFIEE, R., KHORASANI, N., MAHINY, A.S., DARVISHSEFAT, A.A., DANEKAR, A., HASAN, S.E., 2011. Siting Transfer Stations for Municipal Solid Waste Using a Spatial Multi-Criteria Analysis. Environmental &amp; Engineering Geoscience 17, 143–154. https://doi.org/10.2113/gseegeosci.17.2.143</w:t>
      </w:r>
    </w:p>
    <w:p w14:paraId="5BA7A7C3" w14:textId="77777777" w:rsidR="00CD6698" w:rsidRPr="00CD6698" w:rsidRDefault="00CD6698" w:rsidP="00CD6698">
      <w:pPr>
        <w:pStyle w:val="Bibliografia"/>
        <w:rPr>
          <w:rFonts w:cs="Arial"/>
        </w:rPr>
      </w:pPr>
      <w:r w:rsidRPr="00CD6698">
        <w:rPr>
          <w:rFonts w:cs="Arial"/>
        </w:rPr>
        <w:t>Singh, D., Dikshit, A.K., Kumar, S., 2024. Smart technological options in collection and transportation of municipal solid waste in urban areas: A mini review. Waste Manag Res 42, 3–15. https://doi.org/10.1177/0734242X231175816</w:t>
      </w:r>
    </w:p>
    <w:p w14:paraId="49DBDD26" w14:textId="77777777" w:rsidR="00CD6698" w:rsidRPr="00CD6698" w:rsidRDefault="00CD6698" w:rsidP="00CD6698">
      <w:pPr>
        <w:pStyle w:val="Bibliografia"/>
        <w:rPr>
          <w:rFonts w:cs="Arial"/>
        </w:rPr>
      </w:pPr>
      <w:r w:rsidRPr="00CD6698">
        <w:rPr>
          <w:rFonts w:cs="Arial"/>
        </w:rPr>
        <w:t>Teerioja, N., Moliis, K., Kuvaja, E., Ollikainen, M., Punkkinen, H., Merta, E., 2012. Pneumatic vs. door-to-door waste collection systems in existing urban areas: a comparison of economic performance. Waste Management 32, 1782–1791. https://doi.org/10.1016/j.wasman.2012.05.027</w:t>
      </w:r>
    </w:p>
    <w:p w14:paraId="12BFD792" w14:textId="77777777" w:rsidR="00CD6698" w:rsidRPr="00CD6698" w:rsidRDefault="00CD6698" w:rsidP="00CD6698">
      <w:pPr>
        <w:pStyle w:val="Bibliografia"/>
        <w:rPr>
          <w:rFonts w:cs="Arial"/>
        </w:rPr>
      </w:pPr>
      <w:r w:rsidRPr="00CD6698">
        <w:rPr>
          <w:rFonts w:cs="Arial"/>
        </w:rPr>
        <w:t>Tyagi, V.K., Fdez-Güelfo, L.A., Zhou, Y., Álvarez-Gallego, C.J., Garcia, L.I.R., Ng, W.J., 2018. Anaerobic co-digestion of organic fraction of municipal solid waste (OFMSW): Progress and challenges. Renewable and Sustainable Energy Reviews 93, 380–399. https://doi.org/10.1016/j.rser.2018.05.051</w:t>
      </w:r>
    </w:p>
    <w:p w14:paraId="64BDAA91" w14:textId="77777777" w:rsidR="00CD6698" w:rsidRPr="00CD6698" w:rsidRDefault="00CD6698" w:rsidP="00CD6698">
      <w:pPr>
        <w:pStyle w:val="Bibliografia"/>
        <w:rPr>
          <w:rFonts w:cs="Arial"/>
        </w:rPr>
      </w:pPr>
      <w:r w:rsidRPr="00CD6698">
        <w:rPr>
          <w:rFonts w:cs="Arial"/>
        </w:rPr>
        <w:t>Wang, B., Li, X., Chen, D., Weng, X., Chang, Z., 2023. Development of an electronic nose to characterize water quality parameters and odor concentration of wastewater emitted from different phases in a wastewater treatment plant. Water Research 235, 119878. https://doi.org/10.1016/j.watres.2023.119878</w:t>
      </w:r>
    </w:p>
    <w:p w14:paraId="5B457529" w14:textId="77777777" w:rsidR="00CD6698" w:rsidRPr="00CD6698" w:rsidRDefault="00CD6698" w:rsidP="00CD6698">
      <w:pPr>
        <w:pStyle w:val="Bibliografia"/>
        <w:rPr>
          <w:rFonts w:cs="Arial"/>
        </w:rPr>
      </w:pPr>
      <w:r w:rsidRPr="00CD6698">
        <w:rPr>
          <w:rFonts w:cs="Arial"/>
        </w:rPr>
        <w:t>Wu, C., Shu, M., Liu, X., Sang, Y., Cai, H., Qu, C., Liu, J., 2020. Characterization of the volatile compounds emitted from municipal solid waste and identification of the key volatile pollutants. Waste Management 103, 314–322. https://doi.org/10.1016/j.wasman.2019.12.043</w:t>
      </w:r>
    </w:p>
    <w:p w14:paraId="12AC82BC" w14:textId="77777777" w:rsidR="00CD6698" w:rsidRPr="00CD6698" w:rsidRDefault="00CD6698" w:rsidP="00CD6698">
      <w:pPr>
        <w:pStyle w:val="Bibliografia"/>
        <w:rPr>
          <w:rFonts w:cs="Arial"/>
        </w:rPr>
      </w:pPr>
      <w:r w:rsidRPr="00CD6698">
        <w:rPr>
          <w:rFonts w:cs="Arial"/>
        </w:rPr>
        <w:t>Yadav, V., Kalbar, P.P., Karmakar, S., Dikshit, A.K., 2020. A two-stage multi-attribute decision-making model for selecting appropriate locations of waste transfer stations in urban centers. Waste Management 114, 80–88. https://doi.org/10.1016/j.wasman.2020.05.024</w:t>
      </w:r>
    </w:p>
    <w:p w14:paraId="7F201BCB" w14:textId="77777777" w:rsidR="00CD6698" w:rsidRPr="00CD6698" w:rsidRDefault="00CD6698" w:rsidP="00CD6698">
      <w:pPr>
        <w:pStyle w:val="Bibliografia"/>
        <w:rPr>
          <w:rFonts w:cs="Arial"/>
        </w:rPr>
      </w:pPr>
      <w:r w:rsidRPr="00CD6698">
        <w:rPr>
          <w:rFonts w:cs="Arial"/>
        </w:rPr>
        <w:t>Zarra, T., Naddeo, V., Belgiorno, V., 2013. A novel tool for estimating the odour emissions of composting plants in air pollution management. Global NEST Journal 11, 477–486. https://doi.org/10.30955/gnj.000484</w:t>
      </w:r>
    </w:p>
    <w:p w14:paraId="0DD72F1D" w14:textId="77777777" w:rsidR="00CD6698" w:rsidRPr="00CD6698" w:rsidRDefault="00CD6698" w:rsidP="00CD6698">
      <w:pPr>
        <w:pStyle w:val="Bibliografia"/>
        <w:rPr>
          <w:rFonts w:cs="Arial"/>
        </w:rPr>
      </w:pPr>
      <w:r w:rsidRPr="00CD6698">
        <w:rPr>
          <w:rFonts w:cs="Arial"/>
        </w:rPr>
        <w:t>Zarra, T., Naddeo, V., Belgiorno, V., Reiser, M., Kranert, M., 2009. Instrumental characterization of odour: a combination of olfactory and analytical methods. Water Science and Technology 59, 1603–1609. https://doi.org/10.2166/wst.2009.125</w:t>
      </w:r>
    </w:p>
    <w:p w14:paraId="13372276" w14:textId="77777777" w:rsidR="00CD6698" w:rsidRPr="00CD6698" w:rsidRDefault="00CD6698" w:rsidP="00CD6698">
      <w:pPr>
        <w:pStyle w:val="Bibliografia"/>
        <w:rPr>
          <w:rFonts w:cs="Arial"/>
        </w:rPr>
      </w:pPr>
      <w:r w:rsidRPr="00CD6698">
        <w:rPr>
          <w:rFonts w:cs="Arial"/>
        </w:rPr>
        <w:t>Zarra, T., Naddeo, V., Giuliani, S., Belgiorno, V., 2010. Optimization of field inspection method for odour impact assessment, in: DelRosso, R. (Ed.), University of Salerno. Presented at the NOSE 2010: INTERNATIONAL CONFERENCE ON ENVIRONMENTAL ODOUR MONITORING AND CONTROL, pp. 93–98. https://doi.org/10.3303/CET1023016</w:t>
      </w:r>
    </w:p>
    <w:p w14:paraId="4531C1D0" w14:textId="77777777" w:rsidR="00CD6698" w:rsidRPr="00CD6698" w:rsidRDefault="00CD6698" w:rsidP="00CD6698">
      <w:pPr>
        <w:pStyle w:val="Bibliografia"/>
        <w:rPr>
          <w:rFonts w:cs="Arial"/>
        </w:rPr>
      </w:pPr>
      <w:r w:rsidRPr="00CD6698">
        <w:rPr>
          <w:rFonts w:cs="Arial"/>
        </w:rPr>
        <w:t>Zhang, Y., Arnold, R., Paavola, T., Vaz, F., Correia, C., Cavinato, C., Kusch-Brandt, S., Heaven, S., 2013. Compositional analysis of food waste entering the source segregation stream in four European regions and implications for valorisation via anaerobic digestion.</w:t>
      </w:r>
    </w:p>
    <w:p w14:paraId="55C89CBB" w14:textId="11AA97FD" w:rsidR="00AA3768" w:rsidRDefault="00CD6698" w:rsidP="009663FA">
      <w:pPr>
        <w:pStyle w:val="CETBodytext"/>
      </w:pPr>
      <w:r>
        <w:fldChar w:fldCharType="end"/>
      </w:r>
    </w:p>
    <w:p w14:paraId="1E538FC2" w14:textId="1EB63439" w:rsidR="00131516" w:rsidRDefault="00131516" w:rsidP="009663FA">
      <w:pPr>
        <w:pStyle w:val="CETBodytext"/>
      </w:pPr>
    </w:p>
    <w:p w14:paraId="7BB60095" w14:textId="75BF09F1" w:rsidR="00131516" w:rsidRDefault="00131516" w:rsidP="009663FA">
      <w:pPr>
        <w:pStyle w:val="CETBodytext"/>
      </w:pPr>
    </w:p>
    <w:sectPr w:rsidR="00131516" w:rsidSect="00C124C5">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7A37" w14:textId="77777777" w:rsidR="00892FF6" w:rsidRDefault="00892FF6" w:rsidP="004F5E36">
      <w:r>
        <w:separator/>
      </w:r>
    </w:p>
  </w:endnote>
  <w:endnote w:type="continuationSeparator" w:id="0">
    <w:p w14:paraId="2FAF0738" w14:textId="77777777" w:rsidR="00892FF6" w:rsidRDefault="00892FF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799F" w14:textId="77777777" w:rsidR="00892FF6" w:rsidRDefault="00892FF6" w:rsidP="004F5E36">
      <w:r>
        <w:separator/>
      </w:r>
    </w:p>
  </w:footnote>
  <w:footnote w:type="continuationSeparator" w:id="0">
    <w:p w14:paraId="4762A8CD" w14:textId="77777777" w:rsidR="00892FF6" w:rsidRDefault="00892FF6"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534E1B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8D36CBE"/>
    <w:multiLevelType w:val="hybridMultilevel"/>
    <w:tmpl w:val="08029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 w:numId="23">
    <w:abstractNumId w:val="10"/>
  </w:num>
  <w:num w:numId="24">
    <w:abstractNumId w:val="11"/>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C07"/>
    <w:rsid w:val="000018A4"/>
    <w:rsid w:val="000027C0"/>
    <w:rsid w:val="00002A39"/>
    <w:rsid w:val="000052FB"/>
    <w:rsid w:val="000117CB"/>
    <w:rsid w:val="000146F1"/>
    <w:rsid w:val="0001515D"/>
    <w:rsid w:val="0003148D"/>
    <w:rsid w:val="000328D5"/>
    <w:rsid w:val="0003442A"/>
    <w:rsid w:val="00036120"/>
    <w:rsid w:val="00051566"/>
    <w:rsid w:val="00053EDD"/>
    <w:rsid w:val="00055F0D"/>
    <w:rsid w:val="000606F8"/>
    <w:rsid w:val="00062A9A"/>
    <w:rsid w:val="00063EBC"/>
    <w:rsid w:val="00065058"/>
    <w:rsid w:val="00067663"/>
    <w:rsid w:val="000836F2"/>
    <w:rsid w:val="00086C39"/>
    <w:rsid w:val="00096FE1"/>
    <w:rsid w:val="000A03B2"/>
    <w:rsid w:val="000A2936"/>
    <w:rsid w:val="000B3BF1"/>
    <w:rsid w:val="000B552B"/>
    <w:rsid w:val="000B66C0"/>
    <w:rsid w:val="000C481C"/>
    <w:rsid w:val="000C536E"/>
    <w:rsid w:val="000C5463"/>
    <w:rsid w:val="000D0268"/>
    <w:rsid w:val="000D09C7"/>
    <w:rsid w:val="000D34BE"/>
    <w:rsid w:val="000D4ADE"/>
    <w:rsid w:val="000E102F"/>
    <w:rsid w:val="000E36F1"/>
    <w:rsid w:val="000E3A73"/>
    <w:rsid w:val="000E414A"/>
    <w:rsid w:val="000E6F32"/>
    <w:rsid w:val="000F093C"/>
    <w:rsid w:val="000F46FF"/>
    <w:rsid w:val="000F6004"/>
    <w:rsid w:val="000F787B"/>
    <w:rsid w:val="00114A36"/>
    <w:rsid w:val="00114EFD"/>
    <w:rsid w:val="00115040"/>
    <w:rsid w:val="0012091F"/>
    <w:rsid w:val="00122318"/>
    <w:rsid w:val="001244C6"/>
    <w:rsid w:val="00124839"/>
    <w:rsid w:val="00126BC2"/>
    <w:rsid w:val="00127821"/>
    <w:rsid w:val="001308B6"/>
    <w:rsid w:val="0013121F"/>
    <w:rsid w:val="00131516"/>
    <w:rsid w:val="00131FE6"/>
    <w:rsid w:val="0013263F"/>
    <w:rsid w:val="001330FD"/>
    <w:rsid w:val="00133184"/>
    <w:rsid w:val="00134DE4"/>
    <w:rsid w:val="0014034D"/>
    <w:rsid w:val="00143127"/>
    <w:rsid w:val="00150E59"/>
    <w:rsid w:val="00152DE3"/>
    <w:rsid w:val="0015336A"/>
    <w:rsid w:val="00153CE7"/>
    <w:rsid w:val="00156335"/>
    <w:rsid w:val="001611F5"/>
    <w:rsid w:val="00164475"/>
    <w:rsid w:val="00164CF9"/>
    <w:rsid w:val="001667A6"/>
    <w:rsid w:val="00174A48"/>
    <w:rsid w:val="0018080D"/>
    <w:rsid w:val="00184AD6"/>
    <w:rsid w:val="001950E6"/>
    <w:rsid w:val="001A2380"/>
    <w:rsid w:val="001A32D0"/>
    <w:rsid w:val="001A3FC2"/>
    <w:rsid w:val="001A4AF7"/>
    <w:rsid w:val="001B0349"/>
    <w:rsid w:val="001B3981"/>
    <w:rsid w:val="001B5D43"/>
    <w:rsid w:val="001B65C1"/>
    <w:rsid w:val="001C253D"/>
    <w:rsid w:val="001C2E18"/>
    <w:rsid w:val="001C4B51"/>
    <w:rsid w:val="001C5E56"/>
    <w:rsid w:val="001C684B"/>
    <w:rsid w:val="001D53FC"/>
    <w:rsid w:val="001E2479"/>
    <w:rsid w:val="001E4D1E"/>
    <w:rsid w:val="001F1913"/>
    <w:rsid w:val="001F27F5"/>
    <w:rsid w:val="001F42A5"/>
    <w:rsid w:val="001F7262"/>
    <w:rsid w:val="001F7995"/>
    <w:rsid w:val="001F7B9D"/>
    <w:rsid w:val="00200DE6"/>
    <w:rsid w:val="00206204"/>
    <w:rsid w:val="00210955"/>
    <w:rsid w:val="002124D6"/>
    <w:rsid w:val="002179D2"/>
    <w:rsid w:val="002224B4"/>
    <w:rsid w:val="00224D7A"/>
    <w:rsid w:val="002252CC"/>
    <w:rsid w:val="00226BB8"/>
    <w:rsid w:val="0023247F"/>
    <w:rsid w:val="00237659"/>
    <w:rsid w:val="00242982"/>
    <w:rsid w:val="002447EF"/>
    <w:rsid w:val="00250392"/>
    <w:rsid w:val="00251550"/>
    <w:rsid w:val="00260009"/>
    <w:rsid w:val="00260E10"/>
    <w:rsid w:val="00263B05"/>
    <w:rsid w:val="00265C63"/>
    <w:rsid w:val="002706CB"/>
    <w:rsid w:val="0027221A"/>
    <w:rsid w:val="00272602"/>
    <w:rsid w:val="00272656"/>
    <w:rsid w:val="00275730"/>
    <w:rsid w:val="00275B61"/>
    <w:rsid w:val="002765D4"/>
    <w:rsid w:val="00276651"/>
    <w:rsid w:val="00282656"/>
    <w:rsid w:val="00285A8B"/>
    <w:rsid w:val="0029499E"/>
    <w:rsid w:val="00294F2E"/>
    <w:rsid w:val="00296B83"/>
    <w:rsid w:val="002A293E"/>
    <w:rsid w:val="002A358B"/>
    <w:rsid w:val="002A3831"/>
    <w:rsid w:val="002A596E"/>
    <w:rsid w:val="002A7006"/>
    <w:rsid w:val="002B04D5"/>
    <w:rsid w:val="002B1FB3"/>
    <w:rsid w:val="002B2611"/>
    <w:rsid w:val="002B78CE"/>
    <w:rsid w:val="002C2FB6"/>
    <w:rsid w:val="002C5399"/>
    <w:rsid w:val="002C6BF9"/>
    <w:rsid w:val="002C6F9B"/>
    <w:rsid w:val="002C7300"/>
    <w:rsid w:val="002E4450"/>
    <w:rsid w:val="002E5324"/>
    <w:rsid w:val="002E6EF3"/>
    <w:rsid w:val="002F3309"/>
    <w:rsid w:val="002F3322"/>
    <w:rsid w:val="002F7B9C"/>
    <w:rsid w:val="0030014E"/>
    <w:rsid w:val="003009B7"/>
    <w:rsid w:val="00300E56"/>
    <w:rsid w:val="00302DAC"/>
    <w:rsid w:val="0030469C"/>
    <w:rsid w:val="00313452"/>
    <w:rsid w:val="00313A05"/>
    <w:rsid w:val="00314579"/>
    <w:rsid w:val="00321478"/>
    <w:rsid w:val="00321CA6"/>
    <w:rsid w:val="00324245"/>
    <w:rsid w:val="0032446F"/>
    <w:rsid w:val="003307F6"/>
    <w:rsid w:val="00334C09"/>
    <w:rsid w:val="0033724A"/>
    <w:rsid w:val="00347FA5"/>
    <w:rsid w:val="00355A9E"/>
    <w:rsid w:val="003572D0"/>
    <w:rsid w:val="003577FB"/>
    <w:rsid w:val="00361E7A"/>
    <w:rsid w:val="00363B5A"/>
    <w:rsid w:val="00365055"/>
    <w:rsid w:val="00365895"/>
    <w:rsid w:val="0036692A"/>
    <w:rsid w:val="003723D4"/>
    <w:rsid w:val="0037400D"/>
    <w:rsid w:val="003766BD"/>
    <w:rsid w:val="00381905"/>
    <w:rsid w:val="00384CC8"/>
    <w:rsid w:val="003851B6"/>
    <w:rsid w:val="003871FD"/>
    <w:rsid w:val="00396B59"/>
    <w:rsid w:val="00397F55"/>
    <w:rsid w:val="003A1E30"/>
    <w:rsid w:val="003A2FB3"/>
    <w:rsid w:val="003A7AC9"/>
    <w:rsid w:val="003A7D1C"/>
    <w:rsid w:val="003B304B"/>
    <w:rsid w:val="003B3146"/>
    <w:rsid w:val="003C60D5"/>
    <w:rsid w:val="003D1DB8"/>
    <w:rsid w:val="003D2B04"/>
    <w:rsid w:val="003E5A88"/>
    <w:rsid w:val="003E778A"/>
    <w:rsid w:val="003F015E"/>
    <w:rsid w:val="003F5535"/>
    <w:rsid w:val="003F55E7"/>
    <w:rsid w:val="003F6BD0"/>
    <w:rsid w:val="00400414"/>
    <w:rsid w:val="00410ADA"/>
    <w:rsid w:val="004143F5"/>
    <w:rsid w:val="0041446B"/>
    <w:rsid w:val="00420CBA"/>
    <w:rsid w:val="00425A9A"/>
    <w:rsid w:val="00425D2E"/>
    <w:rsid w:val="004332D4"/>
    <w:rsid w:val="00434064"/>
    <w:rsid w:val="0044329C"/>
    <w:rsid w:val="00456353"/>
    <w:rsid w:val="004577FE"/>
    <w:rsid w:val="0045796F"/>
    <w:rsid w:val="00457B47"/>
    <w:rsid w:val="00457B9C"/>
    <w:rsid w:val="00461110"/>
    <w:rsid w:val="0046164A"/>
    <w:rsid w:val="0046176E"/>
    <w:rsid w:val="00461ED7"/>
    <w:rsid w:val="004628D2"/>
    <w:rsid w:val="00462DCD"/>
    <w:rsid w:val="00463326"/>
    <w:rsid w:val="004648AD"/>
    <w:rsid w:val="0046530D"/>
    <w:rsid w:val="00467AE7"/>
    <w:rsid w:val="004703A9"/>
    <w:rsid w:val="00470E91"/>
    <w:rsid w:val="004751CB"/>
    <w:rsid w:val="004760DE"/>
    <w:rsid w:val="004763D7"/>
    <w:rsid w:val="0048005E"/>
    <w:rsid w:val="00480467"/>
    <w:rsid w:val="0048173F"/>
    <w:rsid w:val="0048403F"/>
    <w:rsid w:val="00490F19"/>
    <w:rsid w:val="00490FD1"/>
    <w:rsid w:val="00492C06"/>
    <w:rsid w:val="004A004E"/>
    <w:rsid w:val="004A1707"/>
    <w:rsid w:val="004A24CF"/>
    <w:rsid w:val="004A33C2"/>
    <w:rsid w:val="004A671B"/>
    <w:rsid w:val="004A6C54"/>
    <w:rsid w:val="004B0244"/>
    <w:rsid w:val="004B3189"/>
    <w:rsid w:val="004B515E"/>
    <w:rsid w:val="004B731C"/>
    <w:rsid w:val="004C2C96"/>
    <w:rsid w:val="004C30CB"/>
    <w:rsid w:val="004C3D1D"/>
    <w:rsid w:val="004C6FD0"/>
    <w:rsid w:val="004C7723"/>
    <w:rsid w:val="004C7913"/>
    <w:rsid w:val="004D1DE7"/>
    <w:rsid w:val="004D4758"/>
    <w:rsid w:val="004D4F7B"/>
    <w:rsid w:val="004D6700"/>
    <w:rsid w:val="004E3ACD"/>
    <w:rsid w:val="004E4DD6"/>
    <w:rsid w:val="004E6DDE"/>
    <w:rsid w:val="004E79C0"/>
    <w:rsid w:val="004F3828"/>
    <w:rsid w:val="004F54AC"/>
    <w:rsid w:val="004F5E36"/>
    <w:rsid w:val="0050096E"/>
    <w:rsid w:val="00507AD6"/>
    <w:rsid w:val="00507B22"/>
    <w:rsid w:val="00507B47"/>
    <w:rsid w:val="00507BEF"/>
    <w:rsid w:val="00507CC9"/>
    <w:rsid w:val="005119A5"/>
    <w:rsid w:val="00512528"/>
    <w:rsid w:val="00514A2F"/>
    <w:rsid w:val="00515AB8"/>
    <w:rsid w:val="0051716A"/>
    <w:rsid w:val="005278B7"/>
    <w:rsid w:val="00530859"/>
    <w:rsid w:val="005312B5"/>
    <w:rsid w:val="00532016"/>
    <w:rsid w:val="005346C8"/>
    <w:rsid w:val="00534AF2"/>
    <w:rsid w:val="00542265"/>
    <w:rsid w:val="00543E7D"/>
    <w:rsid w:val="0054425C"/>
    <w:rsid w:val="00547A68"/>
    <w:rsid w:val="00551296"/>
    <w:rsid w:val="005531C9"/>
    <w:rsid w:val="00565DE5"/>
    <w:rsid w:val="00570C43"/>
    <w:rsid w:val="0057240D"/>
    <w:rsid w:val="00573E38"/>
    <w:rsid w:val="0057548A"/>
    <w:rsid w:val="00576D90"/>
    <w:rsid w:val="00576E72"/>
    <w:rsid w:val="00580A4F"/>
    <w:rsid w:val="0058150E"/>
    <w:rsid w:val="0058272B"/>
    <w:rsid w:val="005832AB"/>
    <w:rsid w:val="005843DC"/>
    <w:rsid w:val="00594FD2"/>
    <w:rsid w:val="005A6490"/>
    <w:rsid w:val="005A76C4"/>
    <w:rsid w:val="005B0BDE"/>
    <w:rsid w:val="005B2110"/>
    <w:rsid w:val="005B3867"/>
    <w:rsid w:val="005B61E6"/>
    <w:rsid w:val="005C56A7"/>
    <w:rsid w:val="005C77E1"/>
    <w:rsid w:val="005D1E0A"/>
    <w:rsid w:val="005D1FDE"/>
    <w:rsid w:val="005D336F"/>
    <w:rsid w:val="005D405E"/>
    <w:rsid w:val="005D45FE"/>
    <w:rsid w:val="005D6A2F"/>
    <w:rsid w:val="005D6C53"/>
    <w:rsid w:val="005E1A82"/>
    <w:rsid w:val="005E4958"/>
    <w:rsid w:val="005E689F"/>
    <w:rsid w:val="005E794C"/>
    <w:rsid w:val="005F0A28"/>
    <w:rsid w:val="005F0E5E"/>
    <w:rsid w:val="005F0FFE"/>
    <w:rsid w:val="00600535"/>
    <w:rsid w:val="006010F5"/>
    <w:rsid w:val="00601D96"/>
    <w:rsid w:val="00610CD6"/>
    <w:rsid w:val="00620DEE"/>
    <w:rsid w:val="00621F92"/>
    <w:rsid w:val="0062280A"/>
    <w:rsid w:val="00623A49"/>
    <w:rsid w:val="006246FA"/>
    <w:rsid w:val="00625639"/>
    <w:rsid w:val="00631B33"/>
    <w:rsid w:val="0063280C"/>
    <w:rsid w:val="00633D9C"/>
    <w:rsid w:val="00636539"/>
    <w:rsid w:val="006406A8"/>
    <w:rsid w:val="0064142F"/>
    <w:rsid w:val="0064184D"/>
    <w:rsid w:val="006422CC"/>
    <w:rsid w:val="00642387"/>
    <w:rsid w:val="00646046"/>
    <w:rsid w:val="006501C5"/>
    <w:rsid w:val="0065280E"/>
    <w:rsid w:val="00653F1B"/>
    <w:rsid w:val="00655D06"/>
    <w:rsid w:val="00660E3E"/>
    <w:rsid w:val="00662E74"/>
    <w:rsid w:val="0066515D"/>
    <w:rsid w:val="00666C32"/>
    <w:rsid w:val="0067706D"/>
    <w:rsid w:val="00680C23"/>
    <w:rsid w:val="00692184"/>
    <w:rsid w:val="00692206"/>
    <w:rsid w:val="00693766"/>
    <w:rsid w:val="00694E11"/>
    <w:rsid w:val="00695B3D"/>
    <w:rsid w:val="00696B63"/>
    <w:rsid w:val="00696D31"/>
    <w:rsid w:val="006A14F8"/>
    <w:rsid w:val="006A3281"/>
    <w:rsid w:val="006A5850"/>
    <w:rsid w:val="006B3B44"/>
    <w:rsid w:val="006B4888"/>
    <w:rsid w:val="006B6325"/>
    <w:rsid w:val="006C1940"/>
    <w:rsid w:val="006C2E45"/>
    <w:rsid w:val="006C359C"/>
    <w:rsid w:val="006C5579"/>
    <w:rsid w:val="006C5DB2"/>
    <w:rsid w:val="006C6858"/>
    <w:rsid w:val="006D643E"/>
    <w:rsid w:val="006D6E8B"/>
    <w:rsid w:val="006E5A56"/>
    <w:rsid w:val="006E737D"/>
    <w:rsid w:val="006F1DD1"/>
    <w:rsid w:val="006F46EB"/>
    <w:rsid w:val="007013F8"/>
    <w:rsid w:val="00702325"/>
    <w:rsid w:val="00704618"/>
    <w:rsid w:val="00704EFA"/>
    <w:rsid w:val="00706399"/>
    <w:rsid w:val="007148CF"/>
    <w:rsid w:val="00717C2D"/>
    <w:rsid w:val="00720A24"/>
    <w:rsid w:val="00723C6D"/>
    <w:rsid w:val="00723DE9"/>
    <w:rsid w:val="007252B2"/>
    <w:rsid w:val="00732386"/>
    <w:rsid w:val="00734DA5"/>
    <w:rsid w:val="0073514D"/>
    <w:rsid w:val="007352FC"/>
    <w:rsid w:val="0073555C"/>
    <w:rsid w:val="00743A50"/>
    <w:rsid w:val="007447F3"/>
    <w:rsid w:val="00753FA5"/>
    <w:rsid w:val="0075499F"/>
    <w:rsid w:val="00762512"/>
    <w:rsid w:val="00762BAF"/>
    <w:rsid w:val="00765379"/>
    <w:rsid w:val="007661C8"/>
    <w:rsid w:val="00767313"/>
    <w:rsid w:val="0077098D"/>
    <w:rsid w:val="00775B0B"/>
    <w:rsid w:val="00787BBA"/>
    <w:rsid w:val="007931FA"/>
    <w:rsid w:val="00794CB3"/>
    <w:rsid w:val="0079683E"/>
    <w:rsid w:val="007A3A28"/>
    <w:rsid w:val="007A4861"/>
    <w:rsid w:val="007A7BBA"/>
    <w:rsid w:val="007B0C50"/>
    <w:rsid w:val="007C0CC0"/>
    <w:rsid w:val="007C19F5"/>
    <w:rsid w:val="007C1A43"/>
    <w:rsid w:val="007C3AC9"/>
    <w:rsid w:val="007D061E"/>
    <w:rsid w:val="007D32BE"/>
    <w:rsid w:val="007D44AF"/>
    <w:rsid w:val="007D5634"/>
    <w:rsid w:val="007E0DC7"/>
    <w:rsid w:val="007E29CB"/>
    <w:rsid w:val="007E4266"/>
    <w:rsid w:val="007E6467"/>
    <w:rsid w:val="007F1058"/>
    <w:rsid w:val="007F27D4"/>
    <w:rsid w:val="007F5F76"/>
    <w:rsid w:val="0080013E"/>
    <w:rsid w:val="00802D0B"/>
    <w:rsid w:val="00813288"/>
    <w:rsid w:val="008168FC"/>
    <w:rsid w:val="008172FA"/>
    <w:rsid w:val="00817648"/>
    <w:rsid w:val="00822322"/>
    <w:rsid w:val="008245B6"/>
    <w:rsid w:val="00830996"/>
    <w:rsid w:val="008345F1"/>
    <w:rsid w:val="0083728E"/>
    <w:rsid w:val="008379A6"/>
    <w:rsid w:val="00850250"/>
    <w:rsid w:val="00852C60"/>
    <w:rsid w:val="00856505"/>
    <w:rsid w:val="00865B07"/>
    <w:rsid w:val="008667EA"/>
    <w:rsid w:val="00875A97"/>
    <w:rsid w:val="0087637F"/>
    <w:rsid w:val="008831D6"/>
    <w:rsid w:val="00884836"/>
    <w:rsid w:val="00885919"/>
    <w:rsid w:val="00885CEF"/>
    <w:rsid w:val="00891BD4"/>
    <w:rsid w:val="00892AD5"/>
    <w:rsid w:val="00892FF6"/>
    <w:rsid w:val="00894F5A"/>
    <w:rsid w:val="00896CF4"/>
    <w:rsid w:val="008A0694"/>
    <w:rsid w:val="008A1512"/>
    <w:rsid w:val="008A3067"/>
    <w:rsid w:val="008C0B60"/>
    <w:rsid w:val="008D32B9"/>
    <w:rsid w:val="008D433B"/>
    <w:rsid w:val="008D43CD"/>
    <w:rsid w:val="008D4FA8"/>
    <w:rsid w:val="008D6429"/>
    <w:rsid w:val="008E01E5"/>
    <w:rsid w:val="008E36D8"/>
    <w:rsid w:val="008E566E"/>
    <w:rsid w:val="008E6C2F"/>
    <w:rsid w:val="008E7355"/>
    <w:rsid w:val="008F0C7A"/>
    <w:rsid w:val="008F486F"/>
    <w:rsid w:val="008F5A67"/>
    <w:rsid w:val="00900A78"/>
    <w:rsid w:val="0090161A"/>
    <w:rsid w:val="00901EB6"/>
    <w:rsid w:val="00903F46"/>
    <w:rsid w:val="00904C62"/>
    <w:rsid w:val="00912055"/>
    <w:rsid w:val="009135AE"/>
    <w:rsid w:val="00914606"/>
    <w:rsid w:val="00916F23"/>
    <w:rsid w:val="00922BA8"/>
    <w:rsid w:val="009249FE"/>
    <w:rsid w:val="00924D66"/>
    <w:rsid w:val="00924DAC"/>
    <w:rsid w:val="00925FA1"/>
    <w:rsid w:val="00927058"/>
    <w:rsid w:val="00931BB6"/>
    <w:rsid w:val="00933D0E"/>
    <w:rsid w:val="0093469E"/>
    <w:rsid w:val="00941837"/>
    <w:rsid w:val="0094222D"/>
    <w:rsid w:val="00942750"/>
    <w:rsid w:val="009450CE"/>
    <w:rsid w:val="00945997"/>
    <w:rsid w:val="00946B13"/>
    <w:rsid w:val="00947179"/>
    <w:rsid w:val="0095164B"/>
    <w:rsid w:val="009517FC"/>
    <w:rsid w:val="00953827"/>
    <w:rsid w:val="00954090"/>
    <w:rsid w:val="00955E20"/>
    <w:rsid w:val="009573E7"/>
    <w:rsid w:val="00960968"/>
    <w:rsid w:val="00962AD7"/>
    <w:rsid w:val="00962DB5"/>
    <w:rsid w:val="00963E05"/>
    <w:rsid w:val="009663FA"/>
    <w:rsid w:val="00967D54"/>
    <w:rsid w:val="00971028"/>
    <w:rsid w:val="009716C0"/>
    <w:rsid w:val="00994CD1"/>
    <w:rsid w:val="0099544D"/>
    <w:rsid w:val="00996483"/>
    <w:rsid w:val="00996F5A"/>
    <w:rsid w:val="009B041A"/>
    <w:rsid w:val="009B27E1"/>
    <w:rsid w:val="009B5F37"/>
    <w:rsid w:val="009B758C"/>
    <w:rsid w:val="009B7674"/>
    <w:rsid w:val="009C10E3"/>
    <w:rsid w:val="009C1F50"/>
    <w:rsid w:val="009C37C3"/>
    <w:rsid w:val="009C4619"/>
    <w:rsid w:val="009C7C86"/>
    <w:rsid w:val="009D2FF7"/>
    <w:rsid w:val="009E743D"/>
    <w:rsid w:val="009E7884"/>
    <w:rsid w:val="009E788A"/>
    <w:rsid w:val="009F0E08"/>
    <w:rsid w:val="009F28E8"/>
    <w:rsid w:val="00A010AB"/>
    <w:rsid w:val="00A012D0"/>
    <w:rsid w:val="00A0463D"/>
    <w:rsid w:val="00A11DF1"/>
    <w:rsid w:val="00A16154"/>
    <w:rsid w:val="00A1763D"/>
    <w:rsid w:val="00A17CEC"/>
    <w:rsid w:val="00A20F7A"/>
    <w:rsid w:val="00A23969"/>
    <w:rsid w:val="00A2623C"/>
    <w:rsid w:val="00A27EF0"/>
    <w:rsid w:val="00A316EB"/>
    <w:rsid w:val="00A33BC9"/>
    <w:rsid w:val="00A34DBB"/>
    <w:rsid w:val="00A4435A"/>
    <w:rsid w:val="00A504DE"/>
    <w:rsid w:val="00A50B20"/>
    <w:rsid w:val="00A51390"/>
    <w:rsid w:val="00A56155"/>
    <w:rsid w:val="00A60D13"/>
    <w:rsid w:val="00A61C52"/>
    <w:rsid w:val="00A640D5"/>
    <w:rsid w:val="00A64532"/>
    <w:rsid w:val="00A6678C"/>
    <w:rsid w:val="00A72745"/>
    <w:rsid w:val="00A76C46"/>
    <w:rsid w:val="00A76EFC"/>
    <w:rsid w:val="00A80983"/>
    <w:rsid w:val="00A820A3"/>
    <w:rsid w:val="00A85051"/>
    <w:rsid w:val="00A90AE1"/>
    <w:rsid w:val="00A91010"/>
    <w:rsid w:val="00A954E6"/>
    <w:rsid w:val="00A97F29"/>
    <w:rsid w:val="00AA1921"/>
    <w:rsid w:val="00AA35D8"/>
    <w:rsid w:val="00AA3768"/>
    <w:rsid w:val="00AA37EB"/>
    <w:rsid w:val="00AA5483"/>
    <w:rsid w:val="00AA702E"/>
    <w:rsid w:val="00AB0964"/>
    <w:rsid w:val="00AB3EF5"/>
    <w:rsid w:val="00AB4E69"/>
    <w:rsid w:val="00AB5011"/>
    <w:rsid w:val="00AB51C3"/>
    <w:rsid w:val="00AC7368"/>
    <w:rsid w:val="00AD0C15"/>
    <w:rsid w:val="00AD16B9"/>
    <w:rsid w:val="00AD607A"/>
    <w:rsid w:val="00AD693E"/>
    <w:rsid w:val="00AD7239"/>
    <w:rsid w:val="00AE377D"/>
    <w:rsid w:val="00AE39BC"/>
    <w:rsid w:val="00AE62C1"/>
    <w:rsid w:val="00AF0EBA"/>
    <w:rsid w:val="00AF211B"/>
    <w:rsid w:val="00AF53C6"/>
    <w:rsid w:val="00AF7676"/>
    <w:rsid w:val="00B00472"/>
    <w:rsid w:val="00B011EF"/>
    <w:rsid w:val="00B02C8A"/>
    <w:rsid w:val="00B05061"/>
    <w:rsid w:val="00B0797D"/>
    <w:rsid w:val="00B11A8C"/>
    <w:rsid w:val="00B145AE"/>
    <w:rsid w:val="00B14D46"/>
    <w:rsid w:val="00B15237"/>
    <w:rsid w:val="00B1539C"/>
    <w:rsid w:val="00B15F5C"/>
    <w:rsid w:val="00B17FBD"/>
    <w:rsid w:val="00B20C73"/>
    <w:rsid w:val="00B315A6"/>
    <w:rsid w:val="00B31813"/>
    <w:rsid w:val="00B33365"/>
    <w:rsid w:val="00B459CB"/>
    <w:rsid w:val="00B465CA"/>
    <w:rsid w:val="00B46B05"/>
    <w:rsid w:val="00B550FD"/>
    <w:rsid w:val="00B55CCD"/>
    <w:rsid w:val="00B56112"/>
    <w:rsid w:val="00B57B36"/>
    <w:rsid w:val="00B64720"/>
    <w:rsid w:val="00B6628A"/>
    <w:rsid w:val="00B66ACD"/>
    <w:rsid w:val="00B677A7"/>
    <w:rsid w:val="00B72CD7"/>
    <w:rsid w:val="00B73CCB"/>
    <w:rsid w:val="00B812D6"/>
    <w:rsid w:val="00B819E3"/>
    <w:rsid w:val="00B83A9B"/>
    <w:rsid w:val="00B865BA"/>
    <w:rsid w:val="00B8686D"/>
    <w:rsid w:val="00BB1DDC"/>
    <w:rsid w:val="00BB221A"/>
    <w:rsid w:val="00BB505F"/>
    <w:rsid w:val="00BC0923"/>
    <w:rsid w:val="00BC30C9"/>
    <w:rsid w:val="00BC4B71"/>
    <w:rsid w:val="00BC4F9D"/>
    <w:rsid w:val="00BC6D0D"/>
    <w:rsid w:val="00BD76C1"/>
    <w:rsid w:val="00BE0339"/>
    <w:rsid w:val="00BE3432"/>
    <w:rsid w:val="00BE3E58"/>
    <w:rsid w:val="00BE54D2"/>
    <w:rsid w:val="00BE5ABF"/>
    <w:rsid w:val="00C01616"/>
    <w:rsid w:val="00C0162B"/>
    <w:rsid w:val="00C068ED"/>
    <w:rsid w:val="00C11613"/>
    <w:rsid w:val="00C124C5"/>
    <w:rsid w:val="00C13C60"/>
    <w:rsid w:val="00C142D1"/>
    <w:rsid w:val="00C147B3"/>
    <w:rsid w:val="00C22057"/>
    <w:rsid w:val="00C230E3"/>
    <w:rsid w:val="00C26A78"/>
    <w:rsid w:val="00C32D97"/>
    <w:rsid w:val="00C345B1"/>
    <w:rsid w:val="00C36C52"/>
    <w:rsid w:val="00C40142"/>
    <w:rsid w:val="00C4137B"/>
    <w:rsid w:val="00C4160A"/>
    <w:rsid w:val="00C4203A"/>
    <w:rsid w:val="00C51558"/>
    <w:rsid w:val="00C568C2"/>
    <w:rsid w:val="00C57182"/>
    <w:rsid w:val="00C57863"/>
    <w:rsid w:val="00C5794C"/>
    <w:rsid w:val="00C655FD"/>
    <w:rsid w:val="00C75407"/>
    <w:rsid w:val="00C82140"/>
    <w:rsid w:val="00C84754"/>
    <w:rsid w:val="00C85AB6"/>
    <w:rsid w:val="00C870A8"/>
    <w:rsid w:val="00C94434"/>
    <w:rsid w:val="00C97BFA"/>
    <w:rsid w:val="00CA0D75"/>
    <w:rsid w:val="00CA1C95"/>
    <w:rsid w:val="00CA5A9C"/>
    <w:rsid w:val="00CB17DA"/>
    <w:rsid w:val="00CB4D8C"/>
    <w:rsid w:val="00CB787D"/>
    <w:rsid w:val="00CC3FB3"/>
    <w:rsid w:val="00CC4C20"/>
    <w:rsid w:val="00CC5EEC"/>
    <w:rsid w:val="00CD3517"/>
    <w:rsid w:val="00CD3535"/>
    <w:rsid w:val="00CD4AFF"/>
    <w:rsid w:val="00CD5FE2"/>
    <w:rsid w:val="00CD6698"/>
    <w:rsid w:val="00CD6B69"/>
    <w:rsid w:val="00CE15AC"/>
    <w:rsid w:val="00CE21E7"/>
    <w:rsid w:val="00CE70BE"/>
    <w:rsid w:val="00CE7C68"/>
    <w:rsid w:val="00CF5810"/>
    <w:rsid w:val="00D01133"/>
    <w:rsid w:val="00D02B4C"/>
    <w:rsid w:val="00D040C4"/>
    <w:rsid w:val="00D129EE"/>
    <w:rsid w:val="00D132BE"/>
    <w:rsid w:val="00D240A7"/>
    <w:rsid w:val="00D31A80"/>
    <w:rsid w:val="00D3212C"/>
    <w:rsid w:val="00D37444"/>
    <w:rsid w:val="00D37C2D"/>
    <w:rsid w:val="00D40429"/>
    <w:rsid w:val="00D41EB7"/>
    <w:rsid w:val="00D5095D"/>
    <w:rsid w:val="00D57C84"/>
    <w:rsid w:val="00D6057D"/>
    <w:rsid w:val="00D8260D"/>
    <w:rsid w:val="00D836C5"/>
    <w:rsid w:val="00D84576"/>
    <w:rsid w:val="00D87CB8"/>
    <w:rsid w:val="00D92B5E"/>
    <w:rsid w:val="00DA1399"/>
    <w:rsid w:val="00DA24C6"/>
    <w:rsid w:val="00DA4D7B"/>
    <w:rsid w:val="00DA6EB3"/>
    <w:rsid w:val="00DA7697"/>
    <w:rsid w:val="00DB04EB"/>
    <w:rsid w:val="00DB4A8C"/>
    <w:rsid w:val="00DC021E"/>
    <w:rsid w:val="00DC04AF"/>
    <w:rsid w:val="00DC0E04"/>
    <w:rsid w:val="00DC1CD0"/>
    <w:rsid w:val="00DC3DF1"/>
    <w:rsid w:val="00DC4440"/>
    <w:rsid w:val="00DD1673"/>
    <w:rsid w:val="00DD5A12"/>
    <w:rsid w:val="00DD5FFD"/>
    <w:rsid w:val="00DD68CB"/>
    <w:rsid w:val="00DE264A"/>
    <w:rsid w:val="00DE3FEF"/>
    <w:rsid w:val="00DE442C"/>
    <w:rsid w:val="00DF0F82"/>
    <w:rsid w:val="00DF5072"/>
    <w:rsid w:val="00DF7BAF"/>
    <w:rsid w:val="00E0276D"/>
    <w:rsid w:val="00E02D18"/>
    <w:rsid w:val="00E041E7"/>
    <w:rsid w:val="00E05532"/>
    <w:rsid w:val="00E06194"/>
    <w:rsid w:val="00E13959"/>
    <w:rsid w:val="00E141EF"/>
    <w:rsid w:val="00E150C2"/>
    <w:rsid w:val="00E224D0"/>
    <w:rsid w:val="00E23C9A"/>
    <w:rsid w:val="00E23CA1"/>
    <w:rsid w:val="00E346B7"/>
    <w:rsid w:val="00E409A8"/>
    <w:rsid w:val="00E42A0D"/>
    <w:rsid w:val="00E43183"/>
    <w:rsid w:val="00E4521F"/>
    <w:rsid w:val="00E46B04"/>
    <w:rsid w:val="00E50C12"/>
    <w:rsid w:val="00E611E8"/>
    <w:rsid w:val="00E65B91"/>
    <w:rsid w:val="00E7209D"/>
    <w:rsid w:val="00E77223"/>
    <w:rsid w:val="00E84ADF"/>
    <w:rsid w:val="00E8528B"/>
    <w:rsid w:val="00E85B94"/>
    <w:rsid w:val="00E8760B"/>
    <w:rsid w:val="00E90688"/>
    <w:rsid w:val="00E918DC"/>
    <w:rsid w:val="00E933C8"/>
    <w:rsid w:val="00E978D0"/>
    <w:rsid w:val="00EA4613"/>
    <w:rsid w:val="00EA54A0"/>
    <w:rsid w:val="00EA7560"/>
    <w:rsid w:val="00EA7F91"/>
    <w:rsid w:val="00EB02F5"/>
    <w:rsid w:val="00EB1523"/>
    <w:rsid w:val="00EB520E"/>
    <w:rsid w:val="00EC0E49"/>
    <w:rsid w:val="00EC101F"/>
    <w:rsid w:val="00EC1D9F"/>
    <w:rsid w:val="00EC3CAE"/>
    <w:rsid w:val="00EC4965"/>
    <w:rsid w:val="00EC7AA7"/>
    <w:rsid w:val="00ED01B1"/>
    <w:rsid w:val="00ED6D68"/>
    <w:rsid w:val="00ED7273"/>
    <w:rsid w:val="00EE0131"/>
    <w:rsid w:val="00EE17B0"/>
    <w:rsid w:val="00EF06D9"/>
    <w:rsid w:val="00EF3754"/>
    <w:rsid w:val="00EF5D59"/>
    <w:rsid w:val="00F07B39"/>
    <w:rsid w:val="00F10662"/>
    <w:rsid w:val="00F10AC1"/>
    <w:rsid w:val="00F11E63"/>
    <w:rsid w:val="00F15266"/>
    <w:rsid w:val="00F20878"/>
    <w:rsid w:val="00F21E28"/>
    <w:rsid w:val="00F30C64"/>
    <w:rsid w:val="00F3132B"/>
    <w:rsid w:val="00F32CDB"/>
    <w:rsid w:val="00F34B8D"/>
    <w:rsid w:val="00F41BB2"/>
    <w:rsid w:val="00F44044"/>
    <w:rsid w:val="00F44B5B"/>
    <w:rsid w:val="00F46A80"/>
    <w:rsid w:val="00F47E25"/>
    <w:rsid w:val="00F55C81"/>
    <w:rsid w:val="00F562D4"/>
    <w:rsid w:val="00F565FE"/>
    <w:rsid w:val="00F56895"/>
    <w:rsid w:val="00F56E1E"/>
    <w:rsid w:val="00F5715A"/>
    <w:rsid w:val="00F61472"/>
    <w:rsid w:val="00F63A70"/>
    <w:rsid w:val="00F65500"/>
    <w:rsid w:val="00F66D01"/>
    <w:rsid w:val="00F67B57"/>
    <w:rsid w:val="00F71AE6"/>
    <w:rsid w:val="00F74061"/>
    <w:rsid w:val="00F7443A"/>
    <w:rsid w:val="00F76CB2"/>
    <w:rsid w:val="00F77F76"/>
    <w:rsid w:val="00F8259F"/>
    <w:rsid w:val="00F8323F"/>
    <w:rsid w:val="00F84378"/>
    <w:rsid w:val="00F85C60"/>
    <w:rsid w:val="00F948F9"/>
    <w:rsid w:val="00F97EF0"/>
    <w:rsid w:val="00FA210B"/>
    <w:rsid w:val="00FA21D0"/>
    <w:rsid w:val="00FA2A78"/>
    <w:rsid w:val="00FA5F5F"/>
    <w:rsid w:val="00FB0564"/>
    <w:rsid w:val="00FB5449"/>
    <w:rsid w:val="00FB730C"/>
    <w:rsid w:val="00FC04A0"/>
    <w:rsid w:val="00FC2695"/>
    <w:rsid w:val="00FC3E03"/>
    <w:rsid w:val="00FC3FC1"/>
    <w:rsid w:val="00FD359C"/>
    <w:rsid w:val="00FD3817"/>
    <w:rsid w:val="00FD5685"/>
    <w:rsid w:val="00FD73AC"/>
    <w:rsid w:val="00FE1C8D"/>
    <w:rsid w:val="00FE2DC3"/>
    <w:rsid w:val="00FE5F89"/>
    <w:rsid w:val="00FF698D"/>
    <w:rsid w:val="00FF7C8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D9317B5-CF89-4AAB-8E9C-0F672956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A33BC9"/>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15AC"/>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15AC"/>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5D6C53"/>
    <w:pPr>
      <w:ind w:left="720"/>
      <w:contextualSpacing/>
    </w:pPr>
  </w:style>
  <w:style w:type="paragraph" w:styleId="Revisione">
    <w:name w:val="Revision"/>
    <w:hidden/>
    <w:uiPriority w:val="99"/>
    <w:semiHidden/>
    <w:rsid w:val="00885CE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679">
      <w:bodyDiv w:val="1"/>
      <w:marLeft w:val="0"/>
      <w:marRight w:val="0"/>
      <w:marTop w:val="0"/>
      <w:marBottom w:val="0"/>
      <w:divBdr>
        <w:top w:val="none" w:sz="0" w:space="0" w:color="auto"/>
        <w:left w:val="none" w:sz="0" w:space="0" w:color="auto"/>
        <w:bottom w:val="none" w:sz="0" w:space="0" w:color="auto"/>
        <w:right w:val="none" w:sz="0" w:space="0" w:color="auto"/>
      </w:divBdr>
    </w:div>
    <w:div w:id="1248806677">
      <w:bodyDiv w:val="1"/>
      <w:marLeft w:val="0"/>
      <w:marRight w:val="0"/>
      <w:marTop w:val="0"/>
      <w:marBottom w:val="0"/>
      <w:divBdr>
        <w:top w:val="none" w:sz="0" w:space="0" w:color="auto"/>
        <w:left w:val="none" w:sz="0" w:space="0" w:color="auto"/>
        <w:bottom w:val="none" w:sz="0" w:space="0" w:color="auto"/>
        <w:right w:val="none" w:sz="0" w:space="0" w:color="auto"/>
      </w:divBdr>
    </w:div>
    <w:div w:id="14168277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032">
      <w:bodyDiv w:val="1"/>
      <w:marLeft w:val="0"/>
      <w:marRight w:val="0"/>
      <w:marTop w:val="0"/>
      <w:marBottom w:val="0"/>
      <w:divBdr>
        <w:top w:val="none" w:sz="0" w:space="0" w:color="auto"/>
        <w:left w:val="none" w:sz="0" w:space="0" w:color="auto"/>
        <w:bottom w:val="none" w:sz="0" w:space="0" w:color="auto"/>
        <w:right w:val="none" w:sz="0" w:space="0" w:color="auto"/>
      </w:divBdr>
    </w:div>
    <w:div w:id="1850287729">
      <w:bodyDiv w:val="1"/>
      <w:marLeft w:val="0"/>
      <w:marRight w:val="0"/>
      <w:marTop w:val="0"/>
      <w:marBottom w:val="0"/>
      <w:divBdr>
        <w:top w:val="none" w:sz="0" w:space="0" w:color="auto"/>
        <w:left w:val="none" w:sz="0" w:space="0" w:color="auto"/>
        <w:bottom w:val="none" w:sz="0" w:space="0" w:color="auto"/>
        <w:right w:val="none" w:sz="0" w:space="0" w:color="auto"/>
      </w:divBdr>
    </w:div>
    <w:div w:id="195443734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1BCB-E174-49CE-9A0B-93C41281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8378</Words>
  <Characters>47757</Characters>
  <Application>Microsoft Office Word</Application>
  <DocSecurity>0</DocSecurity>
  <Lines>397</Lines>
  <Paragraphs>112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Vincenzo Marino</cp:lastModifiedBy>
  <cp:revision>7</cp:revision>
  <cp:lastPrinted>2024-03-29T17:59:00Z</cp:lastPrinted>
  <dcterms:created xsi:type="dcterms:W3CDTF">2024-03-29T17:40:00Z</dcterms:created>
  <dcterms:modified xsi:type="dcterms:W3CDTF">2024-03-29T18:00:00Z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id="lg8kTCDP"/&gt;&lt;style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0409e3a1-1bb5-3eaf-bf76-2813454cab7f</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