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25B7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27365E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EF7CA4">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EF7CA4">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25B7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25B78">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00A3611B"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F7CA4">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w:t>
            </w:r>
            <w:r w:rsidR="00EF7CA4">
              <w:rPr>
                <w:rFonts w:ascii="Tahoma" w:hAnsi="Tahoma" w:cs="Tahoma"/>
                <w:sz w:val="14"/>
                <w:szCs w:val="14"/>
              </w:rPr>
              <w:t>9</w:t>
            </w:r>
            <w:r w:rsidR="008D32B9">
              <w:rPr>
                <w:rFonts w:ascii="Tahoma" w:hAnsi="Tahoma" w:cs="Tahoma"/>
                <w:sz w:val="14"/>
                <w:szCs w:val="14"/>
              </w:rPr>
              <w:t>-</w:t>
            </w:r>
            <w:r w:rsidR="00EF7CA4">
              <w:rPr>
                <w:rFonts w:ascii="Tahoma" w:hAnsi="Tahoma" w:cs="Tahoma"/>
                <w:sz w:val="14"/>
                <w:szCs w:val="14"/>
              </w:rPr>
              <w:t>12</w:t>
            </w:r>
            <w:r w:rsidR="008D32B9">
              <w:rPr>
                <w:rFonts w:ascii="Tahoma" w:hAnsi="Tahoma" w:cs="Tahoma"/>
                <w:sz w:val="14"/>
                <w:szCs w:val="14"/>
              </w:rPr>
              <w:t>-</w:t>
            </w:r>
            <w:r w:rsidR="00EF7CA4">
              <w:rPr>
                <w:rFonts w:ascii="Tahoma" w:hAnsi="Tahoma" w:cs="Tahoma"/>
                <w:sz w:val="14"/>
                <w:szCs w:val="14"/>
              </w:rPr>
              <w:t>81206</w:t>
            </w:r>
            <w:r w:rsidR="00D46B7E">
              <w:rPr>
                <w:rFonts w:ascii="Tahoma" w:hAnsi="Tahoma" w:cs="Tahoma"/>
                <w:sz w:val="14"/>
                <w:szCs w:val="14"/>
              </w:rPr>
              <w:t>-</w:t>
            </w:r>
            <w:r w:rsidR="00EF7CA4">
              <w:rPr>
                <w:rFonts w:ascii="Tahoma" w:hAnsi="Tahoma" w:cs="Tahoma"/>
                <w:sz w:val="14"/>
                <w:szCs w:val="14"/>
              </w:rPr>
              <w:t>1</w:t>
            </w:r>
            <w:r w:rsidR="006B5269">
              <w:rPr>
                <w:rFonts w:ascii="Tahoma" w:hAnsi="Tahoma" w:cs="Tahoma"/>
                <w:sz w:val="14"/>
                <w:szCs w:val="14"/>
              </w:rPr>
              <w:t>3</w:t>
            </w:r>
            <w:r w:rsidR="00D46B7E">
              <w:rPr>
                <w:rFonts w:ascii="Tahoma" w:hAnsi="Tahoma" w:cs="Tahoma"/>
                <w:sz w:val="14"/>
                <w:szCs w:val="14"/>
              </w:rPr>
              <w:t>-</w:t>
            </w:r>
            <w:r w:rsidR="006B5269">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2B8C9323" w:rsidR="00E978D0" w:rsidRPr="00B57B36" w:rsidRDefault="00125B78" w:rsidP="00E978D0">
      <w:pPr>
        <w:pStyle w:val="CETTitle"/>
      </w:pPr>
      <w:r w:rsidRPr="00125B78">
        <w:t xml:space="preserve">Machine Learning-Based Electronic Nose </w:t>
      </w:r>
      <w:r>
        <w:t>f</w:t>
      </w:r>
      <w:r w:rsidRPr="00125B78">
        <w:t xml:space="preserve">or Universal Mapping </w:t>
      </w:r>
      <w:r>
        <w:t>o</w:t>
      </w:r>
      <w:r w:rsidRPr="00125B78">
        <w:t xml:space="preserve">f Blood Odors </w:t>
      </w:r>
      <w:r>
        <w:t>a</w:t>
      </w:r>
      <w:r w:rsidRPr="00125B78">
        <w:t xml:space="preserve">nd Diagnosis </w:t>
      </w:r>
      <w:r>
        <w:t>o</w:t>
      </w:r>
      <w:r w:rsidRPr="00125B78">
        <w:t>f Cancer</w:t>
      </w:r>
    </w:p>
    <w:p w14:paraId="0488FED2" w14:textId="4E14EBE2" w:rsidR="00B57E6F" w:rsidRPr="00B57B36" w:rsidRDefault="0022759B" w:rsidP="00B57E6F">
      <w:pPr>
        <w:pStyle w:val="CETAuthors"/>
      </w:pPr>
      <w:r w:rsidRPr="0022759B">
        <w:t>Ehab I. Mohamed</w:t>
      </w:r>
      <w:r w:rsidRPr="0022759B">
        <w:rPr>
          <w:vertAlign w:val="superscript"/>
        </w:rPr>
        <w:t>a,*</w:t>
      </w:r>
      <w:r w:rsidRPr="0022759B">
        <w:t>, Israa A. Saleem</w:t>
      </w:r>
      <w:r w:rsidRPr="0022759B">
        <w:rPr>
          <w:vertAlign w:val="superscript"/>
        </w:rPr>
        <w:t>b</w:t>
      </w:r>
      <w:r w:rsidRPr="0022759B">
        <w:t>, Radwa A. Meshref</w:t>
      </w:r>
      <w:r w:rsidRPr="0022759B">
        <w:rPr>
          <w:vertAlign w:val="superscript"/>
        </w:rPr>
        <w:t>c</w:t>
      </w:r>
      <w:r w:rsidRPr="0022759B">
        <w:t>, Mohamed S. Mshaly</w:t>
      </w:r>
      <w:r w:rsidRPr="0022759B">
        <w:rPr>
          <w:vertAlign w:val="superscript"/>
        </w:rPr>
        <w:t>d</w:t>
      </w:r>
      <w:r w:rsidRPr="0022759B">
        <w:t>, Moustafa S. Mahmoud</w:t>
      </w:r>
      <w:r w:rsidRPr="0022759B">
        <w:rPr>
          <w:vertAlign w:val="superscript"/>
        </w:rPr>
        <w:t>d</w:t>
      </w:r>
      <w:r w:rsidRPr="0022759B">
        <w:t>, Mohamed S. Turkey</w:t>
      </w:r>
      <w:r w:rsidRPr="0022759B">
        <w:rPr>
          <w:vertAlign w:val="superscript"/>
        </w:rPr>
        <w:t>e</w:t>
      </w:r>
      <w:r w:rsidRPr="0022759B">
        <w:t>, Mamdouh M. Shawki</w:t>
      </w:r>
      <w:r>
        <w:rPr>
          <w:vertAlign w:val="superscript"/>
        </w:rPr>
        <w:t>a</w:t>
      </w:r>
      <w:r w:rsidRPr="0022759B">
        <w:t>, Marwa A. Mohamed</w:t>
      </w:r>
      <w:r>
        <w:rPr>
          <w:vertAlign w:val="superscript"/>
        </w:rPr>
        <w:t>f</w:t>
      </w:r>
      <w:r w:rsidRPr="0022759B">
        <w:t>, Hend N. Abdel-Reheim</w:t>
      </w:r>
      <w:r>
        <w:rPr>
          <w:vertAlign w:val="superscript"/>
        </w:rPr>
        <w:t>g</w:t>
      </w:r>
      <w:r w:rsidRPr="0022759B">
        <w:t xml:space="preserve">, </w:t>
      </w:r>
      <w:bookmarkStart w:id="0" w:name="_Hlk162441613"/>
      <w:r w:rsidRPr="0022759B">
        <w:t>Samy H. Darwish</w:t>
      </w:r>
      <w:bookmarkEnd w:id="0"/>
      <w:r>
        <w:rPr>
          <w:vertAlign w:val="superscript"/>
        </w:rPr>
        <w:t>h</w:t>
      </w:r>
      <w:r w:rsidRPr="0022759B">
        <w:t>, Mohamed A. Abdou</w:t>
      </w:r>
      <w:r w:rsidR="0009313F">
        <w:rPr>
          <w:vertAlign w:val="superscript"/>
        </w:rPr>
        <w:t>i</w:t>
      </w:r>
      <w:r w:rsidRPr="0022759B">
        <w:t>, Mohamed M. El Safwany</w:t>
      </w:r>
      <w:r w:rsidR="0009313F">
        <w:rPr>
          <w:vertAlign w:val="superscript"/>
        </w:rPr>
        <w:t>j</w:t>
      </w:r>
    </w:p>
    <w:p w14:paraId="7C67FE11" w14:textId="77777777" w:rsidR="0022759B" w:rsidRDefault="0022759B" w:rsidP="00B57E6F">
      <w:pPr>
        <w:pStyle w:val="CETAddress"/>
      </w:pPr>
      <w:r w:rsidRPr="0022759B">
        <w:rPr>
          <w:vertAlign w:val="superscript"/>
        </w:rPr>
        <w:t>a</w:t>
      </w:r>
      <w:r w:rsidRPr="0022759B">
        <w:t>Medical Biophysics Department, Medical Research Institute, Alexandria University, Alexandria, Egypt</w:t>
      </w:r>
    </w:p>
    <w:p w14:paraId="59788962" w14:textId="77777777" w:rsidR="0022759B" w:rsidRDefault="0022759B" w:rsidP="00B57E6F">
      <w:pPr>
        <w:pStyle w:val="CETAddress"/>
      </w:pPr>
      <w:r w:rsidRPr="0022759B">
        <w:rPr>
          <w:vertAlign w:val="superscript"/>
        </w:rPr>
        <w:t>b</w:t>
      </w:r>
      <w:r w:rsidRPr="0022759B">
        <w:t>Optometry Department, Technical Medical Institute, Erbil Polytechnic University, Erbil, Iraq</w:t>
      </w:r>
    </w:p>
    <w:p w14:paraId="5CD42CE4" w14:textId="77777777" w:rsidR="0022759B" w:rsidRDefault="0022759B" w:rsidP="00B57E6F">
      <w:pPr>
        <w:pStyle w:val="CETAddress"/>
      </w:pPr>
      <w:r w:rsidRPr="0022759B">
        <w:rPr>
          <w:vertAlign w:val="superscript"/>
        </w:rPr>
        <w:t>c</w:t>
      </w:r>
      <w:r w:rsidRPr="0022759B">
        <w:t>Medical Equipment Technology Department, Faculty of Applied Health Sciences, Pharos University, Alexandria, Egypt</w:t>
      </w:r>
    </w:p>
    <w:p w14:paraId="26B456FB" w14:textId="77777777" w:rsidR="0022759B" w:rsidRDefault="0022759B" w:rsidP="00B57E6F">
      <w:pPr>
        <w:pStyle w:val="CETAddress"/>
      </w:pPr>
      <w:r w:rsidRPr="0022759B">
        <w:rPr>
          <w:vertAlign w:val="superscript"/>
        </w:rPr>
        <w:t>d</w:t>
      </w:r>
      <w:r w:rsidRPr="0022759B">
        <w:t>Physics Department, Faculty of Science, Alexandria University, Alexandria, Egypt</w:t>
      </w:r>
    </w:p>
    <w:p w14:paraId="55F8BA48" w14:textId="77777777" w:rsidR="0022759B" w:rsidRDefault="0022759B" w:rsidP="00B57E6F">
      <w:pPr>
        <w:pStyle w:val="CETAddress"/>
      </w:pPr>
      <w:r w:rsidRPr="0022759B">
        <w:rPr>
          <w:vertAlign w:val="superscript"/>
        </w:rPr>
        <w:t>e</w:t>
      </w:r>
      <w:r w:rsidRPr="0022759B">
        <w:t>Microbiology and Immunology Department, Faculty of Pharmacy, October 6 University, Sixth of October City, Giza, Egypt</w:t>
      </w:r>
    </w:p>
    <w:p w14:paraId="41799D32" w14:textId="77777777" w:rsidR="0022759B" w:rsidRDefault="0022759B" w:rsidP="00B57E6F">
      <w:pPr>
        <w:pStyle w:val="CETAddress"/>
      </w:pPr>
      <w:r w:rsidRPr="0022759B">
        <w:rPr>
          <w:vertAlign w:val="superscript"/>
        </w:rPr>
        <w:t>f</w:t>
      </w:r>
      <w:r w:rsidRPr="0022759B">
        <w:t>Chemical Pathology Department, Medical Research Institute, Alexandria University, Alexandria, Egypt</w:t>
      </w:r>
    </w:p>
    <w:p w14:paraId="0159E3B8" w14:textId="77777777" w:rsidR="0022759B" w:rsidRDefault="0022759B" w:rsidP="00B57E6F">
      <w:pPr>
        <w:pStyle w:val="CETAddress"/>
      </w:pPr>
      <w:r w:rsidRPr="0022759B">
        <w:rPr>
          <w:vertAlign w:val="superscript"/>
        </w:rPr>
        <w:t>g</w:t>
      </w:r>
      <w:r w:rsidRPr="0022759B">
        <w:t>Gastroenterology Department, Faculty of Medicine, Alexandria University, Alexandria, Egypt</w:t>
      </w:r>
    </w:p>
    <w:p w14:paraId="7B2CCB6A" w14:textId="0272285E" w:rsidR="0022759B" w:rsidRDefault="0009313F" w:rsidP="00B57E6F">
      <w:pPr>
        <w:pStyle w:val="CETAddress"/>
      </w:pPr>
      <w:r>
        <w:rPr>
          <w:vertAlign w:val="superscript"/>
        </w:rPr>
        <w:t>h</w:t>
      </w:r>
      <w:r w:rsidR="0022759B" w:rsidRPr="0022759B">
        <w:t>Higher Institute of Engineering and Technology – King Mariout, Alexandria, Egypt</w:t>
      </w:r>
    </w:p>
    <w:p w14:paraId="3F7C899F" w14:textId="7B044018" w:rsidR="0022759B" w:rsidRDefault="0009313F" w:rsidP="00B57E6F">
      <w:pPr>
        <w:pStyle w:val="CETAddress"/>
      </w:pPr>
      <w:r>
        <w:rPr>
          <w:vertAlign w:val="superscript"/>
        </w:rPr>
        <w:t>i</w:t>
      </w:r>
      <w:r w:rsidR="0022759B" w:rsidRPr="0022759B">
        <w:t>Informatics Research Institute, City for Scientific Research and Technology Applications, Alexandria, Egypt</w:t>
      </w:r>
    </w:p>
    <w:p w14:paraId="6B2D21B3" w14:textId="60C522D3" w:rsidR="00B57E6F" w:rsidRPr="0022759B" w:rsidRDefault="0009313F" w:rsidP="00B57E6F">
      <w:pPr>
        <w:pStyle w:val="CETAddress"/>
      </w:pPr>
      <w:r>
        <w:rPr>
          <w:vertAlign w:val="superscript"/>
        </w:rPr>
        <w:t>j</w:t>
      </w:r>
      <w:r w:rsidR="0022759B" w:rsidRPr="0022759B">
        <w:t>Radiological Sciences and Medical Imaging Department, Faculty of Applied Health Sciences, Pharos University, Alexandria, Egypt</w:t>
      </w:r>
    </w:p>
    <w:p w14:paraId="73F1267A" w14:textId="45394EAA" w:rsidR="00B57E6F" w:rsidRPr="00B57B36" w:rsidRDefault="0022759B" w:rsidP="00B57E6F">
      <w:pPr>
        <w:pStyle w:val="CETemail"/>
      </w:pPr>
      <w:r w:rsidRPr="0022759B">
        <w:rPr>
          <w:vertAlign w:val="superscript"/>
        </w:rPr>
        <w:t>*</w:t>
      </w:r>
      <w:r w:rsidR="00B57E6F" w:rsidRPr="00B57B36">
        <w:t>corresponding.</w:t>
      </w:r>
      <w:r>
        <w:t>eimohamed</w:t>
      </w:r>
      <w:r w:rsidR="00B57E6F" w:rsidRPr="00B57B36">
        <w:t>@</w:t>
      </w:r>
      <w:r>
        <w:t>yahoo</w:t>
      </w:r>
      <w:r w:rsidR="00B57E6F" w:rsidRPr="00B57B36">
        <w:t>.com</w:t>
      </w:r>
      <w:r>
        <w:t>; ehab.abdo@alexu.edu.eg</w:t>
      </w:r>
    </w:p>
    <w:p w14:paraId="19E5EA44" w14:textId="6BD124FE" w:rsidR="00B14780" w:rsidRPr="00B57B36" w:rsidRDefault="0009313F" w:rsidP="00B14780">
      <w:pPr>
        <w:pStyle w:val="CETBodytext"/>
        <w:rPr>
          <w:lang w:val="en-GB"/>
        </w:rPr>
      </w:pPr>
      <w:bookmarkStart w:id="1" w:name="_Hlk495475023"/>
      <w:r w:rsidRPr="0009313F">
        <w:rPr>
          <w:lang w:val="en-GB"/>
        </w:rPr>
        <w:t>Electronic nose (E-Nose) technology is gaining prominence as a tool for cancer diagnostics due to its ability to detect volatile organic compounds in bodily fluids. The aim of th</w:t>
      </w:r>
      <w:r w:rsidR="007A0DD2">
        <w:rPr>
          <w:lang w:val="en-GB"/>
        </w:rPr>
        <w:t>is</w:t>
      </w:r>
      <w:r w:rsidRPr="0009313F">
        <w:rPr>
          <w:lang w:val="en-GB"/>
        </w:rPr>
        <w:t xml:space="preserve"> </w:t>
      </w:r>
      <w:r w:rsidR="007A0DD2">
        <w:rPr>
          <w:lang w:val="en-GB"/>
        </w:rPr>
        <w:t>investigation</w:t>
      </w:r>
      <w:r w:rsidRPr="0009313F">
        <w:rPr>
          <w:lang w:val="en-GB"/>
        </w:rPr>
        <w:t xml:space="preserve"> was to standardize a procedure for using a machine learning-based E-Nose to accurately diagnose five different cancers. This prospective diagnostic/prognostic study included 1001 newly diagnosed male and female participants with blood, brain, breast, liver, and lung cancer, as well as healthy controls. </w:t>
      </w:r>
      <w:r w:rsidRPr="00EF05B6">
        <w:rPr>
          <w:lang w:val="en-GB"/>
        </w:rPr>
        <w:t>Blood samples were collected from all participants for complete blood counts</w:t>
      </w:r>
      <w:r w:rsidR="00E41C02">
        <w:rPr>
          <w:lang w:val="en-GB"/>
        </w:rPr>
        <w:t>,</w:t>
      </w:r>
      <w:r w:rsidRPr="00EF05B6">
        <w:rPr>
          <w:lang w:val="en-GB"/>
        </w:rPr>
        <w:t xml:space="preserve"> specific </w:t>
      </w:r>
      <w:r w:rsidR="00EF05B6" w:rsidRPr="00EF05B6">
        <w:rPr>
          <w:lang w:val="en-GB"/>
        </w:rPr>
        <w:t>tumour</w:t>
      </w:r>
      <w:r w:rsidRPr="00EF05B6">
        <w:rPr>
          <w:lang w:val="en-GB"/>
        </w:rPr>
        <w:t xml:space="preserve"> markers testing</w:t>
      </w:r>
      <w:r w:rsidR="00E41C02">
        <w:rPr>
          <w:lang w:val="en-GB"/>
        </w:rPr>
        <w:t>, and</w:t>
      </w:r>
      <w:r w:rsidRPr="00EF05B6">
        <w:rPr>
          <w:lang w:val="en-GB"/>
        </w:rPr>
        <w:t xml:space="preserve"> E-Nose measurements</w:t>
      </w:r>
      <w:r w:rsidR="00E41C02">
        <w:rPr>
          <w:lang w:val="en-GB"/>
        </w:rPr>
        <w:t>. S</w:t>
      </w:r>
      <w:r w:rsidRPr="00EF05B6">
        <w:rPr>
          <w:lang w:val="en-GB"/>
        </w:rPr>
        <w:t>ensor response</w:t>
      </w:r>
      <w:r w:rsidR="00E41C02">
        <w:rPr>
          <w:lang w:val="en-GB"/>
        </w:rPr>
        <w:t xml:space="preserve"> pattern</w:t>
      </w:r>
      <w:r w:rsidRPr="00EF05B6">
        <w:rPr>
          <w:lang w:val="en-GB"/>
        </w:rPr>
        <w:t xml:space="preserve">s </w:t>
      </w:r>
      <w:r w:rsidR="00267C84">
        <w:rPr>
          <w:lang w:val="en-GB"/>
        </w:rPr>
        <w:t xml:space="preserve">at the plateau region </w:t>
      </w:r>
      <w:r w:rsidRPr="00EF05B6">
        <w:rPr>
          <w:lang w:val="en-GB"/>
        </w:rPr>
        <w:t>were used for training, testing, and machine learning cross-validation. The E-Nose had</w:t>
      </w:r>
      <w:r w:rsidRPr="0009313F">
        <w:rPr>
          <w:lang w:val="en-GB"/>
        </w:rPr>
        <w:t xml:space="preserve"> 100% accuracy, with no false-positives or false-negatives. With an average AUC of 1.0, the support vector machine had 100% sensitivity and specificity, correctly classifying every blood sample from different cancers and healthy controls. The E-Nose had high diagnostic accuracy, sensitivity, and specificity for the detection of cancer in blood samples.</w:t>
      </w:r>
    </w:p>
    <w:bookmarkEnd w:id="1"/>
    <w:p w14:paraId="476B2F2E" w14:textId="77777777" w:rsidR="00600535" w:rsidRPr="00B57B36" w:rsidRDefault="00600535" w:rsidP="00600535">
      <w:pPr>
        <w:pStyle w:val="CETHeading1"/>
        <w:rPr>
          <w:lang w:val="en-GB"/>
        </w:rPr>
      </w:pPr>
      <w:r w:rsidRPr="00B57B36">
        <w:rPr>
          <w:lang w:val="en-GB"/>
        </w:rPr>
        <w:t>Introduction</w:t>
      </w:r>
    </w:p>
    <w:p w14:paraId="18EB39FB" w14:textId="3A94B3F9" w:rsidR="00EF05B6" w:rsidRPr="00EF05B6" w:rsidRDefault="00EF05B6" w:rsidP="00EF05B6">
      <w:pPr>
        <w:pStyle w:val="CETBodytext"/>
        <w:rPr>
          <w:lang w:val="en-GB"/>
        </w:rPr>
      </w:pPr>
      <w:r w:rsidRPr="00EF05B6">
        <w:rPr>
          <w:lang w:val="en-GB"/>
        </w:rPr>
        <w:t>Cancer is characterized by the proliferation of aberrant cells that develop uncontrollably, infiltrate neighbouring tissues, and metastasize to distant organs, leading to death (Scheepers et al.</w:t>
      </w:r>
      <w:r w:rsidR="00CB650D">
        <w:rPr>
          <w:lang w:val="en-GB"/>
        </w:rPr>
        <w:t>,</w:t>
      </w:r>
      <w:r w:rsidRPr="00EF05B6">
        <w:rPr>
          <w:lang w:val="en-GB"/>
        </w:rPr>
        <w:t xml:space="preserve"> 2022). In 2020, GLOBOCAN reported a total of 19,292,789 newly diagnosed cancer cases and 9,958,133 associated deaths, with an age-standardized rate (ASR) of 190/100,000 for all cancers worldwide (Sung et al.</w:t>
      </w:r>
      <w:r w:rsidR="00CB650D">
        <w:rPr>
          <w:lang w:val="en-GB"/>
        </w:rPr>
        <w:t>,</w:t>
      </w:r>
      <w:r w:rsidRPr="00EF05B6">
        <w:rPr>
          <w:lang w:val="en-GB"/>
        </w:rPr>
        <w:t xml:space="preserve"> 2021). In 2014, the ASR in Egypt was 166.6/100,000, with liver, breast, and bladder </w:t>
      </w:r>
      <w:r w:rsidR="00265244">
        <w:rPr>
          <w:lang w:val="en-GB"/>
        </w:rPr>
        <w:t xml:space="preserve">cancers </w:t>
      </w:r>
      <w:r w:rsidRPr="00EF05B6">
        <w:rPr>
          <w:lang w:val="en-GB"/>
        </w:rPr>
        <w:t>being the most common types (WHO</w:t>
      </w:r>
      <w:r w:rsidR="00CB650D">
        <w:rPr>
          <w:lang w:val="en-GB"/>
        </w:rPr>
        <w:t>,</w:t>
      </w:r>
      <w:r w:rsidRPr="00EF05B6">
        <w:rPr>
          <w:lang w:val="en-GB"/>
        </w:rPr>
        <w:t xml:space="preserve"> 2024; WCRFI</w:t>
      </w:r>
      <w:r w:rsidR="00CB650D">
        <w:rPr>
          <w:lang w:val="en-GB"/>
        </w:rPr>
        <w:t>,</w:t>
      </w:r>
      <w:r w:rsidRPr="00EF05B6">
        <w:rPr>
          <w:lang w:val="en-GB"/>
        </w:rPr>
        <w:t xml:space="preserve"> 2024). Cancer is predicted to double to 29-37 million new cases by 2040, with a significant incidence in underdeveloped and developing countries (Sung et al.</w:t>
      </w:r>
      <w:r w:rsidR="00CB650D">
        <w:rPr>
          <w:lang w:val="en-GB"/>
        </w:rPr>
        <w:t>,</w:t>
      </w:r>
      <w:r w:rsidRPr="00EF05B6">
        <w:rPr>
          <w:lang w:val="en-GB"/>
        </w:rPr>
        <w:t xml:space="preserve"> 2021). Of the 15 million deaths at age 30-69 years in 2018, 4.5 million died of cancer, and 70% of these deaths also occurred in these countries (Ibrahim et al.</w:t>
      </w:r>
      <w:r w:rsidR="00CB650D">
        <w:rPr>
          <w:lang w:val="en-GB"/>
        </w:rPr>
        <w:t>,</w:t>
      </w:r>
      <w:r w:rsidRPr="00EF05B6">
        <w:rPr>
          <w:lang w:val="en-GB"/>
        </w:rPr>
        <w:t xml:space="preserve"> 2014). In 80% of countries, premature cancer mortality trends hinder progress towards achieving the sustainable development goals (SDG) target of 3.4 million by 2030 (Shah et al.</w:t>
      </w:r>
      <w:r w:rsidR="00CB650D">
        <w:rPr>
          <w:lang w:val="en-GB"/>
        </w:rPr>
        <w:t>,</w:t>
      </w:r>
      <w:r w:rsidRPr="00EF05B6">
        <w:rPr>
          <w:lang w:val="en-GB"/>
        </w:rPr>
        <w:t xml:space="preserve"> 2019). To determine the type and extent of cancer, a comprehensive physical examination is performed together with laboratory testing and imaging procedures such as endoscopy, mammography, US, CT, MRI, and PET scans (</w:t>
      </w:r>
      <w:proofErr w:type="spellStart"/>
      <w:r w:rsidRPr="00EF05B6">
        <w:rPr>
          <w:lang w:val="en-GB"/>
        </w:rPr>
        <w:t>Merkow</w:t>
      </w:r>
      <w:proofErr w:type="spellEnd"/>
      <w:r w:rsidRPr="00EF05B6">
        <w:rPr>
          <w:lang w:val="en-GB"/>
        </w:rPr>
        <w:t xml:space="preserve"> et al.</w:t>
      </w:r>
      <w:r w:rsidR="00CB650D">
        <w:rPr>
          <w:lang w:val="en-GB"/>
        </w:rPr>
        <w:t>,</w:t>
      </w:r>
      <w:r w:rsidRPr="00EF05B6">
        <w:rPr>
          <w:lang w:val="en-GB"/>
        </w:rPr>
        <w:t xml:space="preserve"> 2017).</w:t>
      </w:r>
    </w:p>
    <w:p w14:paraId="131C0596" w14:textId="24760D73" w:rsidR="00EF05B6" w:rsidRPr="00EF05B6" w:rsidRDefault="00EF05B6" w:rsidP="00EF05B6">
      <w:pPr>
        <w:pStyle w:val="CETBodytext"/>
        <w:rPr>
          <w:lang w:val="en-GB"/>
        </w:rPr>
      </w:pPr>
      <w:r w:rsidRPr="00EF05B6">
        <w:rPr>
          <w:lang w:val="en-GB"/>
        </w:rPr>
        <w:lastRenderedPageBreak/>
        <w:t>The analysis of volatolomic biomarkers in body fluids using the Electronic Nose (E-Nose) technology has revolutionized the diagnosis of blood, breast, head and neck, lung, ovarian, gynaecologic, colorectal, and other malignancies</w:t>
      </w:r>
      <w:r w:rsidR="00335F65">
        <w:rPr>
          <w:lang w:val="en-GB"/>
        </w:rPr>
        <w:t xml:space="preserve"> </w:t>
      </w:r>
      <w:r w:rsidR="00335F65" w:rsidRPr="00EF05B6">
        <w:rPr>
          <w:lang w:val="en-GB"/>
        </w:rPr>
        <w:t>(Mohamed et al.</w:t>
      </w:r>
      <w:r w:rsidR="00335F65">
        <w:rPr>
          <w:lang w:val="en-GB"/>
        </w:rPr>
        <w:t>,</w:t>
      </w:r>
      <w:r w:rsidR="00335F65" w:rsidRPr="00EF05B6">
        <w:rPr>
          <w:lang w:val="en-GB"/>
        </w:rPr>
        <w:t xml:space="preserve"> 2014; 2017; 2019; </w:t>
      </w:r>
      <w:proofErr w:type="spellStart"/>
      <w:r w:rsidR="00D50D7D" w:rsidRPr="00D50D7D">
        <w:rPr>
          <w:lang w:val="en-GB"/>
        </w:rPr>
        <w:t>Farraia</w:t>
      </w:r>
      <w:proofErr w:type="spellEnd"/>
      <w:r w:rsidR="00D50D7D" w:rsidRPr="00D50D7D">
        <w:rPr>
          <w:lang w:val="en-GB"/>
        </w:rPr>
        <w:t xml:space="preserve"> et al.</w:t>
      </w:r>
      <w:r w:rsidR="00D50D7D">
        <w:rPr>
          <w:lang w:val="en-GB"/>
        </w:rPr>
        <w:t>,</w:t>
      </w:r>
      <w:r w:rsidR="00D50D7D" w:rsidRPr="00D50D7D">
        <w:rPr>
          <w:lang w:val="en-GB"/>
        </w:rPr>
        <w:t xml:space="preserve"> 2019;</w:t>
      </w:r>
      <w:r w:rsidR="00D50D7D">
        <w:rPr>
          <w:lang w:val="en-GB"/>
        </w:rPr>
        <w:t xml:space="preserve"> </w:t>
      </w:r>
      <w:r w:rsidR="00AC6B42" w:rsidRPr="00EF05B6">
        <w:rPr>
          <w:lang w:val="en-GB"/>
        </w:rPr>
        <w:t>Scheepers et al.</w:t>
      </w:r>
      <w:r w:rsidR="00AC6B42">
        <w:rPr>
          <w:lang w:val="en-GB"/>
        </w:rPr>
        <w:t>,</w:t>
      </w:r>
      <w:r w:rsidR="00AC6B42" w:rsidRPr="00EF05B6">
        <w:rPr>
          <w:lang w:val="en-GB"/>
        </w:rPr>
        <w:t xml:space="preserve"> 2022</w:t>
      </w:r>
      <w:r w:rsidR="00335F65" w:rsidRPr="00EF05B6">
        <w:rPr>
          <w:lang w:val="en-GB"/>
        </w:rPr>
        <w:t>)</w:t>
      </w:r>
      <w:r w:rsidRPr="00EF05B6">
        <w:rPr>
          <w:lang w:val="en-GB"/>
        </w:rPr>
        <w:t xml:space="preserve">, as well as tumour cell lines in vitro </w:t>
      </w:r>
      <w:r w:rsidR="00335F65">
        <w:rPr>
          <w:lang w:val="en-GB"/>
        </w:rPr>
        <w:t>(</w:t>
      </w:r>
      <w:r w:rsidR="00335F65" w:rsidRPr="00EF05B6">
        <w:rPr>
          <w:lang w:val="en-GB"/>
        </w:rPr>
        <w:t>Gendron et al.</w:t>
      </w:r>
      <w:r w:rsidR="00335F65">
        <w:rPr>
          <w:lang w:val="en-GB"/>
        </w:rPr>
        <w:t>,</w:t>
      </w:r>
      <w:r w:rsidR="00335F65" w:rsidRPr="00EF05B6">
        <w:rPr>
          <w:lang w:val="en-GB"/>
        </w:rPr>
        <w:t xml:space="preserve"> 2007</w:t>
      </w:r>
      <w:r w:rsidR="00335F65">
        <w:rPr>
          <w:lang w:val="en-GB"/>
        </w:rPr>
        <w:t>)</w:t>
      </w:r>
      <w:r w:rsidRPr="00EF05B6">
        <w:rPr>
          <w:lang w:val="en-GB"/>
        </w:rPr>
        <w:t>. This method is founded on the premise that pathophysiological processes alter the body’s metabolism, which is directly expressed as a unique change in the compendium of low molecular weight volatile organic compounds (VOCs) (</w:t>
      </w:r>
      <w:proofErr w:type="spellStart"/>
      <w:r w:rsidRPr="00EF05B6">
        <w:rPr>
          <w:lang w:val="en-GB"/>
        </w:rPr>
        <w:t>Shirasu</w:t>
      </w:r>
      <w:proofErr w:type="spellEnd"/>
      <w:r w:rsidRPr="00EF05B6">
        <w:rPr>
          <w:lang w:val="en-GB"/>
        </w:rPr>
        <w:t xml:space="preserve"> &amp; </w:t>
      </w:r>
      <w:proofErr w:type="spellStart"/>
      <w:r w:rsidRPr="00EF05B6">
        <w:rPr>
          <w:lang w:val="en-GB"/>
        </w:rPr>
        <w:t>Touhara</w:t>
      </w:r>
      <w:proofErr w:type="spellEnd"/>
      <w:r w:rsidR="00962945">
        <w:rPr>
          <w:lang w:val="en-GB"/>
        </w:rPr>
        <w:t>,</w:t>
      </w:r>
      <w:r w:rsidRPr="00EF05B6">
        <w:rPr>
          <w:lang w:val="en-GB"/>
        </w:rPr>
        <w:t xml:space="preserve"> 2011). By combining E-Nose sensor responses and binary outcomes with machine learning (ML) algorithms, high levels of accuracy in disease classification and diagnosis could be achieved (Wojnowski &amp; Kalinowska</w:t>
      </w:r>
      <w:r w:rsidR="00335F65">
        <w:rPr>
          <w:lang w:val="en-GB"/>
        </w:rPr>
        <w:t>,</w:t>
      </w:r>
      <w:r w:rsidRPr="00EF05B6">
        <w:rPr>
          <w:lang w:val="en-GB"/>
        </w:rPr>
        <w:t xml:space="preserve"> 2022; </w:t>
      </w:r>
      <w:proofErr w:type="spellStart"/>
      <w:r w:rsidRPr="00EF05B6">
        <w:rPr>
          <w:lang w:val="en-GB"/>
        </w:rPr>
        <w:t>Kokabi</w:t>
      </w:r>
      <w:proofErr w:type="spellEnd"/>
      <w:r w:rsidRPr="00EF05B6">
        <w:rPr>
          <w:lang w:val="en-GB"/>
        </w:rPr>
        <w:t xml:space="preserve"> et al.</w:t>
      </w:r>
      <w:r w:rsidR="00335F65">
        <w:rPr>
          <w:lang w:val="en-GB"/>
        </w:rPr>
        <w:t>,</w:t>
      </w:r>
      <w:r w:rsidRPr="00EF05B6">
        <w:rPr>
          <w:lang w:val="en-GB"/>
        </w:rPr>
        <w:t xml:space="preserve"> 2023). Standardized validation studies to assess the E-Nose's accuracy in cancer detection were, however, emphasized by a growing number of oncologists (Malone et al.</w:t>
      </w:r>
      <w:r w:rsidR="00962945">
        <w:rPr>
          <w:lang w:val="en-GB"/>
        </w:rPr>
        <w:t>,</w:t>
      </w:r>
      <w:r w:rsidRPr="00EF05B6">
        <w:rPr>
          <w:lang w:val="en-GB"/>
        </w:rPr>
        <w:t xml:space="preserve"> 2022; Scheepers et al.</w:t>
      </w:r>
      <w:r w:rsidR="00962945">
        <w:rPr>
          <w:lang w:val="en-GB"/>
        </w:rPr>
        <w:t>,</w:t>
      </w:r>
      <w:r w:rsidRPr="00EF05B6">
        <w:rPr>
          <w:lang w:val="en-GB"/>
        </w:rPr>
        <w:t xml:space="preserve"> 2022).</w:t>
      </w:r>
    </w:p>
    <w:p w14:paraId="23F86FEF" w14:textId="5A0A5952" w:rsidR="00600535" w:rsidRPr="00FA5F5F" w:rsidRDefault="00EF05B6" w:rsidP="00EF05B6">
      <w:pPr>
        <w:pStyle w:val="CETBodytext"/>
        <w:rPr>
          <w:lang w:val="en-GB"/>
        </w:rPr>
      </w:pPr>
      <w:r w:rsidRPr="00EF05B6">
        <w:rPr>
          <w:lang w:val="en-GB"/>
        </w:rPr>
        <w:t xml:space="preserve">The aim of the </w:t>
      </w:r>
      <w:r w:rsidR="003823C9">
        <w:rPr>
          <w:lang w:val="en-GB"/>
        </w:rPr>
        <w:t>current</w:t>
      </w:r>
      <w:r w:rsidRPr="00EF05B6">
        <w:rPr>
          <w:lang w:val="en-GB"/>
        </w:rPr>
        <w:t xml:space="preserve"> </w:t>
      </w:r>
      <w:r>
        <w:rPr>
          <w:lang w:val="en-GB"/>
        </w:rPr>
        <w:t>investigation</w:t>
      </w:r>
      <w:r w:rsidRPr="00EF05B6">
        <w:rPr>
          <w:lang w:val="en-GB"/>
        </w:rPr>
        <w:t xml:space="preserve"> was to develop a global map of blood odours that can assist the oncologist in cancer screening and early diagnosis by using a ML-based E-Nose.</w:t>
      </w:r>
    </w:p>
    <w:p w14:paraId="5741900F" w14:textId="6C37C913" w:rsidR="00453E24" w:rsidRDefault="00EF05B6" w:rsidP="00453E24">
      <w:pPr>
        <w:pStyle w:val="CETHeading1"/>
      </w:pPr>
      <w:r>
        <w:t>Methods</w:t>
      </w:r>
    </w:p>
    <w:p w14:paraId="0636B784" w14:textId="01AD1B52" w:rsidR="00453E24" w:rsidRDefault="00EF05B6" w:rsidP="00453E24">
      <w:pPr>
        <w:pStyle w:val="CETheadingx"/>
      </w:pPr>
      <w:r w:rsidRPr="00EF05B6">
        <w:t xml:space="preserve">Study </w:t>
      </w:r>
      <w:r w:rsidR="00162746">
        <w:t>D</w:t>
      </w:r>
      <w:r w:rsidRPr="00EF05B6">
        <w:t>esign</w:t>
      </w:r>
    </w:p>
    <w:p w14:paraId="7C2B0064" w14:textId="1C95EC65" w:rsidR="00453E24" w:rsidRDefault="00EF05B6" w:rsidP="00453E24">
      <w:pPr>
        <w:pStyle w:val="CETBodytext"/>
      </w:pPr>
      <w:r w:rsidRPr="00EF05B6">
        <w:t xml:space="preserve">A total of 1001 male and female cancer patients from the Medical Research Institute Hospital and Alexandria University Main Hospital were recruited in this prospective diagnostic/prognostic study. </w:t>
      </w:r>
      <w:r w:rsidR="00811EA6">
        <w:t>N</w:t>
      </w:r>
      <w:r w:rsidR="00811EA6" w:rsidRPr="00EF05B6">
        <w:t xml:space="preserve">ewly diagnosed </w:t>
      </w:r>
      <w:r w:rsidR="00811EA6">
        <w:t xml:space="preserve">cancer patients </w:t>
      </w:r>
      <w:r w:rsidRPr="00EF05B6">
        <w:t xml:space="preserve">were enrolled consecutively before any medical intervention from January 2019 to June 2023. The </w:t>
      </w:r>
      <w:proofErr w:type="gramStart"/>
      <w:r w:rsidRPr="00EF05B6">
        <w:t>initial</w:t>
      </w:r>
      <w:proofErr w:type="gramEnd"/>
      <w:r w:rsidRPr="00EF05B6">
        <w:t xml:space="preserve"> diagnosis began with taking a comprehensive history</w:t>
      </w:r>
      <w:r w:rsidR="001E32C7">
        <w:t xml:space="preserve"> and</w:t>
      </w:r>
      <w:r w:rsidRPr="00EF05B6">
        <w:t xml:space="preserve"> thorough medical examinations</w:t>
      </w:r>
      <w:r w:rsidR="001E32C7">
        <w:t xml:space="preserve">. </w:t>
      </w:r>
      <w:r w:rsidR="001E32C7" w:rsidRPr="00C4495C">
        <w:rPr>
          <w:lang w:val="en-GB"/>
        </w:rPr>
        <w:t>Blood samples were collected from the upper limbs of all participants using duplicate sterile vacutainer tubes on EDTA</w:t>
      </w:r>
      <w:r w:rsidR="001E32C7">
        <w:rPr>
          <w:lang w:val="en-GB"/>
        </w:rPr>
        <w:t xml:space="preserve"> for</w:t>
      </w:r>
      <w:r w:rsidRPr="00EF05B6">
        <w:t xml:space="preserve"> routine lab investigations</w:t>
      </w:r>
      <w:r w:rsidR="001E32C7">
        <w:t xml:space="preserve"> and E-Nose measurements</w:t>
      </w:r>
      <w:r w:rsidRPr="00EF05B6">
        <w:t xml:space="preserve">. Cancers of the blood (n = 188), brain (n = 72), breast (n = 213), liver (n = 93), and lung (n = 158) were the study's main categories, while healthy controls (n = 277) were those with no </w:t>
      </w:r>
      <w:proofErr w:type="gramStart"/>
      <w:r w:rsidRPr="00EF05B6">
        <w:t>evident</w:t>
      </w:r>
      <w:proofErr w:type="gramEnd"/>
      <w:r w:rsidRPr="00EF05B6">
        <w:t xml:space="preserve"> signs of illness. The exclusion criteria were youngsters, steroid treatment, endocrinopathy, and the presence or suspected presence of infections or autoimmune diseases. The last step in diagnosis involved testing for specific tumor markers, </w:t>
      </w:r>
      <w:r w:rsidR="00AC7242" w:rsidRPr="00EF05B6">
        <w:t>bronchoscopy</w:t>
      </w:r>
      <w:r w:rsidRPr="00EF05B6">
        <w:t xml:space="preserve"> and thoracoscop</w:t>
      </w:r>
      <w:r w:rsidR="00AC7242">
        <w:t>y</w:t>
      </w:r>
      <w:r w:rsidRPr="00EF05B6">
        <w:t xml:space="preserve"> investigations, and imaging radiograms (e.g., X-rays, US, CT, MRI, and PET), yielding a homogenous cohort of only 550 participants. All participants had signed written informed consents and gave blood samples. The Ethics Committee of the Medical Research Institute, Alexandria University, reviewed and approved the study protocol.</w:t>
      </w:r>
    </w:p>
    <w:p w14:paraId="18BAFA6F" w14:textId="1A7A39A2" w:rsidR="00453E24" w:rsidRPr="00B57B36" w:rsidRDefault="00AC7242" w:rsidP="00453E24">
      <w:pPr>
        <w:pStyle w:val="CETheadingx"/>
      </w:pPr>
      <w:r w:rsidRPr="00AC7242">
        <w:t xml:space="preserve">Electronic </w:t>
      </w:r>
      <w:r w:rsidR="00162746">
        <w:t>N</w:t>
      </w:r>
      <w:r w:rsidRPr="00AC7242">
        <w:t xml:space="preserve">ose </w:t>
      </w:r>
      <w:r w:rsidR="00162746">
        <w:t>M</w:t>
      </w:r>
      <w:r w:rsidRPr="00AC7242">
        <w:t>easurements</w:t>
      </w:r>
    </w:p>
    <w:p w14:paraId="582642C6" w14:textId="5CBAD260" w:rsidR="00453E24" w:rsidRDefault="00AC7242" w:rsidP="001E32C7">
      <w:pPr>
        <w:pStyle w:val="CETBodytext"/>
        <w:rPr>
          <w:lang w:val="en-GB"/>
        </w:rPr>
      </w:pPr>
      <w:r w:rsidRPr="00AC7242">
        <w:rPr>
          <w:lang w:val="en-GB"/>
        </w:rPr>
        <w:t xml:space="preserve">A single researcher blindly processed the blood tube samples without knowing the subjects' clinical status or reference standard </w:t>
      </w:r>
      <w:r w:rsidR="00FA098E" w:rsidRPr="00AC7242">
        <w:rPr>
          <w:lang w:val="en-GB"/>
        </w:rPr>
        <w:t>tumour</w:t>
      </w:r>
      <w:r w:rsidRPr="00AC7242">
        <w:rPr>
          <w:lang w:val="en-GB"/>
        </w:rPr>
        <w:t xml:space="preserve"> marker values. An E-Nose comprising a set of 10 chemically nonspecific metal oxide semiconductors sensors (PEN3, </w:t>
      </w:r>
      <w:proofErr w:type="spellStart"/>
      <w:r w:rsidRPr="00AC7242">
        <w:rPr>
          <w:lang w:val="en-GB"/>
        </w:rPr>
        <w:t>Airsense</w:t>
      </w:r>
      <w:proofErr w:type="spellEnd"/>
      <w:r w:rsidRPr="00AC7242">
        <w:rPr>
          <w:lang w:val="en-GB"/>
        </w:rPr>
        <w:t xml:space="preserve"> Analytics GmbH, Schwerin, Germany) was connected to each sealed vacutainer tube through a 3 mm Teflon tube ending with a size-20G long lure-lock needle. To allow ambient air into the tube, a second, shorter needle was inserted through the seal. Filtered, dry room air was used for delivering the VOCs in the headspace above blood samples to the E-Nose sensor array at a 400 ml/min flow rate. Each time a sample was connected, solenoid valves alternated between room air and headspace VOCs, thereby automatically recording the single changes in sensor electric resistance (R) and relative conductance (G/Go) continuously for a duration of 60 s in an independent file.</w:t>
      </w:r>
      <w:r w:rsidR="001E32C7">
        <w:rPr>
          <w:lang w:val="en-GB"/>
        </w:rPr>
        <w:t xml:space="preserve"> </w:t>
      </w:r>
      <w:r w:rsidRPr="00AC7242">
        <w:rPr>
          <w:lang w:val="en-GB"/>
        </w:rPr>
        <w:t xml:space="preserve">Prior to the subsequent sample measurement, sensors were flushed with filtered dry room air for 60 s and then zeroed out for 10 s to restore signals to their initial levels (G/Go = 1). All measurements were repeated twice, and ML algorithms were used to extract and </w:t>
      </w:r>
      <w:r w:rsidR="00FA098E" w:rsidRPr="00AC7242">
        <w:rPr>
          <w:lang w:val="en-GB"/>
        </w:rPr>
        <w:t>analyse</w:t>
      </w:r>
      <w:r w:rsidRPr="00AC7242">
        <w:rPr>
          <w:lang w:val="en-GB"/>
        </w:rPr>
        <w:t xml:space="preserve"> 10-sensor stable response patterns in the plateau region at 50 s (Fig</w:t>
      </w:r>
      <w:r w:rsidR="00FB3545">
        <w:rPr>
          <w:lang w:val="en-GB"/>
        </w:rPr>
        <w:t>ure</w:t>
      </w:r>
      <w:r w:rsidRPr="00AC7242">
        <w:rPr>
          <w:lang w:val="en-GB"/>
        </w:rPr>
        <w:t xml:space="preserve"> </w:t>
      </w:r>
      <w:r w:rsidR="00FB3545">
        <w:rPr>
          <w:lang w:val="en-GB"/>
        </w:rPr>
        <w:t>1</w:t>
      </w:r>
      <w:r w:rsidRPr="00AC7242">
        <w:rPr>
          <w:lang w:val="en-GB"/>
        </w:rPr>
        <w:t>, right panels).</w:t>
      </w:r>
    </w:p>
    <w:p w14:paraId="680FDE9E" w14:textId="0BBE76BC" w:rsidR="00AC7242" w:rsidRPr="00B57B36" w:rsidRDefault="00AC7242" w:rsidP="00AC7242">
      <w:pPr>
        <w:pStyle w:val="CETheadingx"/>
      </w:pPr>
      <w:r w:rsidRPr="00AC7242">
        <w:t xml:space="preserve">Machine </w:t>
      </w:r>
      <w:r w:rsidR="00162746">
        <w:t>L</w:t>
      </w:r>
      <w:r w:rsidRPr="00AC7242">
        <w:t>earning (ML)</w:t>
      </w:r>
    </w:p>
    <w:p w14:paraId="175D0EDC" w14:textId="3045A35A" w:rsidR="00AC7242" w:rsidRDefault="00AC7242" w:rsidP="00AC7242">
      <w:pPr>
        <w:pStyle w:val="CETBodytext"/>
        <w:rPr>
          <w:lang w:val="en-GB"/>
        </w:rPr>
      </w:pPr>
      <w:r w:rsidRPr="00AC7242">
        <w:rPr>
          <w:lang w:val="en-GB"/>
        </w:rPr>
        <w:t>ML employs unsupervised and supervised automatic algorithms to learn from data, improve performance, and make decisions and predictions (Wojnowski &amp; Kalinowska</w:t>
      </w:r>
      <w:r w:rsidR="00EA6373">
        <w:rPr>
          <w:lang w:val="en-GB"/>
        </w:rPr>
        <w:t>,</w:t>
      </w:r>
      <w:r w:rsidRPr="00AC7242">
        <w:rPr>
          <w:lang w:val="en-GB"/>
        </w:rPr>
        <w:t xml:space="preserve"> 2022; </w:t>
      </w:r>
      <w:proofErr w:type="spellStart"/>
      <w:r w:rsidRPr="00AC7242">
        <w:rPr>
          <w:lang w:val="en-GB"/>
        </w:rPr>
        <w:t>Kokabi</w:t>
      </w:r>
      <w:proofErr w:type="spellEnd"/>
      <w:r w:rsidRPr="00AC7242">
        <w:rPr>
          <w:lang w:val="en-GB"/>
        </w:rPr>
        <w:t xml:space="preserve"> et al.</w:t>
      </w:r>
      <w:r w:rsidR="00EA6373">
        <w:rPr>
          <w:lang w:val="en-GB"/>
        </w:rPr>
        <w:t>,</w:t>
      </w:r>
      <w:r w:rsidRPr="00AC7242">
        <w:rPr>
          <w:lang w:val="en-GB"/>
        </w:rPr>
        <w:t xml:space="preserve"> 2023). It detects patterns in datasets to create predictive models, where the accuracy of predicted outputs is directly proportional to the amount of data used for their training (Salama et al.</w:t>
      </w:r>
      <w:r w:rsidR="00BE27B3">
        <w:rPr>
          <w:lang w:val="en-GB"/>
        </w:rPr>
        <w:t>,</w:t>
      </w:r>
      <w:r w:rsidRPr="00AC7242">
        <w:rPr>
          <w:lang w:val="en-GB"/>
        </w:rPr>
        <w:t xml:space="preserve"> 2021; Meshref et al.</w:t>
      </w:r>
      <w:r w:rsidR="00BE27B3">
        <w:rPr>
          <w:lang w:val="en-GB"/>
        </w:rPr>
        <w:t>,</w:t>
      </w:r>
      <w:r w:rsidRPr="00AC7242">
        <w:rPr>
          <w:lang w:val="en-GB"/>
        </w:rPr>
        <w:t xml:space="preserve"> 2023). Principal component analysis (PCA) clusters and associates uncategorized datasets based on similarities, patterns, and differences, whereas support vector machine (SVM) uses categorized data for accurate medical diagnosis and prognosis</w:t>
      </w:r>
      <w:r w:rsidR="00620BE0">
        <w:rPr>
          <w:lang w:val="en-GB"/>
        </w:rPr>
        <w:t xml:space="preserve"> (</w:t>
      </w:r>
      <w:proofErr w:type="spellStart"/>
      <w:r w:rsidR="00620BE0" w:rsidRPr="008F7A3B">
        <w:rPr>
          <w:lang w:val="en-GB"/>
        </w:rPr>
        <w:t>BasuMallick</w:t>
      </w:r>
      <w:proofErr w:type="spellEnd"/>
      <w:r w:rsidR="00620BE0">
        <w:rPr>
          <w:lang w:val="en-GB"/>
        </w:rPr>
        <w:t>,</w:t>
      </w:r>
      <w:r w:rsidR="00620BE0" w:rsidRPr="008F7A3B">
        <w:rPr>
          <w:lang w:val="en-GB"/>
        </w:rPr>
        <w:t xml:space="preserve"> 2024</w:t>
      </w:r>
      <w:r w:rsidR="00620BE0">
        <w:rPr>
          <w:lang w:val="en-GB"/>
        </w:rPr>
        <w:t>)</w:t>
      </w:r>
      <w:r w:rsidRPr="00AC7242">
        <w:rPr>
          <w:lang w:val="en-GB"/>
        </w:rPr>
        <w:t>.</w:t>
      </w:r>
    </w:p>
    <w:p w14:paraId="661164A9" w14:textId="6C127FE6" w:rsidR="008F7A3B" w:rsidRDefault="008F7A3B" w:rsidP="008F7A3B">
      <w:pPr>
        <w:pStyle w:val="CETBodytext"/>
        <w:rPr>
          <w:lang w:val="en-GB"/>
        </w:rPr>
      </w:pPr>
      <w:r w:rsidRPr="008F7A3B">
        <w:rPr>
          <w:lang w:val="en-GB"/>
        </w:rPr>
        <w:t xml:space="preserve">PCA is a non-parametric ML algorithm used for exploratory medical data analysis and predictive </w:t>
      </w:r>
      <w:r w:rsidR="00BE27B3" w:rsidRPr="008F7A3B">
        <w:rPr>
          <w:lang w:val="en-GB"/>
        </w:rPr>
        <w:t>modelling</w:t>
      </w:r>
      <w:r w:rsidRPr="008F7A3B">
        <w:rPr>
          <w:lang w:val="en-GB"/>
        </w:rPr>
        <w:t xml:space="preserve"> for clustering and classification (</w:t>
      </w:r>
      <w:proofErr w:type="spellStart"/>
      <w:r w:rsidRPr="008F7A3B">
        <w:rPr>
          <w:lang w:val="en-GB"/>
        </w:rPr>
        <w:t>Elhaik</w:t>
      </w:r>
      <w:proofErr w:type="spellEnd"/>
      <w:r w:rsidR="00EA6373">
        <w:rPr>
          <w:lang w:val="en-GB"/>
        </w:rPr>
        <w:t>,</w:t>
      </w:r>
      <w:r w:rsidRPr="008F7A3B">
        <w:rPr>
          <w:lang w:val="en-GB"/>
        </w:rPr>
        <w:t xml:space="preserve"> 2022). It reduces data dimensionality by transforming potentially correlated E-Nose sensor response time series into principal components (PCs), maximizing variance and data variability, and identifying variable correlations (Mohamed et al.</w:t>
      </w:r>
      <w:r w:rsidR="00BE27B3">
        <w:rPr>
          <w:lang w:val="en-GB"/>
        </w:rPr>
        <w:t>,</w:t>
      </w:r>
      <w:r w:rsidRPr="008F7A3B">
        <w:rPr>
          <w:lang w:val="en-GB"/>
        </w:rPr>
        <w:t xml:space="preserve"> 2014; 2017; 2019). The built-in PCA algorithm (</w:t>
      </w:r>
      <w:proofErr w:type="spellStart"/>
      <w:r w:rsidRPr="008F7A3B">
        <w:rPr>
          <w:lang w:val="en-GB"/>
        </w:rPr>
        <w:t>WinMuster</w:t>
      </w:r>
      <w:proofErr w:type="spellEnd"/>
      <w:r w:rsidRPr="008F7A3B">
        <w:rPr>
          <w:lang w:val="en-GB"/>
        </w:rPr>
        <w:t xml:space="preserve">, Version 1.6.2.2, </w:t>
      </w:r>
      <w:proofErr w:type="spellStart"/>
      <w:r w:rsidRPr="008F7A3B">
        <w:rPr>
          <w:lang w:val="en-GB"/>
        </w:rPr>
        <w:t>Airsense</w:t>
      </w:r>
      <w:proofErr w:type="spellEnd"/>
      <w:r w:rsidRPr="008F7A3B">
        <w:rPr>
          <w:lang w:val="en-GB"/>
        </w:rPr>
        <w:t xml:space="preserve"> Analytics GmbH, Schwerin, Germany) was applied to transform the E-Nose time series from </w:t>
      </w:r>
      <w:r w:rsidR="00FB3545">
        <w:rPr>
          <w:lang w:val="en-GB"/>
        </w:rPr>
        <w:t>10</w:t>
      </w:r>
      <w:r w:rsidRPr="008F7A3B">
        <w:rPr>
          <w:lang w:val="en-GB"/>
        </w:rPr>
        <w:t xml:space="preserve"> dimensions to orthogonal x-y coordinates. It is the least-squares transform for the E-Nose time series, with PC #1 having the highest x-coordinate variance and PC #2 the second most y-coordinate variance. </w:t>
      </w:r>
      <w:r w:rsidRPr="008F7A3B">
        <w:rPr>
          <w:lang w:val="en-GB"/>
        </w:rPr>
        <w:lastRenderedPageBreak/>
        <w:t xml:space="preserve">PCA displays similarity patterns in clusters, </w:t>
      </w:r>
      <w:r w:rsidR="00BE27B3" w:rsidRPr="008F7A3B">
        <w:rPr>
          <w:lang w:val="en-GB"/>
        </w:rPr>
        <w:t>analysing</w:t>
      </w:r>
      <w:r w:rsidRPr="008F7A3B">
        <w:rPr>
          <w:lang w:val="en-GB"/>
        </w:rPr>
        <w:t xml:space="preserve"> and extracting essential details from the quantitatively dependent 10-dimensional times series variables. It helps identify and classify all investigated group blood samples, including blood, brain, breast, liver, and lung cancer groups, compared to healthy controls.</w:t>
      </w:r>
    </w:p>
    <w:p w14:paraId="482DABA5" w14:textId="46FD0AB5" w:rsidR="00AC7242" w:rsidRDefault="00AC7242" w:rsidP="00AC7242">
      <w:pPr>
        <w:pStyle w:val="CETBodytext"/>
        <w:rPr>
          <w:lang w:val="en-GB"/>
        </w:rPr>
      </w:pPr>
      <w:r w:rsidRPr="00AC7242">
        <w:rPr>
          <w:lang w:val="en-GB"/>
        </w:rPr>
        <w:t>Vector-based SVM is a supervised ML technique for outlier detection, regression, and data classification (</w:t>
      </w:r>
      <w:proofErr w:type="spellStart"/>
      <w:r w:rsidRPr="00AC7242">
        <w:rPr>
          <w:lang w:val="en-GB"/>
        </w:rPr>
        <w:t>Akinnuwesi</w:t>
      </w:r>
      <w:proofErr w:type="spellEnd"/>
      <w:r w:rsidRPr="00AC7242">
        <w:rPr>
          <w:lang w:val="en-GB"/>
        </w:rPr>
        <w:t xml:space="preserve"> et al.</w:t>
      </w:r>
      <w:r w:rsidR="00FB3545">
        <w:rPr>
          <w:lang w:val="en-GB"/>
        </w:rPr>
        <w:t>,</w:t>
      </w:r>
      <w:r w:rsidRPr="00AC7242">
        <w:rPr>
          <w:lang w:val="en-GB"/>
        </w:rPr>
        <w:t xml:space="preserve"> 2023). It creates a hyperplane, the best decision boundary in the E-Nose 10-dimensional space, based on support vectors, to determine the optimal training parameter combination for model predictions (</w:t>
      </w:r>
      <w:proofErr w:type="spellStart"/>
      <w:r w:rsidRPr="00AC7242">
        <w:rPr>
          <w:lang w:val="en-GB"/>
        </w:rPr>
        <w:t>Kokabi</w:t>
      </w:r>
      <w:proofErr w:type="spellEnd"/>
      <w:r w:rsidRPr="00AC7242">
        <w:rPr>
          <w:lang w:val="en-GB"/>
        </w:rPr>
        <w:t xml:space="preserve"> et al.</w:t>
      </w:r>
      <w:r w:rsidR="00FB3545">
        <w:rPr>
          <w:lang w:val="en-GB"/>
        </w:rPr>
        <w:t>,</w:t>
      </w:r>
      <w:r w:rsidRPr="00AC7242">
        <w:rPr>
          <w:lang w:val="en-GB"/>
        </w:rPr>
        <w:t xml:space="preserve"> 2023). The </w:t>
      </w:r>
      <w:proofErr w:type="spellStart"/>
      <w:r w:rsidRPr="00AC7242">
        <w:rPr>
          <w:lang w:val="en-GB"/>
        </w:rPr>
        <w:t>LibLinear</w:t>
      </w:r>
      <w:proofErr w:type="spellEnd"/>
      <w:r w:rsidRPr="00AC7242">
        <w:rPr>
          <w:lang w:val="en-GB"/>
        </w:rPr>
        <w:t>-built SVM algorithm uses a one-versus-all multiclass technique, providing maximal penalty and loss function flexibility, and effectively performs with limited and large data (Sarker</w:t>
      </w:r>
      <w:r w:rsidR="00FB3545">
        <w:rPr>
          <w:lang w:val="en-GB"/>
        </w:rPr>
        <w:t>,</w:t>
      </w:r>
      <w:r w:rsidRPr="00AC7242">
        <w:rPr>
          <w:lang w:val="en-GB"/>
        </w:rPr>
        <w:t xml:space="preserve"> 2021). SVM was implemented using Spider 4.14, provided in Anaconda Navigator 1.9.12 and based on Python platform version 3.8.3, running on a core-i7 PC under Windows 11.</w:t>
      </w:r>
    </w:p>
    <w:p w14:paraId="65E16825" w14:textId="4D1ADAFA" w:rsidR="00AC7242" w:rsidRPr="00B57B36" w:rsidRDefault="00AC7242" w:rsidP="00AC7242">
      <w:pPr>
        <w:pStyle w:val="CETheadingx"/>
      </w:pPr>
      <w:r>
        <w:t xml:space="preserve">Input </w:t>
      </w:r>
      <w:r w:rsidR="00162746">
        <w:t>D</w:t>
      </w:r>
      <w:r>
        <w:t>ataset</w:t>
      </w:r>
    </w:p>
    <w:p w14:paraId="4F82BEE0" w14:textId="4DD4299D" w:rsidR="00AC7242" w:rsidRDefault="00AC7242" w:rsidP="00AC7242">
      <w:pPr>
        <w:pStyle w:val="CETBodytext"/>
        <w:rPr>
          <w:lang w:val="en-GB"/>
        </w:rPr>
      </w:pPr>
      <w:r w:rsidRPr="00AC7242">
        <w:rPr>
          <w:lang w:val="en-GB"/>
        </w:rPr>
        <w:t xml:space="preserve">The input dataset was comprised of NOS-formatted standard measurement files of E-Nose 10-sensor responses (60 s time series) from blood samples of participants with a confirmed diagnosis of chronic lymphocytic </w:t>
      </w:r>
      <w:r w:rsidR="00FA098E" w:rsidRPr="00AC7242">
        <w:rPr>
          <w:lang w:val="en-GB"/>
        </w:rPr>
        <w:t>leukaemia</w:t>
      </w:r>
      <w:r w:rsidRPr="00AC7242">
        <w:rPr>
          <w:lang w:val="en-GB"/>
        </w:rPr>
        <w:t xml:space="preserve"> (CLL), glioblastoma multiforme (GBM), invasive ductal carcinoma (IDC), hepatocellular carcinoma (HCC), adenocarcinoma (AC), and healthy controls (HC). The cancer input vector for blood samples was a 550 </w:t>
      </w:r>
      <w:r w:rsidRPr="00AC7242">
        <w:rPr>
          <w:rFonts w:ascii="Symbol" w:hAnsi="Symbol"/>
          <w:lang w:val="en-GB"/>
        </w:rPr>
        <w:t></w:t>
      </w:r>
      <w:r w:rsidRPr="00AC7242">
        <w:rPr>
          <w:rFonts w:ascii="Symbol" w:hAnsi="Symbol"/>
          <w:lang w:val="en-GB"/>
        </w:rPr>
        <w:t></w:t>
      </w:r>
      <w:r w:rsidRPr="00AC7242">
        <w:rPr>
          <w:lang w:val="en-GB"/>
        </w:rPr>
        <w:t xml:space="preserve"> 1100 matrix, describing 1100 attributes of 550 blood samples. In the training phase, 80% of the dataset was used, while the remaining 20% was used in the testing phase.</w:t>
      </w:r>
    </w:p>
    <w:p w14:paraId="43D766C2" w14:textId="3F7A3569" w:rsidR="00AC7242" w:rsidRPr="00B57B36" w:rsidRDefault="00AC7242" w:rsidP="00AC7242">
      <w:pPr>
        <w:pStyle w:val="CETheadingx"/>
      </w:pPr>
      <w:r>
        <w:t xml:space="preserve">Output </w:t>
      </w:r>
      <w:r w:rsidR="00162746">
        <w:t>V</w:t>
      </w:r>
      <w:r>
        <w:t>ectors</w:t>
      </w:r>
    </w:p>
    <w:p w14:paraId="712216F3" w14:textId="2A4EFCD4" w:rsidR="00AC7242" w:rsidRDefault="00AC7242" w:rsidP="00AC7242">
      <w:pPr>
        <w:pStyle w:val="CETBodytext"/>
        <w:rPr>
          <w:lang w:val="en-GB"/>
        </w:rPr>
      </w:pPr>
      <w:r w:rsidRPr="00AC7242">
        <w:rPr>
          <w:lang w:val="en-GB"/>
        </w:rPr>
        <w:t xml:space="preserve">There were six study groups represented by the output vector: blood (CLL), brain (GBM), breast (IDC), liver (HCC), lung (AC) cancer, and HC. The input and output vectors were randomly divided into two sets, and the output of the linear SVM was calculated for varying values of the constant C. The best results were obtained at a C value of 200 and </w:t>
      </w:r>
      <w:proofErr w:type="gramStart"/>
      <w:r w:rsidRPr="00AC7242">
        <w:rPr>
          <w:lang w:val="en-GB"/>
        </w:rPr>
        <w:t>a number of</w:t>
      </w:r>
      <w:proofErr w:type="gramEnd"/>
      <w:r w:rsidRPr="00AC7242">
        <w:rPr>
          <w:lang w:val="en-GB"/>
        </w:rPr>
        <w:t xml:space="preserve"> folds equal to 5 for cross-validation.</w:t>
      </w:r>
    </w:p>
    <w:p w14:paraId="3B81A272" w14:textId="57A41AE2" w:rsidR="00AC7242" w:rsidRPr="00B57B36" w:rsidRDefault="00AC7242" w:rsidP="00AC7242">
      <w:pPr>
        <w:pStyle w:val="CETheadingx"/>
      </w:pPr>
      <w:r>
        <w:t xml:space="preserve">Statistical </w:t>
      </w:r>
      <w:r w:rsidR="001A7021">
        <w:t>A</w:t>
      </w:r>
      <w:r>
        <w:t>nalysis</w:t>
      </w:r>
    </w:p>
    <w:p w14:paraId="073C9DE2" w14:textId="493915D6" w:rsidR="00AC7242" w:rsidRDefault="00AC7242" w:rsidP="00AC7242">
      <w:pPr>
        <w:pStyle w:val="CETBodytext"/>
        <w:rPr>
          <w:lang w:val="en-GB"/>
        </w:rPr>
      </w:pPr>
      <w:r w:rsidRPr="00AC7242">
        <w:rPr>
          <w:lang w:val="en-GB"/>
        </w:rPr>
        <w:t xml:space="preserve">Preciseness, accuracy, sensitivity, specificity, F1-score, and mean absolute error (MAE) were among the performance indicators computed in the study. </w:t>
      </w:r>
      <w:r w:rsidR="006E1258">
        <w:rPr>
          <w:lang w:val="en-GB"/>
        </w:rPr>
        <w:t>G</w:t>
      </w:r>
      <w:r w:rsidRPr="00AC7242">
        <w:rPr>
          <w:lang w:val="en-GB"/>
        </w:rPr>
        <w:t>raphical representations of cross-validation scores and error rates, as well as the area under the curve (AUC) of the receiver operating characteristic (ROC) analysis for all study groups</w:t>
      </w:r>
      <w:r w:rsidR="006E1258">
        <w:rPr>
          <w:lang w:val="en-GB"/>
        </w:rPr>
        <w:t xml:space="preserve"> were also provided</w:t>
      </w:r>
      <w:r w:rsidRPr="00AC7242">
        <w:rPr>
          <w:lang w:val="en-GB"/>
        </w:rPr>
        <w:t>.</w:t>
      </w:r>
    </w:p>
    <w:p w14:paraId="677EBFF0" w14:textId="508673A1" w:rsidR="00600535" w:rsidRPr="00B57B36" w:rsidRDefault="00AC7242" w:rsidP="00600535">
      <w:pPr>
        <w:pStyle w:val="CETHeading1"/>
        <w:tabs>
          <w:tab w:val="clear" w:pos="360"/>
          <w:tab w:val="right" w:pos="7100"/>
        </w:tabs>
        <w:jc w:val="both"/>
        <w:rPr>
          <w:lang w:val="en-GB"/>
        </w:rPr>
      </w:pPr>
      <w:r>
        <w:rPr>
          <w:lang w:val="en-GB"/>
        </w:rPr>
        <w:t>Results</w:t>
      </w:r>
      <w:r w:rsidR="00162746">
        <w:rPr>
          <w:lang w:val="en-GB"/>
        </w:rPr>
        <w:t xml:space="preserve"> and Discussion</w:t>
      </w:r>
    </w:p>
    <w:p w14:paraId="13291651" w14:textId="08BC75A9" w:rsidR="00FA098E" w:rsidRPr="00FA098E" w:rsidRDefault="00FA098E" w:rsidP="00FA098E">
      <w:pPr>
        <w:pStyle w:val="CETBodytext"/>
        <w:rPr>
          <w:lang w:val="en-GB"/>
        </w:rPr>
      </w:pPr>
      <w:r w:rsidRPr="00FA098E">
        <w:rPr>
          <w:lang w:val="en-GB"/>
        </w:rPr>
        <w:t xml:space="preserve">Based </w:t>
      </w:r>
      <w:r w:rsidR="00321954">
        <w:rPr>
          <w:lang w:val="en-GB"/>
        </w:rPr>
        <w:t>specific tumour markers for</w:t>
      </w:r>
      <w:r w:rsidRPr="00FA098E">
        <w:rPr>
          <w:lang w:val="en-GB"/>
        </w:rPr>
        <w:t xml:space="preserve"> </w:t>
      </w:r>
      <w:r w:rsidR="00F1722F">
        <w:rPr>
          <w:lang w:val="en-GB"/>
        </w:rPr>
        <w:t>cancer</w:t>
      </w:r>
      <w:r w:rsidRPr="00FA098E">
        <w:rPr>
          <w:lang w:val="en-GB"/>
        </w:rPr>
        <w:t xml:space="preserve"> diagnosis, </w:t>
      </w:r>
      <w:r w:rsidR="00F1722F">
        <w:rPr>
          <w:lang w:val="en-GB"/>
        </w:rPr>
        <w:t xml:space="preserve">the study was carried out on 550 </w:t>
      </w:r>
      <w:r w:rsidRPr="00FA098E">
        <w:rPr>
          <w:lang w:val="en-GB"/>
        </w:rPr>
        <w:t>participants with an age range of 49 to 70 years</w:t>
      </w:r>
      <w:r w:rsidR="007000DF">
        <w:rPr>
          <w:lang w:val="en-GB"/>
        </w:rPr>
        <w:t xml:space="preserve">, </w:t>
      </w:r>
      <w:r w:rsidRPr="00FA098E">
        <w:rPr>
          <w:lang w:val="en-GB"/>
        </w:rPr>
        <w:t>finally categorized into CLL (n = 100), GBM (n = 50), IDC (n = 150), HCC (n = 50), AC (n = 50), and HC (n = 150). The mean age of cancer patients was 55.53 ± 10.71 years, 171 (42.75%) being males, which included 116 (67.83%) active smokers, while 229 (57.25%) were females, with only 16 (6.99%) active smokers. The HC mean age was 58.22 ± 7.53 years; 78 (52%) were males, of which 51 (34%) were active mild smokers or with a history of smoking.</w:t>
      </w:r>
      <w:r w:rsidR="00A60DF7">
        <w:rPr>
          <w:lang w:val="en-GB"/>
        </w:rPr>
        <w:t xml:space="preserve"> </w:t>
      </w:r>
      <w:r w:rsidR="00A60DF7" w:rsidRPr="00A60DF7">
        <w:rPr>
          <w:lang w:val="en-GB"/>
        </w:rPr>
        <w:t xml:space="preserve">The average age of study participants falls within the middle-aged range, with a significant gender disparity (females were more than 50%) due to the higher number of </w:t>
      </w:r>
      <w:r w:rsidR="00A60DF7">
        <w:rPr>
          <w:lang w:val="en-GB"/>
        </w:rPr>
        <w:t>IDC</w:t>
      </w:r>
      <w:r w:rsidR="00A60DF7" w:rsidRPr="00A60DF7">
        <w:rPr>
          <w:lang w:val="en-GB"/>
        </w:rPr>
        <w:t xml:space="preserve"> patients.</w:t>
      </w:r>
      <w:r w:rsidRPr="00FA098E">
        <w:rPr>
          <w:lang w:val="en-GB"/>
        </w:rPr>
        <w:t xml:space="preserve"> IDC patients, who were all class 2 obese females (BMI &gt; 35 kg/m</w:t>
      </w:r>
      <w:r w:rsidRPr="0046591A">
        <w:rPr>
          <w:vertAlign w:val="superscript"/>
          <w:lang w:val="en-GB"/>
        </w:rPr>
        <w:t>2</w:t>
      </w:r>
      <w:r w:rsidRPr="00FA098E">
        <w:rPr>
          <w:lang w:val="en-GB"/>
        </w:rPr>
        <w:t xml:space="preserve">), were significantly heavier than CLL and HCC patients, who were </w:t>
      </w:r>
      <w:r w:rsidR="00EA6373" w:rsidRPr="00FA098E">
        <w:rPr>
          <w:lang w:val="en-GB"/>
        </w:rPr>
        <w:t>overweight</w:t>
      </w:r>
      <w:r w:rsidRPr="00FA098E">
        <w:rPr>
          <w:lang w:val="en-GB"/>
        </w:rPr>
        <w:t xml:space="preserve"> (BMI &gt; 25 kg/m</w:t>
      </w:r>
      <w:r w:rsidRPr="0046591A">
        <w:rPr>
          <w:vertAlign w:val="superscript"/>
          <w:lang w:val="en-GB"/>
        </w:rPr>
        <w:t>2</w:t>
      </w:r>
      <w:r w:rsidRPr="00FA098E">
        <w:rPr>
          <w:lang w:val="en-GB"/>
        </w:rPr>
        <w:t>), while GBM and AC patients were within the normal weight range (BMI &lt; 25 kg/m</w:t>
      </w:r>
      <w:r w:rsidRPr="0046591A">
        <w:rPr>
          <w:vertAlign w:val="superscript"/>
          <w:lang w:val="en-GB"/>
        </w:rPr>
        <w:t>2</w:t>
      </w:r>
      <w:r w:rsidRPr="00FA098E">
        <w:rPr>
          <w:lang w:val="en-GB"/>
        </w:rPr>
        <w:t>).</w:t>
      </w:r>
    </w:p>
    <w:p w14:paraId="6C909E10" w14:textId="390C3AB9" w:rsidR="00FA098E" w:rsidRPr="00FA098E" w:rsidRDefault="00FA098E" w:rsidP="00FA098E">
      <w:pPr>
        <w:pStyle w:val="CETBodytext"/>
        <w:rPr>
          <w:lang w:val="en-GB"/>
        </w:rPr>
      </w:pPr>
      <w:r w:rsidRPr="00FA098E">
        <w:rPr>
          <w:lang w:val="en-GB"/>
        </w:rPr>
        <w:t xml:space="preserve">Figure </w:t>
      </w:r>
      <w:r w:rsidR="00730715">
        <w:rPr>
          <w:lang w:val="en-GB"/>
        </w:rPr>
        <w:t>1</w:t>
      </w:r>
      <w:r w:rsidRPr="00FA098E">
        <w:rPr>
          <w:lang w:val="en-GB"/>
        </w:rPr>
        <w:t xml:space="preserve"> right panels show the typical sensor responses, which were characteristic fingerprints to the VOCs emanated from blood samples of various cancers (CLL, GBM, IDC, HCC, and AC) and HC. The multidimensional PCA cluster plots are shown in Fig</w:t>
      </w:r>
      <w:r w:rsidR="00F1722F">
        <w:rPr>
          <w:lang w:val="en-GB"/>
        </w:rPr>
        <w:t>ure</w:t>
      </w:r>
      <w:r w:rsidRPr="00FA098E">
        <w:rPr>
          <w:lang w:val="en-GB"/>
        </w:rPr>
        <w:t xml:space="preserve"> </w:t>
      </w:r>
      <w:r w:rsidR="00F1722F">
        <w:rPr>
          <w:lang w:val="en-GB"/>
        </w:rPr>
        <w:t>1</w:t>
      </w:r>
      <w:r w:rsidRPr="00FA098E">
        <w:rPr>
          <w:lang w:val="en-GB"/>
        </w:rPr>
        <w:t xml:space="preserve"> left panel, where the correlation matrix showed that the first and second main PCs had a variance of 80.59% and 16.51%, respectively. There were no false-positive or false-negative results, with a PCA total variance of 97.10%.</w:t>
      </w:r>
      <w:r w:rsidR="0046591A">
        <w:rPr>
          <w:lang w:val="en-GB"/>
        </w:rPr>
        <w:t xml:space="preserve"> </w:t>
      </w:r>
      <w:r w:rsidR="0046591A" w:rsidRPr="0046591A">
        <w:rPr>
          <w:lang w:val="en-GB"/>
        </w:rPr>
        <w:t>E-Noses were reported to have a 90% sensitivity and 87% specificity in diagnosing cancer using exhaled breath, based on a pooled analysis of 52 studies involving 3677 cancer patients (Scheepers et al.</w:t>
      </w:r>
      <w:r w:rsidR="00034DFD">
        <w:rPr>
          <w:lang w:val="en-GB"/>
        </w:rPr>
        <w:t>,</w:t>
      </w:r>
      <w:r w:rsidR="0046591A" w:rsidRPr="0046591A">
        <w:rPr>
          <w:lang w:val="en-GB"/>
        </w:rPr>
        <w:t xml:space="preserve"> 2022). Earlier studies also confirmed the PCA algorithm's high sensitivity and specificity in accurately diagnosing major </w:t>
      </w:r>
      <w:r w:rsidR="00EA6373" w:rsidRPr="0046591A">
        <w:rPr>
          <w:lang w:val="en-GB"/>
        </w:rPr>
        <w:t>leukaemia</w:t>
      </w:r>
      <w:r w:rsidR="00BD561A">
        <w:rPr>
          <w:lang w:val="en-GB"/>
        </w:rPr>
        <w:t xml:space="preserve"> types</w:t>
      </w:r>
      <w:r w:rsidR="0046591A" w:rsidRPr="0046591A">
        <w:rPr>
          <w:lang w:val="en-GB"/>
        </w:rPr>
        <w:t xml:space="preserve"> (i.e., ALL, AML, CLL, and CML), breast cancer, and lung cancer in various biological fluids, including blood (Mohamed et al.</w:t>
      </w:r>
      <w:r w:rsidR="00EA6373">
        <w:rPr>
          <w:lang w:val="en-GB"/>
        </w:rPr>
        <w:t>,</w:t>
      </w:r>
      <w:r w:rsidR="0046591A" w:rsidRPr="0046591A">
        <w:rPr>
          <w:lang w:val="en-GB"/>
        </w:rPr>
        <w:t xml:space="preserve"> 2014; 2017; 2019; Liu et al.</w:t>
      </w:r>
      <w:r w:rsidR="00EA6373">
        <w:rPr>
          <w:lang w:val="en-GB"/>
        </w:rPr>
        <w:t>,</w:t>
      </w:r>
      <w:r w:rsidR="0046591A" w:rsidRPr="0046591A">
        <w:rPr>
          <w:lang w:val="en-GB"/>
        </w:rPr>
        <w:t xml:space="preserve"> 2023).</w:t>
      </w:r>
    </w:p>
    <w:p w14:paraId="123CB7DF" w14:textId="2535A50C" w:rsidR="00600535" w:rsidRDefault="00FA098E" w:rsidP="00FA098E">
      <w:pPr>
        <w:pStyle w:val="CETBodytext"/>
        <w:rPr>
          <w:lang w:val="en-GB"/>
        </w:rPr>
      </w:pPr>
      <w:r w:rsidRPr="00FA098E">
        <w:rPr>
          <w:lang w:val="en-GB"/>
        </w:rPr>
        <w:t xml:space="preserve">The SVM training, testing, and cross-validation accuracies were 100, 100, and 97.60%, respectively, with a total accuracy of 99.20% (Table </w:t>
      </w:r>
      <w:r w:rsidR="00730715">
        <w:rPr>
          <w:lang w:val="en-GB"/>
        </w:rPr>
        <w:t>1</w:t>
      </w:r>
      <w:r w:rsidRPr="00FA098E">
        <w:rPr>
          <w:lang w:val="en-GB"/>
        </w:rPr>
        <w:t>). The SVM model predictions were exceptionally close to the real values, with minimal deviation from the true data labels (i.e., cancer categories and HC), as by a mean absolute error of zero. With a scoring time of only 0.02 s, the SVM model was ideal for real-time applications. Moreover, the output vectors for all categories of blood samples were perfectly accurate with respect to sensitivity, specificity, recall, and F1-Score. The best cross-validation was achieved, as shown graphically in Fig</w:t>
      </w:r>
      <w:r w:rsidR="001F31BB">
        <w:rPr>
          <w:lang w:val="en-GB"/>
        </w:rPr>
        <w:t>ure</w:t>
      </w:r>
      <w:r w:rsidRPr="00FA098E">
        <w:rPr>
          <w:lang w:val="en-GB"/>
        </w:rPr>
        <w:t xml:space="preserve"> </w:t>
      </w:r>
      <w:r w:rsidR="001F31BB">
        <w:rPr>
          <w:lang w:val="en-GB"/>
        </w:rPr>
        <w:t>2</w:t>
      </w:r>
      <w:r w:rsidRPr="00FA098E">
        <w:rPr>
          <w:lang w:val="en-GB"/>
        </w:rPr>
        <w:t xml:space="preserve">A, which displays </w:t>
      </w:r>
      <w:r w:rsidRPr="00FA098E">
        <w:rPr>
          <w:lang w:val="en-GB"/>
        </w:rPr>
        <w:lastRenderedPageBreak/>
        <w:t xml:space="preserve">the accuracy score throughout the entire blood sample training set. Figure </w:t>
      </w:r>
      <w:r w:rsidR="00730715">
        <w:rPr>
          <w:lang w:val="en-GB"/>
        </w:rPr>
        <w:t>2</w:t>
      </w:r>
      <w:r w:rsidRPr="00FA098E">
        <w:rPr>
          <w:lang w:val="en-GB"/>
        </w:rPr>
        <w:t xml:space="preserve">B shows that the error rate of the model converged to zero by the end of training, thus the SVM model successfully learned E-Nose patterns, minimizing its errors over time. Error rate measurements showed a zero MAE, thus the SVM model outputs were accurate in predicting true values that coincided with the actual cancer and HC categories (Table </w:t>
      </w:r>
      <w:r w:rsidR="00730715">
        <w:rPr>
          <w:lang w:val="en-GB"/>
        </w:rPr>
        <w:t>1</w:t>
      </w:r>
      <w:r w:rsidRPr="00FA098E">
        <w:rPr>
          <w:lang w:val="en-GB"/>
        </w:rPr>
        <w:t>). The SVM model predictions had a flawless score of 100% for true positives and 0% for false negatives in the confusion matrix, with a sensitivity and specificity of 100% (Fig</w:t>
      </w:r>
      <w:r w:rsidR="00730715">
        <w:rPr>
          <w:lang w:val="en-GB"/>
        </w:rPr>
        <w:t>ure</w:t>
      </w:r>
      <w:r w:rsidRPr="00FA098E">
        <w:rPr>
          <w:lang w:val="en-GB"/>
        </w:rPr>
        <w:t xml:space="preserve"> </w:t>
      </w:r>
      <w:r w:rsidR="00730715">
        <w:rPr>
          <w:lang w:val="en-GB"/>
        </w:rPr>
        <w:t>2</w:t>
      </w:r>
      <w:r w:rsidRPr="00FA098E">
        <w:rPr>
          <w:lang w:val="en-GB"/>
        </w:rPr>
        <w:t>C). An AUC of 1.00 is the best possible performance on an ROC curve, thus, the SVM model accurately classified every single blood sample of various cancers and HC (Fig</w:t>
      </w:r>
      <w:r w:rsidR="00730715">
        <w:rPr>
          <w:lang w:val="en-GB"/>
        </w:rPr>
        <w:t>ure</w:t>
      </w:r>
      <w:r w:rsidRPr="00FA098E">
        <w:rPr>
          <w:lang w:val="en-GB"/>
        </w:rPr>
        <w:t xml:space="preserve"> </w:t>
      </w:r>
      <w:r w:rsidR="00730715">
        <w:rPr>
          <w:lang w:val="en-GB"/>
        </w:rPr>
        <w:t>2</w:t>
      </w:r>
      <w:r w:rsidRPr="00FA098E">
        <w:rPr>
          <w:lang w:val="en-GB"/>
        </w:rPr>
        <w:t>D).</w:t>
      </w:r>
    </w:p>
    <w:p w14:paraId="7CBA4D13" w14:textId="77777777" w:rsidR="00EA6373" w:rsidRPr="00B57B36" w:rsidRDefault="00EA6373" w:rsidP="00EA6373">
      <w:pPr>
        <w:pStyle w:val="CETCaption"/>
      </w:pPr>
      <w:r>
        <w:rPr>
          <w:noProof/>
        </w:rPr>
        <w:drawing>
          <wp:inline distT="0" distB="0" distL="0" distR="0" wp14:anchorId="360888E7" wp14:editId="4FBDE31B">
            <wp:extent cx="5559040" cy="4029075"/>
            <wp:effectExtent l="0" t="0" r="3810" b="0"/>
            <wp:docPr id="789957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253" cy="4148093"/>
                    </a:xfrm>
                    <a:prstGeom prst="rect">
                      <a:avLst/>
                    </a:prstGeom>
                    <a:noFill/>
                  </pic:spPr>
                </pic:pic>
              </a:graphicData>
            </a:graphic>
          </wp:inline>
        </w:drawing>
      </w:r>
    </w:p>
    <w:p w14:paraId="2265FB51" w14:textId="77777777" w:rsidR="00034DFD" w:rsidRDefault="00EA6373" w:rsidP="00EA6373">
      <w:pPr>
        <w:pStyle w:val="CETTabletitle"/>
        <w:rPr>
          <w:rStyle w:val="CETCaptionCarattere"/>
          <w:i/>
        </w:rPr>
      </w:pPr>
      <w:r w:rsidRPr="00BD077D">
        <w:rPr>
          <w:rStyle w:val="CETCaptionCarattere"/>
          <w:i/>
        </w:rPr>
        <w:t xml:space="preserve">Figure 1: </w:t>
      </w:r>
      <w:r w:rsidRPr="00730715">
        <w:rPr>
          <w:rStyle w:val="CETCaptionCarattere"/>
          <w:i/>
        </w:rPr>
        <w:t>Typical sensor responses (right panels) and principal component analysis (PCA) (left clusters) for blood samples.</w:t>
      </w:r>
    </w:p>
    <w:p w14:paraId="37C074CE" w14:textId="3D672047" w:rsidR="00031A0E" w:rsidRDefault="00031A0E" w:rsidP="00EA6373">
      <w:pPr>
        <w:pStyle w:val="CETTabletitle"/>
      </w:pPr>
      <w:r w:rsidRPr="00B57B36">
        <w:t xml:space="preserve">Table 1: </w:t>
      </w:r>
      <w:r w:rsidRPr="0052019C">
        <w:t xml:space="preserve">Support vector machine (SVM) training, validation, </w:t>
      </w:r>
      <w:r>
        <w:t xml:space="preserve">and </w:t>
      </w:r>
      <w:r w:rsidRPr="0052019C">
        <w:t>testing output results.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4"/>
        <w:gridCol w:w="4395"/>
      </w:tblGrid>
      <w:tr w:rsidR="00031A0E" w:rsidRPr="00B57B36" w14:paraId="709DA7ED" w14:textId="77777777" w:rsidTr="006D14E7">
        <w:tc>
          <w:tcPr>
            <w:tcW w:w="4394" w:type="dxa"/>
            <w:tcBorders>
              <w:top w:val="single" w:sz="12" w:space="0" w:color="008000"/>
              <w:bottom w:val="single" w:sz="6" w:space="0" w:color="008000"/>
            </w:tcBorders>
            <w:shd w:val="clear" w:color="auto" w:fill="FFFFFF"/>
          </w:tcPr>
          <w:p w14:paraId="6D4DE61D" w14:textId="77777777" w:rsidR="00031A0E" w:rsidRPr="00B57B36" w:rsidRDefault="00031A0E" w:rsidP="00BF4DA1">
            <w:pPr>
              <w:pStyle w:val="CETBodytext"/>
              <w:rPr>
                <w:lang w:val="en-GB"/>
              </w:rPr>
            </w:pPr>
          </w:p>
        </w:tc>
        <w:tc>
          <w:tcPr>
            <w:tcW w:w="4395" w:type="dxa"/>
            <w:tcBorders>
              <w:top w:val="single" w:sz="12" w:space="0" w:color="008000"/>
              <w:bottom w:val="single" w:sz="6" w:space="0" w:color="008000"/>
            </w:tcBorders>
            <w:shd w:val="clear" w:color="auto" w:fill="FFFFFF"/>
          </w:tcPr>
          <w:p w14:paraId="6081DA39" w14:textId="77777777" w:rsidR="00031A0E" w:rsidRPr="00B57B36" w:rsidRDefault="00031A0E" w:rsidP="00BF4DA1">
            <w:pPr>
              <w:pStyle w:val="CETBodytext"/>
              <w:rPr>
                <w:lang w:val="en-GB"/>
              </w:rPr>
            </w:pPr>
            <w:r w:rsidRPr="0052019C">
              <w:rPr>
                <w:lang w:val="en-GB"/>
              </w:rPr>
              <w:t>Output Result</w:t>
            </w:r>
          </w:p>
        </w:tc>
      </w:tr>
      <w:tr w:rsidR="00031A0E" w:rsidRPr="00B57B36" w14:paraId="4970FB31" w14:textId="77777777" w:rsidTr="006D14E7">
        <w:tc>
          <w:tcPr>
            <w:tcW w:w="4394" w:type="dxa"/>
            <w:shd w:val="clear" w:color="auto" w:fill="FFFFFF"/>
          </w:tcPr>
          <w:p w14:paraId="6B402C86" w14:textId="77777777" w:rsidR="00031A0E" w:rsidRPr="00B57B36" w:rsidRDefault="00031A0E" w:rsidP="00BF4DA1">
            <w:pPr>
              <w:pStyle w:val="CETBodytext"/>
              <w:rPr>
                <w:lang w:val="en-GB"/>
              </w:rPr>
            </w:pPr>
            <w:r w:rsidRPr="00D31C1F">
              <w:t>Training Accuracy (%)</w:t>
            </w:r>
          </w:p>
        </w:tc>
        <w:tc>
          <w:tcPr>
            <w:tcW w:w="4395" w:type="dxa"/>
            <w:shd w:val="clear" w:color="auto" w:fill="FFFFFF"/>
          </w:tcPr>
          <w:p w14:paraId="17F91395" w14:textId="77777777" w:rsidR="00031A0E" w:rsidRPr="00B57B36" w:rsidRDefault="00031A0E" w:rsidP="00BF4DA1">
            <w:pPr>
              <w:pStyle w:val="CETBodytext"/>
              <w:rPr>
                <w:lang w:val="en-GB"/>
              </w:rPr>
            </w:pPr>
            <w:r w:rsidRPr="002366DA">
              <w:t>100</w:t>
            </w:r>
          </w:p>
        </w:tc>
      </w:tr>
      <w:tr w:rsidR="00031A0E" w:rsidRPr="00B57B36" w14:paraId="17A09EB2" w14:textId="77777777" w:rsidTr="006D14E7">
        <w:tc>
          <w:tcPr>
            <w:tcW w:w="4394" w:type="dxa"/>
            <w:shd w:val="clear" w:color="auto" w:fill="FFFFFF"/>
          </w:tcPr>
          <w:p w14:paraId="0E616C42" w14:textId="77777777" w:rsidR="00031A0E" w:rsidRPr="00B57B36" w:rsidRDefault="00031A0E" w:rsidP="00BF4DA1">
            <w:pPr>
              <w:pStyle w:val="CETBodytext"/>
              <w:rPr>
                <w:lang w:val="en-GB"/>
              </w:rPr>
            </w:pPr>
            <w:r w:rsidRPr="00D31C1F">
              <w:t>Testing Accuracy (%)</w:t>
            </w:r>
          </w:p>
        </w:tc>
        <w:tc>
          <w:tcPr>
            <w:tcW w:w="4395" w:type="dxa"/>
            <w:shd w:val="clear" w:color="auto" w:fill="FFFFFF"/>
          </w:tcPr>
          <w:p w14:paraId="4A82D134" w14:textId="77777777" w:rsidR="00031A0E" w:rsidRPr="00B57B36" w:rsidRDefault="00031A0E" w:rsidP="00BF4DA1">
            <w:pPr>
              <w:pStyle w:val="CETBodytext"/>
              <w:rPr>
                <w:lang w:val="en-GB"/>
              </w:rPr>
            </w:pPr>
            <w:r w:rsidRPr="002366DA">
              <w:t>100</w:t>
            </w:r>
          </w:p>
        </w:tc>
      </w:tr>
      <w:tr w:rsidR="00031A0E" w:rsidRPr="00B57B36" w14:paraId="59DD5F54" w14:textId="77777777" w:rsidTr="006D14E7">
        <w:tc>
          <w:tcPr>
            <w:tcW w:w="4394" w:type="dxa"/>
            <w:shd w:val="clear" w:color="auto" w:fill="FFFFFF"/>
          </w:tcPr>
          <w:p w14:paraId="07F4CE3C" w14:textId="77777777" w:rsidR="00031A0E" w:rsidRPr="00B57B36" w:rsidRDefault="00031A0E" w:rsidP="00BF4DA1">
            <w:pPr>
              <w:pStyle w:val="CETBodytext"/>
              <w:rPr>
                <w:lang w:val="en-GB"/>
              </w:rPr>
            </w:pPr>
            <w:r w:rsidRPr="00D31C1F">
              <w:t>Validation Accuracy (%)</w:t>
            </w:r>
          </w:p>
        </w:tc>
        <w:tc>
          <w:tcPr>
            <w:tcW w:w="4395" w:type="dxa"/>
            <w:shd w:val="clear" w:color="auto" w:fill="FFFFFF"/>
          </w:tcPr>
          <w:p w14:paraId="559896C8" w14:textId="77777777" w:rsidR="00031A0E" w:rsidRPr="00B57B36" w:rsidRDefault="00031A0E" w:rsidP="00BF4DA1">
            <w:pPr>
              <w:pStyle w:val="CETBodytext"/>
              <w:rPr>
                <w:lang w:val="en-GB"/>
              </w:rPr>
            </w:pPr>
            <w:r w:rsidRPr="002366DA">
              <w:t>97.60</w:t>
            </w:r>
          </w:p>
        </w:tc>
      </w:tr>
      <w:tr w:rsidR="00031A0E" w:rsidRPr="00B57B36" w14:paraId="58160E3A" w14:textId="77777777" w:rsidTr="006D14E7">
        <w:tc>
          <w:tcPr>
            <w:tcW w:w="4394" w:type="dxa"/>
            <w:shd w:val="clear" w:color="auto" w:fill="FFFFFF"/>
          </w:tcPr>
          <w:p w14:paraId="1C9F1034" w14:textId="77777777" w:rsidR="00031A0E" w:rsidRPr="00B57B36" w:rsidRDefault="00031A0E" w:rsidP="00BF4DA1">
            <w:pPr>
              <w:pStyle w:val="CETBodytext"/>
              <w:rPr>
                <w:lang w:val="en-GB"/>
              </w:rPr>
            </w:pPr>
            <w:r w:rsidRPr="00D31C1F">
              <w:t>Total Accuracy (%)</w:t>
            </w:r>
          </w:p>
        </w:tc>
        <w:tc>
          <w:tcPr>
            <w:tcW w:w="4395" w:type="dxa"/>
            <w:shd w:val="clear" w:color="auto" w:fill="FFFFFF"/>
          </w:tcPr>
          <w:p w14:paraId="1D3D69F1" w14:textId="77777777" w:rsidR="00031A0E" w:rsidRPr="00B57B36" w:rsidRDefault="00031A0E" w:rsidP="00BF4DA1">
            <w:pPr>
              <w:pStyle w:val="CETBodytext"/>
              <w:rPr>
                <w:lang w:val="en-GB"/>
              </w:rPr>
            </w:pPr>
            <w:r w:rsidRPr="002366DA">
              <w:t>99.20</w:t>
            </w:r>
          </w:p>
        </w:tc>
      </w:tr>
      <w:tr w:rsidR="00031A0E" w:rsidRPr="00B57B36" w14:paraId="7BDEB33A" w14:textId="77777777" w:rsidTr="006D14E7">
        <w:tc>
          <w:tcPr>
            <w:tcW w:w="4394" w:type="dxa"/>
            <w:shd w:val="clear" w:color="auto" w:fill="FFFFFF"/>
          </w:tcPr>
          <w:p w14:paraId="612CB271" w14:textId="77777777" w:rsidR="00031A0E" w:rsidRPr="00B57B36" w:rsidRDefault="00031A0E" w:rsidP="00BF4DA1">
            <w:pPr>
              <w:pStyle w:val="CETBodytext"/>
              <w:rPr>
                <w:lang w:val="en-GB"/>
              </w:rPr>
            </w:pPr>
            <w:r w:rsidRPr="00D31C1F">
              <w:t>Fit Time (s)</w:t>
            </w:r>
          </w:p>
        </w:tc>
        <w:tc>
          <w:tcPr>
            <w:tcW w:w="4395" w:type="dxa"/>
            <w:shd w:val="clear" w:color="auto" w:fill="FFFFFF"/>
          </w:tcPr>
          <w:p w14:paraId="0AC67E0F" w14:textId="77777777" w:rsidR="00031A0E" w:rsidRPr="00B57B36" w:rsidRDefault="00031A0E" w:rsidP="00BF4DA1">
            <w:pPr>
              <w:pStyle w:val="CETBodytext"/>
              <w:rPr>
                <w:lang w:val="en-GB"/>
              </w:rPr>
            </w:pPr>
            <w:r w:rsidRPr="002366DA">
              <w:t>10.19</w:t>
            </w:r>
          </w:p>
        </w:tc>
      </w:tr>
      <w:tr w:rsidR="00031A0E" w:rsidRPr="00B57B36" w14:paraId="4EB4F08F" w14:textId="77777777" w:rsidTr="006D14E7">
        <w:tc>
          <w:tcPr>
            <w:tcW w:w="4394" w:type="dxa"/>
            <w:shd w:val="clear" w:color="auto" w:fill="FFFFFF"/>
          </w:tcPr>
          <w:p w14:paraId="298EB79A" w14:textId="77777777" w:rsidR="00031A0E" w:rsidRPr="00B57B36" w:rsidRDefault="00031A0E" w:rsidP="00BF4DA1">
            <w:pPr>
              <w:pStyle w:val="CETBodytext"/>
              <w:rPr>
                <w:lang w:val="en-GB"/>
              </w:rPr>
            </w:pPr>
            <w:r w:rsidRPr="00D31C1F">
              <w:t>Score Time (s)</w:t>
            </w:r>
          </w:p>
        </w:tc>
        <w:tc>
          <w:tcPr>
            <w:tcW w:w="4395" w:type="dxa"/>
            <w:shd w:val="clear" w:color="auto" w:fill="FFFFFF"/>
          </w:tcPr>
          <w:p w14:paraId="6326486A" w14:textId="77777777" w:rsidR="00031A0E" w:rsidRPr="00B57B36" w:rsidRDefault="00031A0E" w:rsidP="00BF4DA1">
            <w:pPr>
              <w:pStyle w:val="CETBodytext"/>
              <w:rPr>
                <w:lang w:val="en-GB"/>
              </w:rPr>
            </w:pPr>
            <w:r w:rsidRPr="002366DA">
              <w:t>0.02</w:t>
            </w:r>
          </w:p>
        </w:tc>
      </w:tr>
      <w:tr w:rsidR="00031A0E" w:rsidRPr="00B57B36" w14:paraId="2D0D4A64" w14:textId="77777777" w:rsidTr="006D14E7">
        <w:tc>
          <w:tcPr>
            <w:tcW w:w="4394" w:type="dxa"/>
            <w:shd w:val="clear" w:color="auto" w:fill="FFFFFF"/>
          </w:tcPr>
          <w:p w14:paraId="0E7D86ED" w14:textId="77777777" w:rsidR="00031A0E" w:rsidRPr="00B57B36" w:rsidRDefault="00031A0E" w:rsidP="00BF4DA1">
            <w:pPr>
              <w:pStyle w:val="CETBodytext"/>
              <w:rPr>
                <w:lang w:val="en-GB"/>
              </w:rPr>
            </w:pPr>
            <w:r w:rsidRPr="00D31C1F">
              <w:t>Mean Absolute Error (MAE)</w:t>
            </w:r>
          </w:p>
        </w:tc>
        <w:tc>
          <w:tcPr>
            <w:tcW w:w="4395" w:type="dxa"/>
            <w:shd w:val="clear" w:color="auto" w:fill="FFFFFF"/>
          </w:tcPr>
          <w:p w14:paraId="00ADF7EF" w14:textId="77777777" w:rsidR="00031A0E" w:rsidRPr="00B57B36" w:rsidRDefault="00031A0E" w:rsidP="00BF4DA1">
            <w:pPr>
              <w:pStyle w:val="CETBodytext"/>
              <w:rPr>
                <w:lang w:val="en-GB"/>
              </w:rPr>
            </w:pPr>
            <w:r w:rsidRPr="002366DA">
              <w:t>0.00</w:t>
            </w:r>
          </w:p>
        </w:tc>
      </w:tr>
      <w:tr w:rsidR="00031A0E" w:rsidRPr="00B57B36" w14:paraId="43323A60" w14:textId="77777777" w:rsidTr="006D14E7">
        <w:tc>
          <w:tcPr>
            <w:tcW w:w="4394" w:type="dxa"/>
            <w:shd w:val="clear" w:color="auto" w:fill="FFFFFF"/>
          </w:tcPr>
          <w:p w14:paraId="71EBAB81" w14:textId="77777777" w:rsidR="00031A0E" w:rsidRPr="00B57B36" w:rsidRDefault="00031A0E" w:rsidP="00BF4DA1">
            <w:pPr>
              <w:pStyle w:val="CETBodytext"/>
              <w:rPr>
                <w:lang w:val="en-GB"/>
              </w:rPr>
            </w:pPr>
            <w:r w:rsidRPr="00D31C1F">
              <w:t>Precision (%)</w:t>
            </w:r>
          </w:p>
        </w:tc>
        <w:tc>
          <w:tcPr>
            <w:tcW w:w="4395" w:type="dxa"/>
            <w:shd w:val="clear" w:color="auto" w:fill="FFFFFF"/>
          </w:tcPr>
          <w:p w14:paraId="791F5CA6" w14:textId="77777777" w:rsidR="00031A0E" w:rsidRPr="00B57B36" w:rsidRDefault="00031A0E" w:rsidP="00BF4DA1">
            <w:pPr>
              <w:pStyle w:val="CETBodytext"/>
              <w:rPr>
                <w:lang w:val="en-GB"/>
              </w:rPr>
            </w:pPr>
            <w:r w:rsidRPr="002366DA">
              <w:t>100</w:t>
            </w:r>
          </w:p>
        </w:tc>
      </w:tr>
      <w:tr w:rsidR="00031A0E" w:rsidRPr="00B57B36" w14:paraId="6936E2F5" w14:textId="77777777" w:rsidTr="006D14E7">
        <w:tc>
          <w:tcPr>
            <w:tcW w:w="4394" w:type="dxa"/>
            <w:shd w:val="clear" w:color="auto" w:fill="FFFFFF"/>
          </w:tcPr>
          <w:p w14:paraId="78F64844" w14:textId="77777777" w:rsidR="00031A0E" w:rsidRPr="00B57B36" w:rsidRDefault="00031A0E" w:rsidP="00BF4DA1">
            <w:pPr>
              <w:pStyle w:val="CETBodytext"/>
              <w:rPr>
                <w:lang w:val="en-GB"/>
              </w:rPr>
            </w:pPr>
            <w:r w:rsidRPr="00D31C1F">
              <w:t>Sensitivity (%)</w:t>
            </w:r>
          </w:p>
        </w:tc>
        <w:tc>
          <w:tcPr>
            <w:tcW w:w="4395" w:type="dxa"/>
            <w:shd w:val="clear" w:color="auto" w:fill="FFFFFF"/>
          </w:tcPr>
          <w:p w14:paraId="1B3F5F47" w14:textId="77777777" w:rsidR="00031A0E" w:rsidRPr="00B57B36" w:rsidRDefault="00031A0E" w:rsidP="00BF4DA1">
            <w:pPr>
              <w:pStyle w:val="CETBodytext"/>
              <w:rPr>
                <w:lang w:val="en-GB"/>
              </w:rPr>
            </w:pPr>
            <w:r w:rsidRPr="002366DA">
              <w:t>100</w:t>
            </w:r>
          </w:p>
        </w:tc>
      </w:tr>
      <w:tr w:rsidR="00031A0E" w:rsidRPr="00B57B36" w14:paraId="6038BE8B" w14:textId="77777777" w:rsidTr="006D14E7">
        <w:tc>
          <w:tcPr>
            <w:tcW w:w="4394" w:type="dxa"/>
            <w:shd w:val="clear" w:color="auto" w:fill="FFFFFF"/>
          </w:tcPr>
          <w:p w14:paraId="79ADCBBC" w14:textId="77777777" w:rsidR="00031A0E" w:rsidRPr="00B57B36" w:rsidRDefault="00031A0E" w:rsidP="00BF4DA1">
            <w:pPr>
              <w:pStyle w:val="CETBodytext"/>
              <w:rPr>
                <w:lang w:val="en-GB"/>
              </w:rPr>
            </w:pPr>
            <w:r w:rsidRPr="00D31C1F">
              <w:t>Specificity (%)</w:t>
            </w:r>
          </w:p>
        </w:tc>
        <w:tc>
          <w:tcPr>
            <w:tcW w:w="4395" w:type="dxa"/>
            <w:shd w:val="clear" w:color="auto" w:fill="FFFFFF"/>
          </w:tcPr>
          <w:p w14:paraId="1B6DD95E" w14:textId="77777777" w:rsidR="00031A0E" w:rsidRPr="00B57B36" w:rsidRDefault="00031A0E" w:rsidP="00BF4DA1">
            <w:pPr>
              <w:pStyle w:val="CETBodytext"/>
              <w:rPr>
                <w:lang w:val="en-GB"/>
              </w:rPr>
            </w:pPr>
            <w:r w:rsidRPr="002366DA">
              <w:t>100</w:t>
            </w:r>
          </w:p>
        </w:tc>
      </w:tr>
      <w:tr w:rsidR="00031A0E" w:rsidRPr="00B57B36" w14:paraId="2E12CB2E" w14:textId="77777777" w:rsidTr="006D14E7">
        <w:tc>
          <w:tcPr>
            <w:tcW w:w="4394" w:type="dxa"/>
            <w:shd w:val="clear" w:color="auto" w:fill="FFFFFF"/>
          </w:tcPr>
          <w:p w14:paraId="7BF2BAB3" w14:textId="77777777" w:rsidR="00031A0E" w:rsidRPr="00B57B36" w:rsidRDefault="00031A0E" w:rsidP="00BF4DA1">
            <w:pPr>
              <w:pStyle w:val="CETBodytext"/>
              <w:rPr>
                <w:lang w:val="en-GB"/>
              </w:rPr>
            </w:pPr>
            <w:r w:rsidRPr="00D31C1F">
              <w:t>Recall (%)</w:t>
            </w:r>
          </w:p>
        </w:tc>
        <w:tc>
          <w:tcPr>
            <w:tcW w:w="4395" w:type="dxa"/>
            <w:shd w:val="clear" w:color="auto" w:fill="FFFFFF"/>
          </w:tcPr>
          <w:p w14:paraId="29F16DEC" w14:textId="77777777" w:rsidR="00031A0E" w:rsidRPr="00B57B36" w:rsidRDefault="00031A0E" w:rsidP="00BF4DA1">
            <w:pPr>
              <w:pStyle w:val="CETBodytext"/>
              <w:rPr>
                <w:lang w:val="en-GB"/>
              </w:rPr>
            </w:pPr>
            <w:r w:rsidRPr="002366DA">
              <w:t>100</w:t>
            </w:r>
          </w:p>
        </w:tc>
      </w:tr>
      <w:tr w:rsidR="00031A0E" w:rsidRPr="00B57B36" w14:paraId="4F3097DF" w14:textId="77777777" w:rsidTr="006D14E7">
        <w:tc>
          <w:tcPr>
            <w:tcW w:w="4394" w:type="dxa"/>
            <w:shd w:val="clear" w:color="auto" w:fill="FFFFFF"/>
          </w:tcPr>
          <w:p w14:paraId="22097263" w14:textId="77777777" w:rsidR="00031A0E" w:rsidRPr="00B57B36" w:rsidRDefault="00031A0E" w:rsidP="00BF4DA1">
            <w:pPr>
              <w:pStyle w:val="CETBodytext"/>
              <w:ind w:right="-1"/>
              <w:rPr>
                <w:rFonts w:cs="Arial"/>
                <w:szCs w:val="18"/>
                <w:lang w:val="en-GB"/>
              </w:rPr>
            </w:pPr>
            <w:r w:rsidRPr="00D31C1F">
              <w:t>F1-Score (%)</w:t>
            </w:r>
          </w:p>
        </w:tc>
        <w:tc>
          <w:tcPr>
            <w:tcW w:w="4395" w:type="dxa"/>
            <w:shd w:val="clear" w:color="auto" w:fill="FFFFFF"/>
          </w:tcPr>
          <w:p w14:paraId="5F760F2A" w14:textId="77777777" w:rsidR="00031A0E" w:rsidRPr="00B57B36" w:rsidRDefault="00031A0E" w:rsidP="00BF4DA1">
            <w:pPr>
              <w:pStyle w:val="CETBodytext"/>
              <w:ind w:right="-1"/>
              <w:rPr>
                <w:rFonts w:cs="Arial"/>
                <w:szCs w:val="18"/>
                <w:lang w:val="en-GB"/>
              </w:rPr>
            </w:pPr>
            <w:r w:rsidRPr="002366DA">
              <w:t>100</w:t>
            </w:r>
          </w:p>
        </w:tc>
      </w:tr>
    </w:tbl>
    <w:p w14:paraId="101A2FD6" w14:textId="77777777" w:rsidR="00031A0E" w:rsidRDefault="00031A0E" w:rsidP="00031A0E">
      <w:pPr>
        <w:pStyle w:val="CETBodytext"/>
        <w:rPr>
          <w:lang w:val="en-GB"/>
        </w:rPr>
      </w:pPr>
    </w:p>
    <w:p w14:paraId="1B4C6026" w14:textId="60AE67B1" w:rsidR="00031A0E" w:rsidRDefault="00031A0E" w:rsidP="00031A0E">
      <w:pPr>
        <w:pStyle w:val="CETBodytext"/>
        <w:rPr>
          <w:lang w:val="en-GB"/>
        </w:rPr>
      </w:pPr>
      <w:r w:rsidRPr="0046591A">
        <w:rPr>
          <w:lang w:val="en-GB"/>
        </w:rPr>
        <w:t xml:space="preserve">Adding to the outstanding results of the SVM model—high accuracy, zero error rate, and perfect confusion matrix scores—further evaluation of PCA discrimination capacity by the SVM algorithm revealed a perfect AUC </w:t>
      </w:r>
      <w:r w:rsidRPr="0046591A">
        <w:rPr>
          <w:lang w:val="en-GB"/>
        </w:rPr>
        <w:lastRenderedPageBreak/>
        <w:t xml:space="preserve">(i.e., 1.00). This AUC score suggests the SVM algorithm holds tremendous potential for accurate blood-based cancer diagnosis. These results agree with our recent findings employing deep learning-based computer-aided systems to detect COVID-19 patients in chest X-ray images </w:t>
      </w:r>
      <w:r w:rsidR="00BD561A" w:rsidRPr="0046591A">
        <w:rPr>
          <w:lang w:val="en-GB"/>
        </w:rPr>
        <w:t>(Salama et al.</w:t>
      </w:r>
      <w:r w:rsidR="00BD561A">
        <w:rPr>
          <w:lang w:val="en-GB"/>
        </w:rPr>
        <w:t>,</w:t>
      </w:r>
      <w:r w:rsidR="00BD561A" w:rsidRPr="0046591A">
        <w:rPr>
          <w:lang w:val="en-GB"/>
        </w:rPr>
        <w:t xml:space="preserve"> 2021</w:t>
      </w:r>
      <w:r w:rsidR="00BD561A">
        <w:rPr>
          <w:lang w:val="en-GB"/>
        </w:rPr>
        <w:t xml:space="preserve">) </w:t>
      </w:r>
      <w:r w:rsidRPr="0046591A">
        <w:rPr>
          <w:lang w:val="en-GB"/>
        </w:rPr>
        <w:t xml:space="preserve">and abdominal lymphadenopathy patients in CT scans </w:t>
      </w:r>
      <w:r w:rsidR="00BD561A">
        <w:rPr>
          <w:lang w:val="en-GB"/>
        </w:rPr>
        <w:t>(</w:t>
      </w:r>
      <w:r w:rsidRPr="0046591A">
        <w:rPr>
          <w:lang w:val="en-GB"/>
        </w:rPr>
        <w:t>Meshref et al.</w:t>
      </w:r>
      <w:r>
        <w:rPr>
          <w:lang w:val="en-GB"/>
        </w:rPr>
        <w:t>,</w:t>
      </w:r>
      <w:r w:rsidRPr="0046591A">
        <w:rPr>
          <w:lang w:val="en-GB"/>
        </w:rPr>
        <w:t xml:space="preserve"> 2023). Based on the high accuracy, sensitivity, and specificity achieved in this study, ML-based E-Noses could be a</w:t>
      </w:r>
      <w:r w:rsidR="00BD561A">
        <w:rPr>
          <w:lang w:val="en-GB"/>
        </w:rPr>
        <w:t xml:space="preserve"> reliable </w:t>
      </w:r>
      <w:r w:rsidRPr="0046591A">
        <w:rPr>
          <w:lang w:val="en-GB"/>
        </w:rPr>
        <w:t>alternative or complimentary tool for early cancer detection and personalized medicine (</w:t>
      </w:r>
      <w:proofErr w:type="spellStart"/>
      <w:r w:rsidRPr="0046591A">
        <w:rPr>
          <w:lang w:val="en-GB"/>
        </w:rPr>
        <w:t>Ferraia</w:t>
      </w:r>
      <w:proofErr w:type="spellEnd"/>
      <w:r w:rsidRPr="0046591A">
        <w:rPr>
          <w:lang w:val="en-GB"/>
        </w:rPr>
        <w:t xml:space="preserve"> et al.</w:t>
      </w:r>
      <w:r>
        <w:rPr>
          <w:lang w:val="en-GB"/>
        </w:rPr>
        <w:t>,</w:t>
      </w:r>
      <w:r w:rsidRPr="0046591A">
        <w:rPr>
          <w:lang w:val="en-GB"/>
        </w:rPr>
        <w:t xml:space="preserve"> 2019; Scheepers et al.</w:t>
      </w:r>
      <w:r>
        <w:rPr>
          <w:lang w:val="en-GB"/>
        </w:rPr>
        <w:t>,</w:t>
      </w:r>
      <w:r w:rsidRPr="0046591A">
        <w:rPr>
          <w:lang w:val="en-GB"/>
        </w:rPr>
        <w:t xml:space="preserve"> 2022).</w:t>
      </w:r>
    </w:p>
    <w:p w14:paraId="5167C596" w14:textId="77777777" w:rsidR="00F93422" w:rsidRPr="00B57B36" w:rsidRDefault="00F93422" w:rsidP="00031A0E">
      <w:pPr>
        <w:pStyle w:val="CETBodytext"/>
        <w:rPr>
          <w:lang w:val="en-GB"/>
        </w:rPr>
      </w:pPr>
    </w:p>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3"/>
        <w:gridCol w:w="4394"/>
      </w:tblGrid>
      <w:tr w:rsidR="00A6515F" w14:paraId="3A7891BE" w14:textId="77777777" w:rsidTr="00A6515F">
        <w:tc>
          <w:tcPr>
            <w:tcW w:w="4393" w:type="dxa"/>
          </w:tcPr>
          <w:p w14:paraId="5838FFEB" w14:textId="5BB45A3F" w:rsidR="00F47C0B" w:rsidRDefault="00E87A41" w:rsidP="00FD5727">
            <w:pPr>
              <w:pStyle w:val="CETCaption"/>
              <w:spacing w:before="0" w:after="0" w:line="240" w:lineRule="auto"/>
            </w:pPr>
            <w:r w:rsidRPr="00853F7C">
              <w:rPr>
                <w:rFonts w:asciiTheme="majorBidi" w:hAnsiTheme="majorBidi" w:cstheme="majorBidi"/>
                <w:b/>
                <w:noProof/>
              </w:rPr>
              <w:drawing>
                <wp:anchor distT="0" distB="0" distL="114300" distR="114300" simplePos="0" relativeHeight="251658240" behindDoc="0" locked="0" layoutInCell="1" allowOverlap="1" wp14:anchorId="77D2D836" wp14:editId="4C2718EB">
                  <wp:simplePos x="0" y="0"/>
                  <wp:positionH relativeFrom="column">
                    <wp:posOffset>339090</wp:posOffset>
                  </wp:positionH>
                  <wp:positionV relativeFrom="paragraph">
                    <wp:posOffset>843915</wp:posOffset>
                  </wp:positionV>
                  <wp:extent cx="428625" cy="499110"/>
                  <wp:effectExtent l="0" t="0" r="9525" b="0"/>
                  <wp:wrapNone/>
                  <wp:docPr id="193240023" name="Picture 193240023">
                    <a:extLst xmlns:a="http://schemas.openxmlformats.org/drawingml/2006/main">
                      <a:ext uri="{FF2B5EF4-FFF2-40B4-BE49-F238E27FC236}">
                        <a16:creationId xmlns:a16="http://schemas.microsoft.com/office/drawing/2014/main" id="{BF2DCD3A-B5FC-8CCA-7405-82ABD06B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F2DCD3A-B5FC-8CCA-7405-82ABD06B084D}"/>
                              </a:ext>
                            </a:extLst>
                          </pic:cNvPr>
                          <pic:cNvPicPr>
                            <a:picLocks noChangeAspect="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8625" cy="499110"/>
                          </a:xfrm>
                          <a:prstGeom prst="rect">
                            <a:avLst/>
                          </a:prstGeom>
                          <a:noFill/>
                        </pic:spPr>
                      </pic:pic>
                    </a:graphicData>
                  </a:graphic>
                  <wp14:sizeRelH relativeFrom="page">
                    <wp14:pctWidth>0</wp14:pctWidth>
                  </wp14:sizeRelH>
                  <wp14:sizeRelV relativeFrom="page">
                    <wp14:pctHeight>0</wp14:pctHeight>
                  </wp14:sizeRelV>
                </wp:anchor>
              </w:drawing>
            </w:r>
            <w:r w:rsidR="00F47C0B">
              <w:rPr>
                <w:noProof/>
                <w:color w:val="FF0000"/>
                <w:sz w:val="40"/>
                <w:szCs w:val="40"/>
              </w:rPr>
              <w:drawing>
                <wp:inline distT="0" distB="0" distL="0" distR="0" wp14:anchorId="74042ED1" wp14:editId="4F5DB5BF">
                  <wp:extent cx="2667764" cy="1781810"/>
                  <wp:effectExtent l="0" t="0" r="0" b="8890"/>
                  <wp:docPr id="360489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89780" name="Picture 360489780"/>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7262"/>
                          <a:stretch/>
                        </pic:blipFill>
                        <pic:spPr bwMode="auto">
                          <a:xfrm>
                            <a:off x="0" y="0"/>
                            <a:ext cx="2729829" cy="1823263"/>
                          </a:xfrm>
                          <a:prstGeom prst="rect">
                            <a:avLst/>
                          </a:prstGeom>
                          <a:ln>
                            <a:noFill/>
                          </a:ln>
                          <a:extLst>
                            <a:ext uri="{53640926-AAD7-44D8-BBD7-CCE9431645EC}">
                              <a14:shadowObscured xmlns:a14="http://schemas.microsoft.com/office/drawing/2010/main"/>
                            </a:ext>
                          </a:extLst>
                        </pic:spPr>
                      </pic:pic>
                    </a:graphicData>
                  </a:graphic>
                </wp:inline>
              </w:drawing>
            </w:r>
          </w:p>
        </w:tc>
        <w:tc>
          <w:tcPr>
            <w:tcW w:w="4394" w:type="dxa"/>
          </w:tcPr>
          <w:p w14:paraId="1DBEC42C" w14:textId="71CB40EA" w:rsidR="00F47C0B" w:rsidRDefault="00E87A41" w:rsidP="00FD5727">
            <w:pPr>
              <w:pStyle w:val="CETCaption"/>
              <w:spacing w:before="0" w:after="0" w:line="240" w:lineRule="auto"/>
            </w:pPr>
            <w:r w:rsidRPr="00D60520">
              <w:rPr>
                <w:rFonts w:asciiTheme="majorBidi" w:hAnsiTheme="majorBidi" w:cstheme="majorBidi"/>
                <w:b/>
                <w:noProof/>
              </w:rPr>
              <w:drawing>
                <wp:anchor distT="0" distB="0" distL="114300" distR="114300" simplePos="0" relativeHeight="251659264" behindDoc="0" locked="0" layoutInCell="1" allowOverlap="1" wp14:anchorId="6860FC1A" wp14:editId="2296C3D0">
                  <wp:simplePos x="0" y="0"/>
                  <wp:positionH relativeFrom="column">
                    <wp:posOffset>341630</wp:posOffset>
                  </wp:positionH>
                  <wp:positionV relativeFrom="paragraph">
                    <wp:posOffset>889635</wp:posOffset>
                  </wp:positionV>
                  <wp:extent cx="407035" cy="485775"/>
                  <wp:effectExtent l="0" t="0" r="0" b="0"/>
                  <wp:wrapNone/>
                  <wp:docPr id="3" name="Picture 2">
                    <a:extLst xmlns:a="http://schemas.openxmlformats.org/drawingml/2006/main">
                      <a:ext uri="{FF2B5EF4-FFF2-40B4-BE49-F238E27FC236}">
                        <a16:creationId xmlns:a16="http://schemas.microsoft.com/office/drawing/2014/main" id="{6859F067-9310-5760-551E-D43BD69632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859F067-9310-5760-551E-D43BD6963260}"/>
                              </a:ext>
                            </a:extLst>
                          </pic:cNvPr>
                          <pic:cNvPicPr>
                            <a:picLocks noChangeAspect="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7035" cy="485775"/>
                          </a:xfrm>
                          <a:prstGeom prst="rect">
                            <a:avLst/>
                          </a:prstGeom>
                          <a:noFill/>
                        </pic:spPr>
                      </pic:pic>
                    </a:graphicData>
                  </a:graphic>
                  <wp14:sizeRelH relativeFrom="page">
                    <wp14:pctWidth>0</wp14:pctWidth>
                  </wp14:sizeRelH>
                  <wp14:sizeRelV relativeFrom="page">
                    <wp14:pctHeight>0</wp14:pctHeight>
                  </wp14:sizeRelV>
                </wp:anchor>
              </w:drawing>
            </w:r>
            <w:r w:rsidR="00F47C0B">
              <w:rPr>
                <w:noProof/>
                <w:color w:val="FF0000"/>
                <w:sz w:val="40"/>
                <w:szCs w:val="40"/>
              </w:rPr>
              <w:drawing>
                <wp:inline distT="0" distB="0" distL="0" distR="0" wp14:anchorId="0D7B1179" wp14:editId="54A88D67">
                  <wp:extent cx="2676525" cy="1782171"/>
                  <wp:effectExtent l="0" t="0" r="0" b="0"/>
                  <wp:docPr id="315555785" name="Picture 8" descr="A picture containing line, text,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55785" name="Picture 8" descr="A picture containing line, text, plot, diagram&#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t="1901"/>
                          <a:stretch/>
                        </pic:blipFill>
                        <pic:spPr bwMode="auto">
                          <a:xfrm>
                            <a:off x="0" y="0"/>
                            <a:ext cx="2676525" cy="1782171"/>
                          </a:xfrm>
                          <a:prstGeom prst="rect">
                            <a:avLst/>
                          </a:prstGeom>
                          <a:ln>
                            <a:noFill/>
                          </a:ln>
                          <a:extLst>
                            <a:ext uri="{53640926-AAD7-44D8-BBD7-CCE9431645EC}">
                              <a14:shadowObscured xmlns:a14="http://schemas.microsoft.com/office/drawing/2010/main"/>
                            </a:ext>
                          </a:extLst>
                        </pic:spPr>
                      </pic:pic>
                    </a:graphicData>
                  </a:graphic>
                </wp:inline>
              </w:drawing>
            </w:r>
          </w:p>
        </w:tc>
      </w:tr>
      <w:tr w:rsidR="00A6515F" w14:paraId="591A5A61" w14:textId="77777777" w:rsidTr="00A6515F">
        <w:tc>
          <w:tcPr>
            <w:tcW w:w="4393" w:type="dxa"/>
          </w:tcPr>
          <w:p w14:paraId="3E7C03FC" w14:textId="77321A7C" w:rsidR="00F47C0B" w:rsidRDefault="00FD5727" w:rsidP="00FD5727">
            <w:pPr>
              <w:pStyle w:val="CETCaption"/>
              <w:spacing w:before="0" w:after="0" w:line="240" w:lineRule="auto"/>
            </w:pPr>
            <w:r w:rsidRPr="00853F7C">
              <w:rPr>
                <w:rFonts w:asciiTheme="majorBidi" w:hAnsiTheme="majorBidi" w:cstheme="majorBidi"/>
                <w:b/>
                <w:noProof/>
              </w:rPr>
              <w:drawing>
                <wp:anchor distT="0" distB="0" distL="114300" distR="114300" simplePos="0" relativeHeight="251661312" behindDoc="0" locked="0" layoutInCell="1" allowOverlap="1" wp14:anchorId="0E042740" wp14:editId="6B9F16CA">
                  <wp:simplePos x="0" y="0"/>
                  <wp:positionH relativeFrom="column">
                    <wp:posOffset>270510</wp:posOffset>
                  </wp:positionH>
                  <wp:positionV relativeFrom="paragraph">
                    <wp:posOffset>933450</wp:posOffset>
                  </wp:positionV>
                  <wp:extent cx="405765" cy="495300"/>
                  <wp:effectExtent l="0" t="0" r="0" b="0"/>
                  <wp:wrapNone/>
                  <wp:docPr id="4" name="Picture 3">
                    <a:extLst xmlns:a="http://schemas.openxmlformats.org/drawingml/2006/main">
                      <a:ext uri="{FF2B5EF4-FFF2-40B4-BE49-F238E27FC236}">
                        <a16:creationId xmlns:a16="http://schemas.microsoft.com/office/drawing/2014/main" id="{EA591A1D-64E0-1816-D8CB-C4C40C2A7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A591A1D-64E0-1816-D8CB-C4C40C2A71D4}"/>
                              </a:ext>
                            </a:extLst>
                          </pic:cNvPr>
                          <pic:cNvPicPr>
                            <a:picLocks noChangeAspect="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576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rPr>
              <w:drawing>
                <wp:inline distT="0" distB="0" distL="0" distR="0" wp14:anchorId="4898149D" wp14:editId="3B97E2EA">
                  <wp:extent cx="2714625" cy="1842643"/>
                  <wp:effectExtent l="0" t="0" r="0" b="5715"/>
                  <wp:docPr id="1863536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36002" name="Picture 1863536002"/>
                          <pic:cNvPicPr/>
                        </pic:nvPicPr>
                        <pic:blipFill rotWithShape="1">
                          <a:blip r:embed="rId18">
                            <a:extLst>
                              <a:ext uri="{BEBA8EAE-BF5A-486C-A8C5-ECC9F3942E4B}">
                                <a14:imgProps xmlns:a14="http://schemas.microsoft.com/office/drawing/2010/main">
                                  <a14:imgLayer r:embed="rId1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4551"/>
                          <a:stretch/>
                        </pic:blipFill>
                        <pic:spPr bwMode="auto">
                          <a:xfrm>
                            <a:off x="0" y="0"/>
                            <a:ext cx="2751093" cy="1867397"/>
                          </a:xfrm>
                          <a:prstGeom prst="rect">
                            <a:avLst/>
                          </a:prstGeom>
                          <a:ln>
                            <a:noFill/>
                          </a:ln>
                          <a:extLst>
                            <a:ext uri="{53640926-AAD7-44D8-BBD7-CCE9431645EC}">
                              <a14:shadowObscured xmlns:a14="http://schemas.microsoft.com/office/drawing/2010/main"/>
                            </a:ext>
                          </a:extLst>
                        </pic:spPr>
                      </pic:pic>
                    </a:graphicData>
                  </a:graphic>
                </wp:inline>
              </w:drawing>
            </w:r>
          </w:p>
        </w:tc>
        <w:tc>
          <w:tcPr>
            <w:tcW w:w="4394" w:type="dxa"/>
          </w:tcPr>
          <w:p w14:paraId="36B1ABD8" w14:textId="3FA402BA" w:rsidR="00F47C0B" w:rsidRDefault="00FD5727" w:rsidP="00FD5727">
            <w:pPr>
              <w:pStyle w:val="CETCaption"/>
              <w:spacing w:before="0" w:after="0" w:line="240" w:lineRule="auto"/>
            </w:pPr>
            <w:r w:rsidRPr="0094240E">
              <w:rPr>
                <w:rFonts w:asciiTheme="majorBidi" w:hAnsiTheme="majorBidi" w:cstheme="majorBidi"/>
                <w:b/>
                <w:noProof/>
              </w:rPr>
              <w:drawing>
                <wp:anchor distT="0" distB="0" distL="114300" distR="114300" simplePos="0" relativeHeight="251660288" behindDoc="0" locked="0" layoutInCell="1" allowOverlap="1" wp14:anchorId="5458046F" wp14:editId="5939F217">
                  <wp:simplePos x="0" y="0"/>
                  <wp:positionH relativeFrom="column">
                    <wp:posOffset>278765</wp:posOffset>
                  </wp:positionH>
                  <wp:positionV relativeFrom="paragraph">
                    <wp:posOffset>1185545</wp:posOffset>
                  </wp:positionV>
                  <wp:extent cx="433705" cy="495300"/>
                  <wp:effectExtent l="0" t="0" r="0" b="0"/>
                  <wp:wrapNone/>
                  <wp:docPr id="1441412807" name="Picture 4">
                    <a:extLst xmlns:a="http://schemas.openxmlformats.org/drawingml/2006/main">
                      <a:ext uri="{FF2B5EF4-FFF2-40B4-BE49-F238E27FC236}">
                        <a16:creationId xmlns:a16="http://schemas.microsoft.com/office/drawing/2014/main" id="{7922D8AD-9C52-94F2-7EC1-ECE4FDF3B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922D8AD-9C52-94F2-7EC1-ECE4FDF3B1B3}"/>
                              </a:ext>
                            </a:extLst>
                          </pic:cNvPr>
                          <pic:cNvPicPr>
                            <a:picLocks noChangeAspect="1"/>
                          </pic:cNvPicPr>
                        </pic:nvPicPr>
                        <pic:blipFill>
                          <a:blip r:embed="rId2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370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rPr>
              <w:drawing>
                <wp:inline distT="0" distB="0" distL="0" distR="0" wp14:anchorId="217BB087" wp14:editId="16C23B6A">
                  <wp:extent cx="2676525" cy="1772530"/>
                  <wp:effectExtent l="0" t="0" r="0" b="0"/>
                  <wp:docPr id="151713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3902" name="Picture 151713902"/>
                          <pic:cNvPicPr/>
                        </pic:nvPicPr>
                        <pic:blipFill>
                          <a:blip r:embed="rId21">
                            <a:extLst>
                              <a:ext uri="{BEBA8EAE-BF5A-486C-A8C5-ECC9F3942E4B}">
                                <a14:imgProps xmlns:a14="http://schemas.microsoft.com/office/drawing/2010/main">
                                  <a14:imgLayer r:embed="rId22">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677285" cy="1773033"/>
                          </a:xfrm>
                          <a:prstGeom prst="rect">
                            <a:avLst/>
                          </a:prstGeom>
                        </pic:spPr>
                      </pic:pic>
                    </a:graphicData>
                  </a:graphic>
                </wp:inline>
              </w:drawing>
            </w:r>
          </w:p>
        </w:tc>
      </w:tr>
    </w:tbl>
    <w:p w14:paraId="4AC5F304" w14:textId="7C07EE9F" w:rsidR="0052019C" w:rsidRPr="00BD077D" w:rsidRDefault="0052019C" w:rsidP="0052019C">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Pr="0052019C">
        <w:rPr>
          <w:rStyle w:val="CETCaptionCarattere"/>
          <w:i/>
        </w:rPr>
        <w:t xml:space="preserve">Support vector machine (SVM) learning performance </w:t>
      </w:r>
      <w:r w:rsidR="009C43F6">
        <w:rPr>
          <w:rStyle w:val="CETCaptionCarattere"/>
          <w:i/>
        </w:rPr>
        <w:t>of</w:t>
      </w:r>
      <w:r w:rsidRPr="0052019C">
        <w:rPr>
          <w:rStyle w:val="CETCaptionCarattere"/>
          <w:i/>
        </w:rPr>
        <w:t xml:space="preserve"> the training and cross</w:t>
      </w:r>
      <w:r w:rsidR="00BD561A">
        <w:rPr>
          <w:rStyle w:val="CETCaptionCarattere"/>
          <w:i/>
        </w:rPr>
        <w:t>-</w:t>
      </w:r>
      <w:r w:rsidRPr="0052019C">
        <w:rPr>
          <w:rStyle w:val="CETCaptionCarattere"/>
          <w:i/>
        </w:rPr>
        <w:t>validation score curves (A), error rate curve (B), receiver characteristic curve (ROC) (C), and the classification confusion matrix (D).</w:t>
      </w:r>
    </w:p>
    <w:p w14:paraId="68D26B83" w14:textId="77777777" w:rsidR="00600535" w:rsidRPr="00B57B36" w:rsidRDefault="00600535" w:rsidP="00600535">
      <w:pPr>
        <w:pStyle w:val="CETHeading1"/>
        <w:rPr>
          <w:lang w:val="en-GB"/>
        </w:rPr>
      </w:pPr>
      <w:r w:rsidRPr="00B57B36">
        <w:rPr>
          <w:lang w:val="en-GB"/>
        </w:rPr>
        <w:t>Conclusions</w:t>
      </w:r>
    </w:p>
    <w:p w14:paraId="52DAFDE0" w14:textId="5FBB6507" w:rsidR="001D0CFB" w:rsidRDefault="0054406D" w:rsidP="00600535">
      <w:pPr>
        <w:pStyle w:val="CETBodytext"/>
        <w:rPr>
          <w:lang w:val="en-GB"/>
        </w:rPr>
      </w:pPr>
      <w:r w:rsidRPr="0054406D">
        <w:rPr>
          <w:lang w:val="en-GB"/>
        </w:rPr>
        <w:t>The E-Nose has been used to identify specific VOCs in human blood</w:t>
      </w:r>
      <w:r w:rsidR="008D27B0">
        <w:rPr>
          <w:lang w:val="en-GB"/>
        </w:rPr>
        <w:t xml:space="preserve"> samples</w:t>
      </w:r>
      <w:r w:rsidRPr="0054406D">
        <w:rPr>
          <w:lang w:val="en-GB"/>
        </w:rPr>
        <w:t xml:space="preserve">, which allows for detecting stereochemical </w:t>
      </w:r>
      <w:r w:rsidR="00EA6373" w:rsidRPr="0054406D">
        <w:rPr>
          <w:lang w:val="en-GB"/>
        </w:rPr>
        <w:t>odours</w:t>
      </w:r>
      <w:r w:rsidRPr="0054406D">
        <w:rPr>
          <w:lang w:val="en-GB"/>
        </w:rPr>
        <w:t xml:space="preserve"> of underivatized blood. Using PCA and SVM algorithms, the E-Nose has accurately classified blood samples from </w:t>
      </w:r>
      <w:r w:rsidR="00EA6373" w:rsidRPr="0054406D">
        <w:rPr>
          <w:lang w:val="en-GB"/>
        </w:rPr>
        <w:t>tumour</w:t>
      </w:r>
      <w:r w:rsidRPr="0054406D">
        <w:rPr>
          <w:lang w:val="en-GB"/>
        </w:rPr>
        <w:t xml:space="preserve"> markers-proven patients with CLL, GBM, IDC, HCC, and AC, as well as HC, with no false-positive or false-negative results. Thus, we believe a global map of E-Nose cancer </w:t>
      </w:r>
      <w:r w:rsidR="00EA6373" w:rsidRPr="0054406D">
        <w:rPr>
          <w:lang w:val="en-GB"/>
        </w:rPr>
        <w:t>odours</w:t>
      </w:r>
      <w:r w:rsidRPr="0054406D">
        <w:rPr>
          <w:lang w:val="en-GB"/>
        </w:rPr>
        <w:t xml:space="preserve"> can assist the oncologist in cancer diagnostic decisions and prognosis.</w:t>
      </w:r>
    </w:p>
    <w:p w14:paraId="07A6D20F" w14:textId="0ECF229E" w:rsidR="00280FAF" w:rsidRPr="00280FAF" w:rsidRDefault="00280FAF" w:rsidP="00280FAF">
      <w:pPr>
        <w:pStyle w:val="CETHeadingxx"/>
        <w:rPr>
          <w:lang w:val="en-GB"/>
        </w:rPr>
        <w:sectPr w:rsidR="00280FAF" w:rsidRPr="00280FAF" w:rsidSect="008B68C0">
          <w:type w:val="continuous"/>
          <w:pgSz w:w="11906" w:h="16838" w:code="9"/>
          <w:pgMar w:top="1701" w:right="1418" w:bottom="1701" w:left="1701" w:header="1701" w:footer="0" w:gutter="0"/>
          <w:cols w:space="708"/>
          <w:formProt w:val="0"/>
          <w:titlePg/>
          <w:docGrid w:linePitch="360"/>
        </w:sectPr>
      </w:pPr>
      <w:r>
        <w:t>Nomenclature</w:t>
      </w:r>
    </w:p>
    <w:p w14:paraId="6A4EA3F9" w14:textId="4FD5988F" w:rsidR="0054406D" w:rsidRPr="0054406D" w:rsidRDefault="0054406D" w:rsidP="0054406D">
      <w:pPr>
        <w:pStyle w:val="CETBodytext"/>
        <w:jc w:val="left"/>
        <w:rPr>
          <w:rFonts w:eastAsia="SimSun"/>
        </w:rPr>
      </w:pPr>
      <w:r w:rsidRPr="0054406D">
        <w:rPr>
          <w:rFonts w:eastAsia="SimSun"/>
        </w:rPr>
        <w:t>AC</w:t>
      </w:r>
      <w:r>
        <w:rPr>
          <w:rFonts w:eastAsia="SimSun"/>
        </w:rPr>
        <w:t xml:space="preserve"> – </w:t>
      </w:r>
      <w:r w:rsidRPr="0054406D">
        <w:rPr>
          <w:rFonts w:eastAsia="SimSun"/>
        </w:rPr>
        <w:t>Adenocarcinoma</w:t>
      </w:r>
    </w:p>
    <w:p w14:paraId="38C0A260" w14:textId="65CE272F" w:rsidR="0054406D" w:rsidRPr="0054406D" w:rsidRDefault="0054406D" w:rsidP="0054406D">
      <w:pPr>
        <w:pStyle w:val="CETBodytext"/>
        <w:jc w:val="left"/>
        <w:rPr>
          <w:rFonts w:eastAsia="SimSun"/>
        </w:rPr>
      </w:pPr>
      <w:r w:rsidRPr="0054406D">
        <w:rPr>
          <w:rFonts w:eastAsia="SimSun"/>
        </w:rPr>
        <w:t>ASR</w:t>
      </w:r>
      <w:r>
        <w:rPr>
          <w:rFonts w:eastAsia="SimSun"/>
        </w:rPr>
        <w:t xml:space="preserve"> – </w:t>
      </w:r>
      <w:r w:rsidRPr="0054406D">
        <w:rPr>
          <w:rFonts w:eastAsia="SimSun"/>
        </w:rPr>
        <w:t>Age-standardized rate</w:t>
      </w:r>
    </w:p>
    <w:p w14:paraId="512220FA" w14:textId="4301A8BF" w:rsidR="0054406D" w:rsidRPr="0054406D" w:rsidRDefault="0054406D" w:rsidP="0054406D">
      <w:pPr>
        <w:pStyle w:val="CETBodytext"/>
        <w:jc w:val="left"/>
        <w:rPr>
          <w:rFonts w:eastAsia="SimSun"/>
        </w:rPr>
      </w:pPr>
      <w:r w:rsidRPr="0054406D">
        <w:rPr>
          <w:rFonts w:eastAsia="SimSun"/>
        </w:rPr>
        <w:t>AUC</w:t>
      </w:r>
      <w:r w:rsidR="00A226A0">
        <w:rPr>
          <w:rFonts w:eastAsia="SimSun"/>
        </w:rPr>
        <w:t xml:space="preserve"> – </w:t>
      </w:r>
      <w:r w:rsidRPr="0054406D">
        <w:rPr>
          <w:rFonts w:eastAsia="SimSun"/>
        </w:rPr>
        <w:t>Area under the curve</w:t>
      </w:r>
    </w:p>
    <w:p w14:paraId="25580A70" w14:textId="40DD0964" w:rsidR="0054406D" w:rsidRPr="0054406D" w:rsidRDefault="0054406D" w:rsidP="0054406D">
      <w:pPr>
        <w:pStyle w:val="CETBodytext"/>
        <w:jc w:val="left"/>
        <w:rPr>
          <w:rFonts w:eastAsia="SimSun"/>
        </w:rPr>
      </w:pPr>
      <w:r w:rsidRPr="0054406D">
        <w:rPr>
          <w:rFonts w:eastAsia="SimSun"/>
        </w:rPr>
        <w:t>BMI</w:t>
      </w:r>
      <w:r w:rsidR="00A226A0">
        <w:rPr>
          <w:rFonts w:eastAsia="SimSun"/>
        </w:rPr>
        <w:t xml:space="preserve"> – </w:t>
      </w:r>
      <w:r w:rsidRPr="0054406D">
        <w:rPr>
          <w:rFonts w:eastAsia="SimSun"/>
        </w:rPr>
        <w:t>Body mass index</w:t>
      </w:r>
    </w:p>
    <w:p w14:paraId="1E4290F5" w14:textId="360931E9" w:rsidR="0054406D" w:rsidRPr="0054406D" w:rsidRDefault="0054406D" w:rsidP="0054406D">
      <w:pPr>
        <w:pStyle w:val="CETBodytext"/>
        <w:jc w:val="left"/>
        <w:rPr>
          <w:rFonts w:eastAsia="SimSun"/>
        </w:rPr>
      </w:pPr>
      <w:r w:rsidRPr="0054406D">
        <w:rPr>
          <w:rFonts w:eastAsia="SimSun"/>
        </w:rPr>
        <w:t>CLL</w:t>
      </w:r>
      <w:r w:rsidR="00A226A0">
        <w:rPr>
          <w:rFonts w:eastAsia="SimSun"/>
        </w:rPr>
        <w:t xml:space="preserve"> – </w:t>
      </w:r>
      <w:r w:rsidRPr="0054406D">
        <w:rPr>
          <w:rFonts w:eastAsia="SimSun"/>
        </w:rPr>
        <w:t>Chronic lymphocytic leukemia</w:t>
      </w:r>
    </w:p>
    <w:p w14:paraId="28B52E9B" w14:textId="71BCBC33" w:rsidR="0054406D" w:rsidRPr="0054406D" w:rsidRDefault="0054406D" w:rsidP="0054406D">
      <w:pPr>
        <w:pStyle w:val="CETBodytext"/>
        <w:jc w:val="left"/>
        <w:rPr>
          <w:rFonts w:eastAsia="SimSun"/>
        </w:rPr>
      </w:pPr>
      <w:r w:rsidRPr="0054406D">
        <w:rPr>
          <w:rFonts w:eastAsia="SimSun"/>
        </w:rPr>
        <w:t>E-Nose</w:t>
      </w:r>
      <w:r w:rsidR="00A226A0">
        <w:rPr>
          <w:rFonts w:eastAsia="SimSun"/>
        </w:rPr>
        <w:t xml:space="preserve"> – </w:t>
      </w:r>
      <w:r w:rsidRPr="0054406D">
        <w:rPr>
          <w:rFonts w:eastAsia="SimSun"/>
        </w:rPr>
        <w:t>Electronic nose</w:t>
      </w:r>
    </w:p>
    <w:p w14:paraId="5CA4EDC1" w14:textId="563AD982" w:rsidR="0054406D" w:rsidRPr="0054406D" w:rsidRDefault="0054406D" w:rsidP="0054406D">
      <w:pPr>
        <w:pStyle w:val="CETBodytext"/>
        <w:jc w:val="left"/>
        <w:rPr>
          <w:rFonts w:eastAsia="SimSun"/>
        </w:rPr>
      </w:pPr>
      <w:r w:rsidRPr="0054406D">
        <w:rPr>
          <w:rFonts w:eastAsia="SimSun"/>
        </w:rPr>
        <w:t>GBM</w:t>
      </w:r>
      <w:r w:rsidR="00A226A0">
        <w:rPr>
          <w:rFonts w:eastAsia="SimSun"/>
        </w:rPr>
        <w:t xml:space="preserve"> – </w:t>
      </w:r>
      <w:r w:rsidRPr="0054406D">
        <w:rPr>
          <w:rFonts w:eastAsia="SimSun"/>
        </w:rPr>
        <w:t>Glioblastoma multiforme</w:t>
      </w:r>
    </w:p>
    <w:p w14:paraId="3E41D9B5" w14:textId="231CB54D" w:rsidR="0054406D" w:rsidRPr="0054406D" w:rsidRDefault="0054406D" w:rsidP="0054406D">
      <w:pPr>
        <w:pStyle w:val="CETBodytext"/>
        <w:jc w:val="left"/>
        <w:rPr>
          <w:rFonts w:eastAsia="SimSun"/>
        </w:rPr>
      </w:pPr>
      <w:r w:rsidRPr="0054406D">
        <w:rPr>
          <w:rFonts w:eastAsia="SimSun"/>
        </w:rPr>
        <w:t>HC</w:t>
      </w:r>
      <w:r w:rsidR="00A226A0">
        <w:rPr>
          <w:rFonts w:eastAsia="SimSun"/>
        </w:rPr>
        <w:t xml:space="preserve"> – </w:t>
      </w:r>
      <w:r w:rsidRPr="0054406D">
        <w:rPr>
          <w:rFonts w:eastAsia="SimSun"/>
        </w:rPr>
        <w:t>Healthy controls</w:t>
      </w:r>
    </w:p>
    <w:p w14:paraId="7F49D15D" w14:textId="66742A31" w:rsidR="0054406D" w:rsidRPr="0054406D" w:rsidRDefault="0054406D" w:rsidP="0054406D">
      <w:pPr>
        <w:pStyle w:val="CETBodytext"/>
        <w:jc w:val="left"/>
        <w:rPr>
          <w:rFonts w:eastAsia="SimSun"/>
        </w:rPr>
      </w:pPr>
      <w:r w:rsidRPr="0054406D">
        <w:rPr>
          <w:rFonts w:eastAsia="SimSun"/>
        </w:rPr>
        <w:t>HCC</w:t>
      </w:r>
      <w:r w:rsidR="00A226A0">
        <w:rPr>
          <w:rFonts w:eastAsia="SimSun"/>
        </w:rPr>
        <w:t xml:space="preserve"> – </w:t>
      </w:r>
      <w:r w:rsidRPr="0054406D">
        <w:rPr>
          <w:rFonts w:eastAsia="SimSun"/>
        </w:rPr>
        <w:t>Hepatocellular carcinoma</w:t>
      </w:r>
    </w:p>
    <w:p w14:paraId="4DF1CA1B" w14:textId="4FC67BA5" w:rsidR="0054406D" w:rsidRPr="0054406D" w:rsidRDefault="0054406D" w:rsidP="0054406D">
      <w:pPr>
        <w:pStyle w:val="CETBodytext"/>
        <w:jc w:val="left"/>
        <w:rPr>
          <w:rFonts w:eastAsia="SimSun"/>
        </w:rPr>
      </w:pPr>
      <w:r w:rsidRPr="0054406D">
        <w:rPr>
          <w:rFonts w:eastAsia="SimSun"/>
        </w:rPr>
        <w:t>IDC</w:t>
      </w:r>
      <w:r w:rsidR="00A226A0">
        <w:rPr>
          <w:rFonts w:eastAsia="SimSun"/>
        </w:rPr>
        <w:t xml:space="preserve"> – </w:t>
      </w:r>
      <w:r w:rsidRPr="0054406D">
        <w:rPr>
          <w:rFonts w:eastAsia="SimSun"/>
        </w:rPr>
        <w:t>Invasive ductal carcinoma</w:t>
      </w:r>
    </w:p>
    <w:p w14:paraId="5D577BF1" w14:textId="40C767E6" w:rsidR="0054406D" w:rsidRPr="0054406D" w:rsidRDefault="0054406D" w:rsidP="0054406D">
      <w:pPr>
        <w:pStyle w:val="CETBodytext"/>
        <w:jc w:val="left"/>
        <w:rPr>
          <w:rFonts w:eastAsia="SimSun"/>
        </w:rPr>
      </w:pPr>
      <w:r w:rsidRPr="0054406D">
        <w:rPr>
          <w:rFonts w:eastAsia="SimSun"/>
        </w:rPr>
        <w:t>MAE</w:t>
      </w:r>
      <w:r w:rsidR="00A226A0">
        <w:rPr>
          <w:rFonts w:eastAsia="SimSun"/>
        </w:rPr>
        <w:t xml:space="preserve"> – </w:t>
      </w:r>
      <w:r w:rsidRPr="0054406D">
        <w:rPr>
          <w:rFonts w:eastAsia="SimSun"/>
        </w:rPr>
        <w:t xml:space="preserve">Mean absolute </w:t>
      </w:r>
      <w:proofErr w:type="gramStart"/>
      <w:r w:rsidRPr="0054406D">
        <w:rPr>
          <w:rFonts w:eastAsia="SimSun"/>
        </w:rPr>
        <w:t>error</w:t>
      </w:r>
      <w:proofErr w:type="gramEnd"/>
    </w:p>
    <w:p w14:paraId="003AAB57" w14:textId="32C761F9" w:rsidR="0054406D" w:rsidRPr="0054406D" w:rsidRDefault="0054406D" w:rsidP="0054406D">
      <w:pPr>
        <w:pStyle w:val="CETBodytext"/>
        <w:jc w:val="left"/>
        <w:rPr>
          <w:rFonts w:eastAsia="SimSun"/>
        </w:rPr>
      </w:pPr>
      <w:r w:rsidRPr="0054406D">
        <w:rPr>
          <w:rFonts w:eastAsia="SimSun"/>
        </w:rPr>
        <w:t>ML</w:t>
      </w:r>
      <w:r w:rsidR="00A226A0">
        <w:rPr>
          <w:rFonts w:eastAsia="SimSun"/>
        </w:rPr>
        <w:t xml:space="preserve"> – </w:t>
      </w:r>
      <w:r w:rsidRPr="0054406D">
        <w:rPr>
          <w:rFonts w:eastAsia="SimSun"/>
        </w:rPr>
        <w:t>Machine learning</w:t>
      </w:r>
    </w:p>
    <w:p w14:paraId="7F47CFDC" w14:textId="2071A7C0" w:rsidR="0054406D" w:rsidRPr="0054406D" w:rsidRDefault="0054406D" w:rsidP="0054406D">
      <w:pPr>
        <w:pStyle w:val="CETBodytext"/>
        <w:jc w:val="left"/>
        <w:rPr>
          <w:rFonts w:eastAsia="SimSun"/>
        </w:rPr>
      </w:pPr>
      <w:r w:rsidRPr="0054406D">
        <w:rPr>
          <w:rFonts w:eastAsia="SimSun"/>
        </w:rPr>
        <w:t>PCA</w:t>
      </w:r>
      <w:r w:rsidR="00A226A0">
        <w:rPr>
          <w:rFonts w:eastAsia="SimSun"/>
        </w:rPr>
        <w:t xml:space="preserve"> – </w:t>
      </w:r>
      <w:r w:rsidRPr="0054406D">
        <w:rPr>
          <w:rFonts w:eastAsia="SimSun"/>
        </w:rPr>
        <w:t xml:space="preserve">Principal </w:t>
      </w:r>
      <w:proofErr w:type="gramStart"/>
      <w:r w:rsidRPr="0054406D">
        <w:rPr>
          <w:rFonts w:eastAsia="SimSun"/>
        </w:rPr>
        <w:t>component</w:t>
      </w:r>
      <w:proofErr w:type="gramEnd"/>
      <w:r w:rsidRPr="0054406D">
        <w:rPr>
          <w:rFonts w:eastAsia="SimSun"/>
        </w:rPr>
        <w:t xml:space="preserve"> analysis</w:t>
      </w:r>
    </w:p>
    <w:p w14:paraId="6E39A336" w14:textId="430584A8" w:rsidR="0054406D" w:rsidRPr="0054406D" w:rsidRDefault="0054406D" w:rsidP="0054406D">
      <w:pPr>
        <w:pStyle w:val="CETBodytext"/>
        <w:jc w:val="left"/>
        <w:rPr>
          <w:rFonts w:eastAsia="SimSun"/>
        </w:rPr>
      </w:pPr>
      <w:r w:rsidRPr="0054406D">
        <w:rPr>
          <w:rFonts w:eastAsia="SimSun"/>
        </w:rPr>
        <w:t>ROC</w:t>
      </w:r>
      <w:r w:rsidR="0063140D">
        <w:rPr>
          <w:rFonts w:eastAsia="SimSun"/>
        </w:rPr>
        <w:t xml:space="preserve"> – </w:t>
      </w:r>
      <w:r w:rsidRPr="0054406D">
        <w:rPr>
          <w:rFonts w:eastAsia="SimSun"/>
        </w:rPr>
        <w:t>Receiver operating characteristic</w:t>
      </w:r>
    </w:p>
    <w:p w14:paraId="34372F33" w14:textId="56137FE7" w:rsidR="0054406D" w:rsidRPr="0054406D" w:rsidRDefault="0054406D" w:rsidP="0054406D">
      <w:pPr>
        <w:pStyle w:val="CETBodytext"/>
        <w:jc w:val="left"/>
        <w:rPr>
          <w:rFonts w:eastAsia="SimSun"/>
        </w:rPr>
      </w:pPr>
      <w:r w:rsidRPr="0054406D">
        <w:rPr>
          <w:rFonts w:eastAsia="SimSun"/>
        </w:rPr>
        <w:t>SVM</w:t>
      </w:r>
      <w:r w:rsidR="0063140D">
        <w:rPr>
          <w:rFonts w:eastAsia="SimSun"/>
        </w:rPr>
        <w:t xml:space="preserve"> – </w:t>
      </w:r>
      <w:r w:rsidRPr="0054406D">
        <w:rPr>
          <w:rFonts w:eastAsia="SimSun"/>
        </w:rPr>
        <w:t>Support vector machine</w:t>
      </w:r>
    </w:p>
    <w:p w14:paraId="4B10CBC4" w14:textId="7168B7F2" w:rsidR="0054406D" w:rsidRPr="0054406D" w:rsidRDefault="0054406D" w:rsidP="0054406D">
      <w:pPr>
        <w:pStyle w:val="CETBodytext"/>
        <w:jc w:val="left"/>
        <w:rPr>
          <w:rFonts w:eastAsia="SimSun"/>
        </w:rPr>
      </w:pPr>
      <w:r w:rsidRPr="0054406D">
        <w:rPr>
          <w:rFonts w:eastAsia="SimSun"/>
        </w:rPr>
        <w:t>VOCs</w:t>
      </w:r>
      <w:r w:rsidR="0063140D">
        <w:rPr>
          <w:rFonts w:eastAsia="SimSun"/>
        </w:rPr>
        <w:t xml:space="preserve"> – </w:t>
      </w:r>
      <w:r w:rsidRPr="0054406D">
        <w:rPr>
          <w:rFonts w:eastAsia="SimSun"/>
        </w:rPr>
        <w:t>Volatile organic compounds</w:t>
      </w:r>
    </w:p>
    <w:p w14:paraId="38BFE636" w14:textId="09DA2CEC" w:rsidR="00280FAF" w:rsidRPr="00E377D0" w:rsidRDefault="00280FAF" w:rsidP="0054406D">
      <w:pPr>
        <w:pStyle w:val="CETBodytext"/>
        <w:jc w:val="left"/>
        <w:rPr>
          <w:rFonts w:eastAsia="SimSun"/>
        </w:rPr>
        <w:sectPr w:rsidR="00280FAF" w:rsidRPr="00E377D0" w:rsidSect="008B68C0">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43BF8299" w:rsidR="00600535" w:rsidRPr="00B57B36" w:rsidRDefault="00516F8C" w:rsidP="00600535">
      <w:pPr>
        <w:pStyle w:val="CETBodytext"/>
        <w:rPr>
          <w:lang w:val="en-GB"/>
        </w:rPr>
      </w:pPr>
      <w:r>
        <w:rPr>
          <w:lang w:val="en-GB"/>
        </w:rPr>
        <w:t xml:space="preserve">This work was supported by a generous donation from </w:t>
      </w:r>
      <w:proofErr w:type="spellStart"/>
      <w:r w:rsidR="00BE27B3" w:rsidRPr="00BE27B3">
        <w:rPr>
          <w:lang w:val="en-GB"/>
        </w:rPr>
        <w:t>Airsense</w:t>
      </w:r>
      <w:proofErr w:type="spellEnd"/>
      <w:r w:rsidR="00BE27B3" w:rsidRPr="00BE27B3">
        <w:rPr>
          <w:lang w:val="en-GB"/>
        </w:rPr>
        <w:t xml:space="preserve"> Analytics GmbH, Schwerin, Germany</w:t>
      </w:r>
      <w:r>
        <w:rPr>
          <w:lang w:val="en-GB"/>
        </w:rPr>
        <w:t xml:space="preserve">. </w:t>
      </w:r>
      <w:r w:rsidR="00FD5727">
        <w:rPr>
          <w:lang w:val="en-GB"/>
        </w:rPr>
        <w:t xml:space="preserve">Dr. </w:t>
      </w:r>
      <w:r w:rsidR="00FD5727" w:rsidRPr="00FD5727">
        <w:rPr>
          <w:lang w:val="en-GB"/>
        </w:rPr>
        <w:t>Samy H. Darwish</w:t>
      </w:r>
      <w:r w:rsidR="00FD5727">
        <w:rPr>
          <w:lang w:val="en-GB"/>
        </w:rPr>
        <w:t xml:space="preserve"> is also affiliated with </w:t>
      </w:r>
      <w:r w:rsidR="008D27B0">
        <w:rPr>
          <w:lang w:val="en-GB"/>
        </w:rPr>
        <w:t xml:space="preserve">the </w:t>
      </w:r>
      <w:r w:rsidR="00FD5727" w:rsidRPr="00FD5727">
        <w:rPr>
          <w:lang w:val="en-GB"/>
        </w:rPr>
        <w:t xml:space="preserve">Air </w:t>
      </w:r>
      <w:r w:rsidR="008D27B0" w:rsidRPr="00FD5727">
        <w:rPr>
          <w:lang w:val="en-GB"/>
        </w:rPr>
        <w:t>Defence</w:t>
      </w:r>
      <w:r w:rsidR="00FD5727" w:rsidRPr="00FD5727">
        <w:rPr>
          <w:lang w:val="en-GB"/>
        </w:rPr>
        <w:t xml:space="preserve"> Collage, Alexandria, </w:t>
      </w:r>
      <w:r w:rsidR="008D27B0" w:rsidRPr="00FD5727">
        <w:rPr>
          <w:lang w:val="en-GB"/>
        </w:rPr>
        <w:t>Egypt,</w:t>
      </w:r>
      <w:r w:rsidR="00FD5727">
        <w:rPr>
          <w:lang w:val="en-GB"/>
        </w:rPr>
        <w:t xml:space="preserve"> and Dr. </w:t>
      </w:r>
      <w:r w:rsidR="00FD5727" w:rsidRPr="00FD5727">
        <w:rPr>
          <w:lang w:val="en-GB"/>
        </w:rPr>
        <w:t>Mohamed A. Abdou</w:t>
      </w:r>
      <w:r w:rsidR="00FD5727">
        <w:rPr>
          <w:lang w:val="en-GB"/>
        </w:rPr>
        <w:t xml:space="preserve"> with </w:t>
      </w:r>
      <w:r w:rsidR="008D27B0">
        <w:rPr>
          <w:lang w:val="en-GB"/>
        </w:rPr>
        <w:t xml:space="preserve">the </w:t>
      </w:r>
      <w:r w:rsidR="00FD5727" w:rsidRPr="00FD5727">
        <w:rPr>
          <w:lang w:val="en-GB"/>
        </w:rPr>
        <w:t>Electrical Engineering Department, Faculty of Engineering, Pharos University, Alexandria, Egypt</w:t>
      </w:r>
      <w:r w:rsidR="00FD5727">
        <w:rPr>
          <w:lang w:val="en-GB"/>
        </w:rPr>
        <w:t>.</w:t>
      </w:r>
    </w:p>
    <w:p w14:paraId="4F1327F8" w14:textId="77777777" w:rsidR="00600535" w:rsidRPr="00B57B36" w:rsidRDefault="00600535" w:rsidP="00600535">
      <w:pPr>
        <w:pStyle w:val="CETReference"/>
      </w:pPr>
      <w:r w:rsidRPr="00B57B36">
        <w:lastRenderedPageBreak/>
        <w:t>References</w:t>
      </w:r>
    </w:p>
    <w:p w14:paraId="33200A8B" w14:textId="5E55E0CC" w:rsidR="00DE3408" w:rsidRPr="00034DFD" w:rsidRDefault="00DE3408" w:rsidP="00DE3408">
      <w:pPr>
        <w:pStyle w:val="CETReferencetext"/>
      </w:pPr>
      <w:proofErr w:type="spellStart"/>
      <w:r w:rsidRPr="00034DFD">
        <w:t>Akinnuwesi</w:t>
      </w:r>
      <w:proofErr w:type="spellEnd"/>
      <w:r w:rsidRPr="00034DFD">
        <w:t xml:space="preserve"> B</w:t>
      </w:r>
      <w:r w:rsidR="00E77C87">
        <w:t>.</w:t>
      </w:r>
      <w:r w:rsidRPr="00034DFD">
        <w:t>A</w:t>
      </w:r>
      <w:r w:rsidR="00E77C87">
        <w:t>.</w:t>
      </w:r>
      <w:r w:rsidRPr="00034DFD">
        <w:t xml:space="preserve">, </w:t>
      </w:r>
      <w:proofErr w:type="spellStart"/>
      <w:r w:rsidRPr="00034DFD">
        <w:t>Olayanju</w:t>
      </w:r>
      <w:proofErr w:type="spellEnd"/>
      <w:r w:rsidRPr="00034DFD">
        <w:t xml:space="preserve"> K</w:t>
      </w:r>
      <w:r w:rsidR="00E77C87">
        <w:t>.</w:t>
      </w:r>
      <w:r w:rsidRPr="00034DFD">
        <w:t>A</w:t>
      </w:r>
      <w:r w:rsidR="00E77C87">
        <w:t>.</w:t>
      </w:r>
      <w:r w:rsidRPr="00034DFD">
        <w:t>, Aribisala B</w:t>
      </w:r>
      <w:r w:rsidR="00E77C87">
        <w:t>.</w:t>
      </w:r>
      <w:r w:rsidRPr="00034DFD">
        <w:t>S</w:t>
      </w:r>
      <w:r w:rsidR="004C5A18">
        <w:t>.,</w:t>
      </w:r>
      <w:r w:rsidRPr="00034DFD">
        <w:t xml:space="preserve"> </w:t>
      </w:r>
      <w:proofErr w:type="spellStart"/>
      <w:r w:rsidR="004C5A18" w:rsidRPr="004C5A18">
        <w:t>Fashoto</w:t>
      </w:r>
      <w:proofErr w:type="spellEnd"/>
      <w:r w:rsidR="004C5A18" w:rsidRPr="004C5A18">
        <w:t xml:space="preserve"> </w:t>
      </w:r>
      <w:r w:rsidR="00E77C87">
        <w:t>S.G.</w:t>
      </w:r>
      <w:r w:rsidR="004C5A18" w:rsidRPr="004C5A18">
        <w:t xml:space="preserve">, </w:t>
      </w:r>
      <w:proofErr w:type="spellStart"/>
      <w:r w:rsidR="004C5A18" w:rsidRPr="004C5A18">
        <w:t>Mbunge</w:t>
      </w:r>
      <w:proofErr w:type="spellEnd"/>
      <w:r w:rsidR="004C5A18" w:rsidRPr="004C5A18">
        <w:t xml:space="preserve"> </w:t>
      </w:r>
      <w:r w:rsidR="00E77C87">
        <w:t>E.</w:t>
      </w:r>
      <w:r w:rsidR="004C5A18" w:rsidRPr="004C5A18">
        <w:t xml:space="preserve">, </w:t>
      </w:r>
      <w:proofErr w:type="spellStart"/>
      <w:r w:rsidR="004C5A18" w:rsidRPr="004C5A18">
        <w:t>Okpeku</w:t>
      </w:r>
      <w:proofErr w:type="spellEnd"/>
      <w:r w:rsidR="004C5A18" w:rsidRPr="004C5A18">
        <w:t xml:space="preserve"> </w:t>
      </w:r>
      <w:r w:rsidR="00E77C87">
        <w:t>M.</w:t>
      </w:r>
      <w:r w:rsidR="004C5A18" w:rsidRPr="004C5A18">
        <w:t xml:space="preserve">, </w:t>
      </w:r>
      <w:proofErr w:type="spellStart"/>
      <w:r w:rsidR="004C5A18" w:rsidRPr="004C5A18">
        <w:t>Owate</w:t>
      </w:r>
      <w:proofErr w:type="spellEnd"/>
      <w:r w:rsidR="00E77C87">
        <w:t xml:space="preserve"> P., </w:t>
      </w:r>
      <w:r w:rsidRPr="00034DFD">
        <w:t>2023</w:t>
      </w:r>
      <w:r w:rsidR="00E77C87">
        <w:t>,</w:t>
      </w:r>
      <w:r w:rsidRPr="00034DFD">
        <w:t xml:space="preserve"> Application of support vector machine algorithm for early differential diagnosis of prostate cancer. Data Sci Manag</w:t>
      </w:r>
      <w:r w:rsidR="00E77C87">
        <w:t>,</w:t>
      </w:r>
      <w:r w:rsidRPr="00034DFD">
        <w:t xml:space="preserve"> 6(1)</w:t>
      </w:r>
      <w:r w:rsidR="00E77C87">
        <w:t xml:space="preserve">, </w:t>
      </w:r>
      <w:r w:rsidRPr="00034DFD">
        <w:t>1-12.</w:t>
      </w:r>
    </w:p>
    <w:p w14:paraId="38B0B989" w14:textId="620ED7F8" w:rsidR="00DE3408" w:rsidRPr="00034DFD" w:rsidRDefault="00DE3408" w:rsidP="00DE3408">
      <w:pPr>
        <w:pStyle w:val="CETReferencetext"/>
      </w:pPr>
      <w:proofErr w:type="spellStart"/>
      <w:r w:rsidRPr="00034DFD">
        <w:t>BasuMallick</w:t>
      </w:r>
      <w:proofErr w:type="spellEnd"/>
      <w:r w:rsidRPr="00034DFD">
        <w:t xml:space="preserve"> C. What is principal component analysis (PCA)? Meaning, working, and applications. Big Data. Spiceworks. Available at: https://www.spiceworks.com/tech/big-data/articles/what-is-principal-component-analysis/. (Last accessed: January 5, 2024).</w:t>
      </w:r>
    </w:p>
    <w:p w14:paraId="2E0BDC89" w14:textId="1F9DDCE3" w:rsidR="00DE3408" w:rsidRPr="00034DFD" w:rsidRDefault="00DE3408" w:rsidP="00DE3408">
      <w:pPr>
        <w:pStyle w:val="CETReferencetext"/>
      </w:pPr>
      <w:proofErr w:type="spellStart"/>
      <w:r w:rsidRPr="00034DFD">
        <w:t>Elhaik</w:t>
      </w:r>
      <w:proofErr w:type="spellEnd"/>
      <w:r w:rsidRPr="00034DFD">
        <w:t xml:space="preserve"> E</w:t>
      </w:r>
      <w:r w:rsidR="00E77C87">
        <w:t>.,</w:t>
      </w:r>
      <w:r w:rsidRPr="00034DFD">
        <w:t xml:space="preserve"> 2022</w:t>
      </w:r>
      <w:r w:rsidR="00E77C87">
        <w:t>,</w:t>
      </w:r>
      <w:r w:rsidRPr="00034DFD">
        <w:t xml:space="preserve"> Principal Component Analyses (PCA)-based findings in population genetic studies are highly biased and must be reevaluated. Sci Rep</w:t>
      </w:r>
      <w:r w:rsidR="00E77C87">
        <w:t>,</w:t>
      </w:r>
      <w:r w:rsidRPr="00034DFD">
        <w:t xml:space="preserve"> 12</w:t>
      </w:r>
      <w:r w:rsidR="00E77C87">
        <w:t xml:space="preserve">, </w:t>
      </w:r>
      <w:r w:rsidRPr="00034DFD">
        <w:t>14683.</w:t>
      </w:r>
    </w:p>
    <w:p w14:paraId="3D2707C4" w14:textId="062FAC1D" w:rsidR="00DE3408" w:rsidRPr="00034DFD" w:rsidRDefault="00E77C87" w:rsidP="00DE3408">
      <w:pPr>
        <w:pStyle w:val="CETReferencetext"/>
      </w:pPr>
      <w:proofErr w:type="spellStart"/>
      <w:r w:rsidRPr="00E77C87">
        <w:t>Farraia</w:t>
      </w:r>
      <w:proofErr w:type="spellEnd"/>
      <w:r w:rsidRPr="00E77C87">
        <w:t xml:space="preserve"> M.V., Cavaleiro Rufo J., </w:t>
      </w:r>
      <w:proofErr w:type="spellStart"/>
      <w:r w:rsidRPr="00E77C87">
        <w:t>Paciência</w:t>
      </w:r>
      <w:proofErr w:type="spellEnd"/>
      <w:r w:rsidRPr="00E77C87">
        <w:t xml:space="preserve"> I., Mendes F., Delgado L., Moreira A.</w:t>
      </w:r>
      <w:r>
        <w:t xml:space="preserve">, </w:t>
      </w:r>
      <w:r w:rsidR="00DE3408" w:rsidRPr="00034DFD">
        <w:t>2019</w:t>
      </w:r>
      <w:r>
        <w:t>.</w:t>
      </w:r>
      <w:r w:rsidR="00DE3408" w:rsidRPr="00034DFD">
        <w:t xml:space="preserve"> The electronic nose technology in clinical diagnosis: A systematic review. Porto Biomed J</w:t>
      </w:r>
      <w:r>
        <w:t>,</w:t>
      </w:r>
      <w:r w:rsidR="00DE3408" w:rsidRPr="00034DFD">
        <w:t xml:space="preserve"> 4(4)</w:t>
      </w:r>
      <w:r>
        <w:t xml:space="preserve">, </w:t>
      </w:r>
      <w:r w:rsidR="00DE3408" w:rsidRPr="00034DFD">
        <w:t>e42.</w:t>
      </w:r>
    </w:p>
    <w:p w14:paraId="2FEFC264" w14:textId="6DEA7820" w:rsidR="00DE3408" w:rsidRPr="00034DFD" w:rsidRDefault="00E77C87" w:rsidP="00DE3408">
      <w:pPr>
        <w:pStyle w:val="CETReferencetext"/>
      </w:pPr>
      <w:r w:rsidRPr="00E77C87">
        <w:t xml:space="preserve">Gendron K.B., Hockstein N.G., Thaler E.R., </w:t>
      </w:r>
      <w:proofErr w:type="spellStart"/>
      <w:r w:rsidRPr="00E77C87">
        <w:t>Vachani</w:t>
      </w:r>
      <w:proofErr w:type="spellEnd"/>
      <w:r w:rsidRPr="00E77C87">
        <w:t xml:space="preserve"> A., Hanson C.W.</w:t>
      </w:r>
      <w:r>
        <w:t xml:space="preserve">, </w:t>
      </w:r>
      <w:r w:rsidR="00DE3408" w:rsidRPr="00034DFD">
        <w:t>2007</w:t>
      </w:r>
      <w:r>
        <w:t>,</w:t>
      </w:r>
      <w:r w:rsidR="00DE3408" w:rsidRPr="00034DFD">
        <w:t xml:space="preserve"> In vitro discrimination of </w:t>
      </w:r>
      <w:proofErr w:type="spellStart"/>
      <w:r w:rsidR="00DE3408" w:rsidRPr="00034DFD">
        <w:t>tumor</w:t>
      </w:r>
      <w:proofErr w:type="spellEnd"/>
      <w:r w:rsidR="00DE3408" w:rsidRPr="00034DFD">
        <w:t xml:space="preserve"> cell lines with an electronic nose. </w:t>
      </w:r>
      <w:proofErr w:type="spellStart"/>
      <w:r w:rsidR="00DE3408" w:rsidRPr="00034DFD">
        <w:t>Otolaryngol</w:t>
      </w:r>
      <w:proofErr w:type="spellEnd"/>
      <w:r w:rsidR="00DE3408" w:rsidRPr="00034DFD">
        <w:t xml:space="preserve"> Head Neck </w:t>
      </w:r>
      <w:proofErr w:type="spellStart"/>
      <w:r w:rsidR="00DE3408" w:rsidRPr="00034DFD">
        <w:t>Surg</w:t>
      </w:r>
      <w:proofErr w:type="spellEnd"/>
      <w:r>
        <w:t>,</w:t>
      </w:r>
      <w:r w:rsidR="00DE3408" w:rsidRPr="00034DFD">
        <w:t xml:space="preserve"> 137(2)</w:t>
      </w:r>
      <w:r>
        <w:t xml:space="preserve">, </w:t>
      </w:r>
      <w:r w:rsidR="00DE3408" w:rsidRPr="00034DFD">
        <w:t>269-73.</w:t>
      </w:r>
    </w:p>
    <w:p w14:paraId="7514E557" w14:textId="570F482D" w:rsidR="00DE3408" w:rsidRPr="00034DFD" w:rsidRDefault="00DE3408" w:rsidP="00DE3408">
      <w:pPr>
        <w:pStyle w:val="CETReferencetext"/>
      </w:pPr>
      <w:r w:rsidRPr="00034DFD">
        <w:t>Ibrahim A</w:t>
      </w:r>
      <w:r w:rsidR="00E77C87">
        <w:t>.</w:t>
      </w:r>
      <w:r w:rsidRPr="00034DFD">
        <w:t>S</w:t>
      </w:r>
      <w:r w:rsidR="00E77C87">
        <w:t>.</w:t>
      </w:r>
      <w:r w:rsidRPr="00034DFD">
        <w:t>, Khaled H</w:t>
      </w:r>
      <w:r w:rsidR="00E77C87">
        <w:t>.</w:t>
      </w:r>
      <w:r w:rsidRPr="00034DFD">
        <w:t>M</w:t>
      </w:r>
      <w:r w:rsidR="00E77C87">
        <w:t>.</w:t>
      </w:r>
      <w:r w:rsidRPr="00034DFD">
        <w:t>, Mikhail N</w:t>
      </w:r>
      <w:r w:rsidR="00E77C87">
        <w:t>.</w:t>
      </w:r>
      <w:r w:rsidRPr="00034DFD">
        <w:t>N</w:t>
      </w:r>
      <w:r w:rsidR="00E77C87">
        <w:t>.,</w:t>
      </w:r>
      <w:r w:rsidRPr="00034DFD">
        <w:t xml:space="preserve"> </w:t>
      </w:r>
      <w:r w:rsidR="00E77C87" w:rsidRPr="00E77C87">
        <w:t>Baraka H., Kamel H.</w:t>
      </w:r>
      <w:r w:rsidR="00E77C87">
        <w:t xml:space="preserve">, </w:t>
      </w:r>
      <w:r w:rsidRPr="00034DFD">
        <w:t>2014</w:t>
      </w:r>
      <w:r w:rsidR="00E77C87">
        <w:t>,</w:t>
      </w:r>
      <w:r w:rsidRPr="00034DFD">
        <w:t xml:space="preserve"> Cancer incidence in Egypt: results of the national population-based cancer registry program. J Cancer </w:t>
      </w:r>
      <w:proofErr w:type="spellStart"/>
      <w:r w:rsidRPr="00034DFD">
        <w:t>Epidemiol</w:t>
      </w:r>
      <w:proofErr w:type="spellEnd"/>
      <w:r w:rsidR="00E77C87">
        <w:t>,</w:t>
      </w:r>
      <w:r w:rsidRPr="00034DFD">
        <w:t xml:space="preserve"> 2014</w:t>
      </w:r>
      <w:r w:rsidR="00E77C87">
        <w:t xml:space="preserve">, </w:t>
      </w:r>
      <w:r w:rsidRPr="00034DFD">
        <w:t>437971.</w:t>
      </w:r>
    </w:p>
    <w:p w14:paraId="3DAF29F3" w14:textId="0050DD90" w:rsidR="00DE3408" w:rsidRPr="00034DFD" w:rsidRDefault="00E77C87" w:rsidP="00DE3408">
      <w:pPr>
        <w:pStyle w:val="CETReferencetext"/>
      </w:pPr>
      <w:proofErr w:type="spellStart"/>
      <w:r w:rsidRPr="00E77C87">
        <w:t>Kokabi</w:t>
      </w:r>
      <w:proofErr w:type="spellEnd"/>
      <w:r w:rsidRPr="00E77C87">
        <w:t xml:space="preserve"> M., Tahir M.N., Singh D., Javanmard M.</w:t>
      </w:r>
      <w:r>
        <w:t xml:space="preserve">, </w:t>
      </w:r>
      <w:r w:rsidR="00DE3408" w:rsidRPr="00034DFD">
        <w:t>2023</w:t>
      </w:r>
      <w:r>
        <w:t>,</w:t>
      </w:r>
      <w:r w:rsidR="00DE3408" w:rsidRPr="00034DFD">
        <w:t xml:space="preserve"> Advancing healthcare: Synergizing biosensors and machine learning for early cancer diagnosis. Biosensors</w:t>
      </w:r>
      <w:r>
        <w:t>,</w:t>
      </w:r>
      <w:r w:rsidR="00DE3408" w:rsidRPr="00034DFD">
        <w:t xml:space="preserve"> 13(9)</w:t>
      </w:r>
      <w:r>
        <w:t xml:space="preserve">, </w:t>
      </w:r>
      <w:r w:rsidR="00DE3408" w:rsidRPr="00034DFD">
        <w:t>884.</w:t>
      </w:r>
    </w:p>
    <w:p w14:paraId="22683ABF" w14:textId="3950906A" w:rsidR="00DE3408" w:rsidRPr="00034DFD" w:rsidRDefault="00E77C87" w:rsidP="00DE3408">
      <w:pPr>
        <w:pStyle w:val="CETReferencetext"/>
      </w:pPr>
      <w:r w:rsidRPr="00E77C87">
        <w:t>Liu J., Chen H., Li Y., Fang Y., Guo Y., Li S., Xu J., Jia Z., Zou J., Liu G., Xu H., Wang T., Wang D., Jiang Y., Wang Y., Tang X., Qiao G., Zhou Y., Bai L., Zhou R., … Wang X.</w:t>
      </w:r>
      <w:r>
        <w:t xml:space="preserve">, </w:t>
      </w:r>
      <w:r w:rsidR="00DE3408" w:rsidRPr="00034DFD">
        <w:t>2023</w:t>
      </w:r>
      <w:r>
        <w:t>,</w:t>
      </w:r>
      <w:r w:rsidR="00DE3408" w:rsidRPr="00034DFD">
        <w:t xml:space="preserve"> A novel non-invasive exhaled breath biopsy for the diagnosis and screening of breast cancer. J </w:t>
      </w:r>
      <w:proofErr w:type="spellStart"/>
      <w:r w:rsidR="00DE3408" w:rsidRPr="00034DFD">
        <w:t>Hematol</w:t>
      </w:r>
      <w:proofErr w:type="spellEnd"/>
      <w:r w:rsidR="00DE3408" w:rsidRPr="00034DFD">
        <w:t xml:space="preserve"> Oncol</w:t>
      </w:r>
      <w:r>
        <w:t>,</w:t>
      </w:r>
      <w:r w:rsidR="00DE3408" w:rsidRPr="00034DFD">
        <w:t xml:space="preserve"> 16</w:t>
      </w:r>
      <w:r>
        <w:t xml:space="preserve">, </w:t>
      </w:r>
      <w:r w:rsidR="00DE3408" w:rsidRPr="00034DFD">
        <w:t>63.</w:t>
      </w:r>
    </w:p>
    <w:p w14:paraId="59A7F113" w14:textId="62C107B3" w:rsidR="00DE3408" w:rsidRPr="00034DFD" w:rsidRDefault="00132D7E" w:rsidP="00DE3408">
      <w:pPr>
        <w:pStyle w:val="CETReferencetext"/>
      </w:pPr>
      <w:r w:rsidRPr="00132D7E">
        <w:t>Malone E.R., Oliva M., Sabatini P.J.B., Stockley T.L., Siu L.L.</w:t>
      </w:r>
      <w:r>
        <w:t xml:space="preserve">, </w:t>
      </w:r>
      <w:r w:rsidR="00DE3408" w:rsidRPr="00034DFD">
        <w:t>2020</w:t>
      </w:r>
      <w:r>
        <w:t>,</w:t>
      </w:r>
      <w:r w:rsidR="00DE3408" w:rsidRPr="00034DFD">
        <w:t xml:space="preserve"> Molecular profiling for precision cancer therapies. Genome Med</w:t>
      </w:r>
      <w:r>
        <w:t>,</w:t>
      </w:r>
      <w:r w:rsidR="00DE3408" w:rsidRPr="00034DFD">
        <w:t xml:space="preserve"> 12(8)</w:t>
      </w:r>
      <w:r>
        <w:t xml:space="preserve">, </w:t>
      </w:r>
      <w:r w:rsidR="00DE3408" w:rsidRPr="00034DFD">
        <w:t>1-19.</w:t>
      </w:r>
    </w:p>
    <w:p w14:paraId="1AD84B6F" w14:textId="22515A69" w:rsidR="00DE3408" w:rsidRPr="00034DFD" w:rsidRDefault="00132D7E" w:rsidP="00DE3408">
      <w:pPr>
        <w:pStyle w:val="CETReferencetext"/>
      </w:pPr>
      <w:proofErr w:type="spellStart"/>
      <w:r w:rsidRPr="00132D7E">
        <w:t>Merkow</w:t>
      </w:r>
      <w:proofErr w:type="spellEnd"/>
      <w:r w:rsidRPr="00132D7E">
        <w:t xml:space="preserve"> R.P., Korenstein D., </w:t>
      </w:r>
      <w:proofErr w:type="spellStart"/>
      <w:r w:rsidRPr="00132D7E">
        <w:t>Yeahia</w:t>
      </w:r>
      <w:proofErr w:type="spellEnd"/>
      <w:r w:rsidRPr="00132D7E">
        <w:t xml:space="preserve"> R., Bach P.B., Baxi S.S.</w:t>
      </w:r>
      <w:r>
        <w:t xml:space="preserve">, </w:t>
      </w:r>
      <w:r w:rsidR="00DE3408" w:rsidRPr="00034DFD">
        <w:t>2017</w:t>
      </w:r>
      <w:r>
        <w:t>,</w:t>
      </w:r>
      <w:r w:rsidR="00DE3408" w:rsidRPr="00034DFD">
        <w:t xml:space="preserve"> Quality of cancer surveillance clinical practice guidelines: Specificity and consistency of recommendations. JAMA Intern Med</w:t>
      </w:r>
      <w:r>
        <w:t>,</w:t>
      </w:r>
      <w:r w:rsidR="00DE3408" w:rsidRPr="00034DFD">
        <w:t xml:space="preserve"> 177(5)</w:t>
      </w:r>
      <w:r>
        <w:t xml:space="preserve">, </w:t>
      </w:r>
      <w:r w:rsidR="00DE3408" w:rsidRPr="00034DFD">
        <w:t>701–709.</w:t>
      </w:r>
    </w:p>
    <w:p w14:paraId="76D29984" w14:textId="260635B4" w:rsidR="00DE3408" w:rsidRPr="00034DFD" w:rsidRDefault="00DE3408" w:rsidP="00DE3408">
      <w:pPr>
        <w:pStyle w:val="CETReferencetext"/>
      </w:pPr>
      <w:r w:rsidRPr="00034DFD">
        <w:t>Meshref R</w:t>
      </w:r>
      <w:r w:rsidR="00132D7E">
        <w:t>.</w:t>
      </w:r>
      <w:r w:rsidRPr="00034DFD">
        <w:t>A</w:t>
      </w:r>
      <w:r w:rsidR="00132D7E">
        <w:t>.</w:t>
      </w:r>
      <w:r w:rsidRPr="00034DFD">
        <w:t xml:space="preserve">, </w:t>
      </w:r>
      <w:proofErr w:type="spellStart"/>
      <w:r w:rsidRPr="00034DFD">
        <w:t>Elaskary</w:t>
      </w:r>
      <w:proofErr w:type="spellEnd"/>
      <w:r w:rsidRPr="00034DFD">
        <w:t xml:space="preserve"> S</w:t>
      </w:r>
      <w:r w:rsidR="00132D7E">
        <w:t>.</w:t>
      </w:r>
      <w:r w:rsidRPr="00034DFD">
        <w:t>A</w:t>
      </w:r>
      <w:r w:rsidR="00132D7E">
        <w:t>.</w:t>
      </w:r>
      <w:r w:rsidRPr="00034DFD">
        <w:t>, Eldrieny A</w:t>
      </w:r>
      <w:r w:rsidR="00132D7E">
        <w:t>.</w:t>
      </w:r>
      <w:r w:rsidRPr="00034DFD">
        <w:t>M</w:t>
      </w:r>
      <w:r w:rsidR="00132D7E">
        <w:t xml:space="preserve">., Salama A.A., Saleem I.A., Mohamed E.I., </w:t>
      </w:r>
      <w:r w:rsidRPr="00034DFD">
        <w:t>2023</w:t>
      </w:r>
      <w:r w:rsidR="00132D7E">
        <w:t>,</w:t>
      </w:r>
      <w:r w:rsidRPr="00034DFD">
        <w:t xml:space="preserve"> Computer-aided system based on deep learning for lymph node lesions diagnosis in CT images from abdominal lymphadenopathy patients. Am J Biomed Sci &amp; Res</w:t>
      </w:r>
      <w:r w:rsidR="00132D7E">
        <w:t>,</w:t>
      </w:r>
      <w:r w:rsidRPr="00034DFD">
        <w:t xml:space="preserve"> 20(2)</w:t>
      </w:r>
      <w:r w:rsidR="00132D7E">
        <w:t xml:space="preserve">, </w:t>
      </w:r>
      <w:r w:rsidRPr="00034DFD">
        <w:t>138-145.</w:t>
      </w:r>
    </w:p>
    <w:p w14:paraId="08586600" w14:textId="5746FFC6" w:rsidR="00DE3408" w:rsidRPr="00034DFD" w:rsidRDefault="00DE3408" w:rsidP="00DE3408">
      <w:pPr>
        <w:pStyle w:val="CETReferencetext"/>
      </w:pPr>
      <w:r w:rsidRPr="00034DFD">
        <w:t>Mohamed E</w:t>
      </w:r>
      <w:r w:rsidR="00132D7E">
        <w:t>.</w:t>
      </w:r>
      <w:r w:rsidRPr="00034DFD">
        <w:t>I</w:t>
      </w:r>
      <w:r w:rsidR="00132D7E">
        <w:t>.</w:t>
      </w:r>
      <w:r w:rsidRPr="00034DFD">
        <w:t>, Mahmoud G</w:t>
      </w:r>
      <w:r w:rsidR="00132D7E">
        <w:t>.</w:t>
      </w:r>
      <w:r w:rsidRPr="00034DFD">
        <w:t>N</w:t>
      </w:r>
      <w:r w:rsidR="00132D7E">
        <w:t>.</w:t>
      </w:r>
      <w:r w:rsidRPr="00034DFD">
        <w:t>, El-</w:t>
      </w:r>
      <w:proofErr w:type="spellStart"/>
      <w:r w:rsidRPr="00034DFD">
        <w:t>Sharkawy</w:t>
      </w:r>
      <w:proofErr w:type="spellEnd"/>
      <w:r w:rsidRPr="00034DFD">
        <w:t xml:space="preserve"> R</w:t>
      </w:r>
      <w:r w:rsidR="00132D7E">
        <w:t>.</w:t>
      </w:r>
      <w:r w:rsidRPr="00034DFD">
        <w:t>M</w:t>
      </w:r>
      <w:r w:rsidR="00132D7E">
        <w:t>., Moro A.M., Abdel-</w:t>
      </w:r>
      <w:proofErr w:type="spellStart"/>
      <w:r w:rsidR="00132D7E">
        <w:t>Mageed</w:t>
      </w:r>
      <w:proofErr w:type="spellEnd"/>
      <w:r w:rsidR="00132D7E">
        <w:t xml:space="preserve"> S.M., Kotb M.A., </w:t>
      </w:r>
      <w:r w:rsidRPr="00034DFD">
        <w:t>2014</w:t>
      </w:r>
      <w:r w:rsidR="00132D7E">
        <w:t>,</w:t>
      </w:r>
      <w:r w:rsidRPr="00034DFD">
        <w:t xml:space="preserve"> Electronic nose for tracking different types of leukaemia: </w:t>
      </w:r>
      <w:proofErr w:type="gramStart"/>
      <w:r w:rsidRPr="00034DFD">
        <w:t>Future prospects</w:t>
      </w:r>
      <w:proofErr w:type="gramEnd"/>
      <w:r w:rsidRPr="00034DFD">
        <w:t xml:space="preserve"> in diagnosis. </w:t>
      </w:r>
      <w:proofErr w:type="spellStart"/>
      <w:r w:rsidRPr="00034DFD">
        <w:t>Hematol</w:t>
      </w:r>
      <w:proofErr w:type="spellEnd"/>
      <w:r w:rsidRPr="00034DFD">
        <w:t xml:space="preserve"> Oncol</w:t>
      </w:r>
      <w:r w:rsidR="00132D7E">
        <w:t>,</w:t>
      </w:r>
      <w:r w:rsidRPr="00034DFD">
        <w:t xml:space="preserve"> 32(3)</w:t>
      </w:r>
      <w:r w:rsidR="00132D7E">
        <w:t xml:space="preserve">, </w:t>
      </w:r>
      <w:r w:rsidRPr="00034DFD">
        <w:t>165-7.</w:t>
      </w:r>
    </w:p>
    <w:p w14:paraId="424DCA05" w14:textId="59CF3069" w:rsidR="00DE3408" w:rsidRPr="00034DFD" w:rsidRDefault="00132D7E" w:rsidP="00DE3408">
      <w:pPr>
        <w:pStyle w:val="CETReferencetext"/>
      </w:pPr>
      <w:r w:rsidRPr="00132D7E">
        <w:t>Mohamed E.I., Mohamed M.A., Abdel-</w:t>
      </w:r>
      <w:proofErr w:type="spellStart"/>
      <w:r w:rsidRPr="00132D7E">
        <w:t>Mageed</w:t>
      </w:r>
      <w:proofErr w:type="spellEnd"/>
      <w:r w:rsidRPr="00132D7E">
        <w:t xml:space="preserve"> S.M., Abdel-</w:t>
      </w:r>
      <w:proofErr w:type="spellStart"/>
      <w:r w:rsidRPr="00132D7E">
        <w:t>Mohdy</w:t>
      </w:r>
      <w:proofErr w:type="spellEnd"/>
      <w:r w:rsidRPr="00132D7E">
        <w:t xml:space="preserve"> T.S., Badawi M.I., Darwish S.H.</w:t>
      </w:r>
      <w:r>
        <w:t xml:space="preserve">, </w:t>
      </w:r>
      <w:r w:rsidR="00DE3408" w:rsidRPr="00034DFD">
        <w:t>2019</w:t>
      </w:r>
      <w:r>
        <w:t>,</w:t>
      </w:r>
      <w:r w:rsidR="00DE3408" w:rsidRPr="00034DFD">
        <w:t xml:space="preserve"> Volatile organic compounds of biofluids for detecting lung cancer by an electronic nose based on artificial neural network. J Appl Biomed</w:t>
      </w:r>
      <w:r>
        <w:t>,</w:t>
      </w:r>
      <w:r w:rsidR="00DE3408" w:rsidRPr="00034DFD">
        <w:t xml:space="preserve"> 17(1)</w:t>
      </w:r>
      <w:r>
        <w:t xml:space="preserve">, </w:t>
      </w:r>
      <w:r w:rsidR="00DE3408" w:rsidRPr="00034DFD">
        <w:t>67.</w:t>
      </w:r>
    </w:p>
    <w:p w14:paraId="3D4BE840" w14:textId="7C81120B" w:rsidR="00DE3408" w:rsidRPr="00034DFD" w:rsidRDefault="00DE3408" w:rsidP="00DE3408">
      <w:pPr>
        <w:pStyle w:val="CETReferencetext"/>
      </w:pPr>
      <w:r w:rsidRPr="00034DFD">
        <w:t>Mohamed E</w:t>
      </w:r>
      <w:r w:rsidR="00A43C07">
        <w:t>.</w:t>
      </w:r>
      <w:r w:rsidRPr="00034DFD">
        <w:t>I</w:t>
      </w:r>
      <w:r w:rsidR="00A43C07">
        <w:t>.</w:t>
      </w:r>
      <w:r w:rsidRPr="00034DFD">
        <w:t>, Moustafa M</w:t>
      </w:r>
      <w:r w:rsidR="00A43C07">
        <w:t>.</w:t>
      </w:r>
      <w:r w:rsidRPr="00034DFD">
        <w:t>H</w:t>
      </w:r>
      <w:r w:rsidR="00A43C07">
        <w:t>.</w:t>
      </w:r>
      <w:r w:rsidRPr="00034DFD">
        <w:t>, Mohamed M</w:t>
      </w:r>
      <w:r w:rsidR="00A43C07">
        <w:t>.</w:t>
      </w:r>
      <w:r w:rsidRPr="00034DFD">
        <w:t>A</w:t>
      </w:r>
      <w:r w:rsidR="00A43C07">
        <w:t>.,</w:t>
      </w:r>
      <w:r w:rsidRPr="00034DFD">
        <w:t xml:space="preserve"> </w:t>
      </w:r>
      <w:proofErr w:type="spellStart"/>
      <w:r w:rsidR="00A43C07" w:rsidRPr="00A43C07">
        <w:t>Awad</w:t>
      </w:r>
      <w:proofErr w:type="spellEnd"/>
      <w:r w:rsidR="00A43C07">
        <w:t xml:space="preserve"> S.I.</w:t>
      </w:r>
      <w:r w:rsidR="00A43C07" w:rsidRPr="00A43C07">
        <w:t>, Maghraby</w:t>
      </w:r>
      <w:r w:rsidR="00A43C07">
        <w:t xml:space="preserve"> H.K.</w:t>
      </w:r>
      <w:r w:rsidR="00A43C07" w:rsidRPr="00A43C07">
        <w:t xml:space="preserve">, </w:t>
      </w:r>
      <w:proofErr w:type="spellStart"/>
      <w:r w:rsidR="00A43C07" w:rsidRPr="00A43C07">
        <w:t>Godeto</w:t>
      </w:r>
      <w:proofErr w:type="spellEnd"/>
      <w:r w:rsidR="00A43C07">
        <w:t xml:space="preserve"> T.W.,</w:t>
      </w:r>
      <w:r w:rsidR="00A43C07" w:rsidRPr="00A43C07">
        <w:t xml:space="preserve"> Ross</w:t>
      </w:r>
      <w:r w:rsidR="00A43C07">
        <w:t xml:space="preserve"> B.M., </w:t>
      </w:r>
      <w:r w:rsidRPr="00034DFD">
        <w:t>2017</w:t>
      </w:r>
      <w:r w:rsidR="00A43C07">
        <w:t>,</w:t>
      </w:r>
      <w:r w:rsidRPr="00034DFD">
        <w:t xml:space="preserve"> Qualitative and quantitative analysis of biological samples from non-metastatic breast cancer patients. Breast Cancer Rep</w:t>
      </w:r>
      <w:r w:rsidR="00A43C07">
        <w:t>,</w:t>
      </w:r>
      <w:r w:rsidRPr="00034DFD">
        <w:t xml:space="preserve"> 4</w:t>
      </w:r>
      <w:r w:rsidR="00A43C07">
        <w:t xml:space="preserve">, </w:t>
      </w:r>
      <w:r w:rsidRPr="00034DFD">
        <w:t>3.</w:t>
      </w:r>
    </w:p>
    <w:p w14:paraId="5E3D9EC4" w14:textId="46BFB06B" w:rsidR="00DE3408" w:rsidRPr="00034DFD" w:rsidRDefault="00DE3408" w:rsidP="00DE3408">
      <w:pPr>
        <w:pStyle w:val="CETReferencetext"/>
      </w:pPr>
      <w:r w:rsidRPr="00034DFD">
        <w:t>Salama A</w:t>
      </w:r>
      <w:r w:rsidR="00A43C07">
        <w:t>.</w:t>
      </w:r>
      <w:r w:rsidRPr="00034DFD">
        <w:t>A</w:t>
      </w:r>
      <w:r w:rsidR="00A43C07">
        <w:t>.</w:t>
      </w:r>
      <w:r w:rsidRPr="00034DFD">
        <w:t>, Darwish S</w:t>
      </w:r>
      <w:r w:rsidR="00A43C07">
        <w:t>.</w:t>
      </w:r>
      <w:r w:rsidRPr="00034DFD">
        <w:t>H</w:t>
      </w:r>
      <w:r w:rsidR="00A43C07">
        <w:t>.</w:t>
      </w:r>
      <w:r w:rsidRPr="00034DFD">
        <w:t>, Abdel-</w:t>
      </w:r>
      <w:proofErr w:type="spellStart"/>
      <w:r w:rsidRPr="00034DFD">
        <w:t>Mageed</w:t>
      </w:r>
      <w:proofErr w:type="spellEnd"/>
      <w:r w:rsidRPr="00034DFD">
        <w:t xml:space="preserve"> S</w:t>
      </w:r>
      <w:r w:rsidR="00A43C07">
        <w:t>.</w:t>
      </w:r>
      <w:r w:rsidRPr="00034DFD">
        <w:t>M</w:t>
      </w:r>
      <w:r w:rsidR="00A43C07">
        <w:t>.</w:t>
      </w:r>
      <w:r w:rsidRPr="00034DFD">
        <w:t>, Meshref R</w:t>
      </w:r>
      <w:r w:rsidR="00A43C07">
        <w:t>.</w:t>
      </w:r>
      <w:r w:rsidRPr="00034DFD">
        <w:t>A</w:t>
      </w:r>
      <w:r w:rsidR="00A43C07">
        <w:t>.</w:t>
      </w:r>
      <w:r w:rsidRPr="00034DFD">
        <w:t>, Mohamed E</w:t>
      </w:r>
      <w:r w:rsidR="00A43C07">
        <w:t>.</w:t>
      </w:r>
      <w:r w:rsidRPr="00034DFD">
        <w:t>I</w:t>
      </w:r>
      <w:r w:rsidR="00A43C07">
        <w:t>.,</w:t>
      </w:r>
      <w:r w:rsidRPr="00034DFD">
        <w:t xml:space="preserve"> 2021</w:t>
      </w:r>
      <w:r w:rsidR="00A43C07">
        <w:t xml:space="preserve">, </w:t>
      </w:r>
      <w:r w:rsidRPr="00034DFD">
        <w:t xml:space="preserve">Deep convolutional neural networks for accurate diagnosis of COVID-19 patients using chest X-ray image databases from Italy, Canada, and the USA. </w:t>
      </w:r>
      <w:proofErr w:type="spellStart"/>
      <w:r w:rsidRPr="00034DFD">
        <w:t>Univ</w:t>
      </w:r>
      <w:proofErr w:type="spellEnd"/>
      <w:r w:rsidRPr="00034DFD">
        <w:t xml:space="preserve"> Louisville J </w:t>
      </w:r>
      <w:proofErr w:type="spellStart"/>
      <w:r w:rsidRPr="00034DFD">
        <w:t>Resp</w:t>
      </w:r>
      <w:proofErr w:type="spellEnd"/>
      <w:r w:rsidRPr="00034DFD">
        <w:t xml:space="preserve"> Infect</w:t>
      </w:r>
      <w:r w:rsidR="00A43C07">
        <w:t>,</w:t>
      </w:r>
      <w:r w:rsidRPr="00034DFD">
        <w:t xml:space="preserve"> 5(1)</w:t>
      </w:r>
      <w:r w:rsidR="00A43C07">
        <w:t xml:space="preserve">, </w:t>
      </w:r>
      <w:r w:rsidRPr="00034DFD">
        <w:t>34.</w:t>
      </w:r>
    </w:p>
    <w:p w14:paraId="7D00B3A5" w14:textId="42DFE657" w:rsidR="00DE3408" w:rsidRPr="00034DFD" w:rsidRDefault="00DE3408" w:rsidP="00DE3408">
      <w:pPr>
        <w:pStyle w:val="CETReferencetext"/>
      </w:pPr>
      <w:r w:rsidRPr="00034DFD">
        <w:t>Sarker I</w:t>
      </w:r>
      <w:r w:rsidR="00A43C07">
        <w:t>.</w:t>
      </w:r>
      <w:r w:rsidRPr="00034DFD">
        <w:t>H</w:t>
      </w:r>
      <w:r w:rsidR="00A43C07">
        <w:t>.,</w:t>
      </w:r>
      <w:r w:rsidRPr="00034DFD">
        <w:t xml:space="preserve"> 2021</w:t>
      </w:r>
      <w:r w:rsidR="00A43C07">
        <w:t>,</w:t>
      </w:r>
      <w:r w:rsidRPr="00034DFD">
        <w:t xml:space="preserve"> Machine learning: Algorithms, real-world </w:t>
      </w:r>
      <w:proofErr w:type="gramStart"/>
      <w:r w:rsidRPr="00034DFD">
        <w:t>applications</w:t>
      </w:r>
      <w:proofErr w:type="gramEnd"/>
      <w:r w:rsidRPr="00034DFD">
        <w:t xml:space="preserve"> and research directions. SN </w:t>
      </w:r>
      <w:proofErr w:type="spellStart"/>
      <w:r w:rsidRPr="00034DFD">
        <w:t>Comput</w:t>
      </w:r>
      <w:proofErr w:type="spellEnd"/>
      <w:r w:rsidRPr="00034DFD">
        <w:t xml:space="preserve"> Sci</w:t>
      </w:r>
      <w:r w:rsidR="00A43C07">
        <w:t>,</w:t>
      </w:r>
      <w:r w:rsidRPr="00034DFD">
        <w:t xml:space="preserve"> 2</w:t>
      </w:r>
      <w:r w:rsidR="00A43C07">
        <w:t xml:space="preserve">, </w:t>
      </w:r>
      <w:r w:rsidRPr="00034DFD">
        <w:t>160.</w:t>
      </w:r>
    </w:p>
    <w:p w14:paraId="1EF8B71B" w14:textId="22947FE8" w:rsidR="00DE3408" w:rsidRPr="00034DFD" w:rsidRDefault="00A43C07" w:rsidP="00DE3408">
      <w:pPr>
        <w:pStyle w:val="CETReferencetext"/>
      </w:pPr>
      <w:r w:rsidRPr="00A43C07">
        <w:t>Scheepers M.H.M.C., Al-</w:t>
      </w:r>
      <w:proofErr w:type="spellStart"/>
      <w:r w:rsidRPr="00A43C07">
        <w:t>Difaie</w:t>
      </w:r>
      <w:proofErr w:type="spellEnd"/>
      <w:r w:rsidRPr="00A43C07">
        <w:t xml:space="preserve"> Z., Brandts L., Peeters A., van Grinsven B., Bouvy N.D.</w:t>
      </w:r>
      <w:r>
        <w:t xml:space="preserve">, </w:t>
      </w:r>
      <w:r w:rsidR="00DE3408" w:rsidRPr="00034DFD">
        <w:t>2022</w:t>
      </w:r>
      <w:r>
        <w:t>,</w:t>
      </w:r>
      <w:r w:rsidR="00DE3408" w:rsidRPr="00034DFD">
        <w:t xml:space="preserve"> Diagnostic performance of electronic noses in cancer diagnoses using exhaled breath: A systematic review and meta-analysis. JAMA </w:t>
      </w:r>
      <w:proofErr w:type="spellStart"/>
      <w:r w:rsidR="00DE3408" w:rsidRPr="00034DFD">
        <w:t>Netw</w:t>
      </w:r>
      <w:proofErr w:type="spellEnd"/>
      <w:r w:rsidR="00DE3408" w:rsidRPr="00034DFD">
        <w:t xml:space="preserve"> Open</w:t>
      </w:r>
      <w:r>
        <w:t>,</w:t>
      </w:r>
      <w:r w:rsidR="00DE3408" w:rsidRPr="00034DFD">
        <w:t xml:space="preserve"> 5(6)</w:t>
      </w:r>
      <w:r>
        <w:t xml:space="preserve">, </w:t>
      </w:r>
      <w:r w:rsidR="00DE3408" w:rsidRPr="00034DFD">
        <w:t>e2219372.</w:t>
      </w:r>
    </w:p>
    <w:p w14:paraId="46954B85" w14:textId="35FBBB20" w:rsidR="00DE3408" w:rsidRPr="00034DFD" w:rsidRDefault="00A43C07" w:rsidP="00DE3408">
      <w:pPr>
        <w:pStyle w:val="CETReferencetext"/>
      </w:pPr>
      <w:r w:rsidRPr="00A43C07">
        <w:t>Shah S.C., Kayamba V., Peek R.M. Jr, Heimburger D.</w:t>
      </w:r>
      <w:r>
        <w:t xml:space="preserve">, </w:t>
      </w:r>
      <w:r w:rsidR="00DE3408" w:rsidRPr="00034DFD">
        <w:t>2019</w:t>
      </w:r>
      <w:r>
        <w:t>,</w:t>
      </w:r>
      <w:r w:rsidR="00DE3408" w:rsidRPr="00034DFD">
        <w:t xml:space="preserve"> Cancer control in low- and middle-income countries: Is it time to consider screening? J Glob Oncol</w:t>
      </w:r>
      <w:r>
        <w:t>,</w:t>
      </w:r>
      <w:r w:rsidR="00DE3408" w:rsidRPr="00034DFD">
        <w:t xml:space="preserve"> 5</w:t>
      </w:r>
      <w:r>
        <w:t xml:space="preserve">, </w:t>
      </w:r>
      <w:r w:rsidR="00DE3408" w:rsidRPr="00034DFD">
        <w:t>1-8.</w:t>
      </w:r>
    </w:p>
    <w:p w14:paraId="687EF672" w14:textId="15469E48" w:rsidR="00DE3408" w:rsidRPr="00034DFD" w:rsidRDefault="00DE3408" w:rsidP="00DE3408">
      <w:pPr>
        <w:pStyle w:val="CETReferencetext"/>
      </w:pPr>
      <w:proofErr w:type="spellStart"/>
      <w:r w:rsidRPr="00034DFD">
        <w:t>Shirasu</w:t>
      </w:r>
      <w:proofErr w:type="spellEnd"/>
      <w:r w:rsidRPr="00034DFD">
        <w:t xml:space="preserve"> M</w:t>
      </w:r>
      <w:r w:rsidR="00A43C07">
        <w:t>.</w:t>
      </w:r>
      <w:r w:rsidRPr="00034DFD">
        <w:t xml:space="preserve">, </w:t>
      </w:r>
      <w:proofErr w:type="spellStart"/>
      <w:r w:rsidRPr="00034DFD">
        <w:t>Touhara</w:t>
      </w:r>
      <w:proofErr w:type="spellEnd"/>
      <w:r w:rsidRPr="00034DFD">
        <w:t xml:space="preserve"> K</w:t>
      </w:r>
      <w:r w:rsidR="00A43C07">
        <w:t>.,</w:t>
      </w:r>
      <w:r w:rsidRPr="00034DFD">
        <w:t xml:space="preserve"> 2011</w:t>
      </w:r>
      <w:r w:rsidR="00A43C07">
        <w:t>,</w:t>
      </w:r>
      <w:r w:rsidRPr="00034DFD">
        <w:t xml:space="preserve"> The scent of disease: volatile organic compounds of the human body related to disease and disorder. J </w:t>
      </w:r>
      <w:proofErr w:type="spellStart"/>
      <w:r w:rsidRPr="00034DFD">
        <w:t>Biochem</w:t>
      </w:r>
      <w:proofErr w:type="spellEnd"/>
      <w:r w:rsidR="00A43C07">
        <w:t xml:space="preserve">, </w:t>
      </w:r>
      <w:r w:rsidRPr="00034DFD">
        <w:t>150(3)</w:t>
      </w:r>
      <w:r w:rsidR="00A43C07">
        <w:t xml:space="preserve">, </w:t>
      </w:r>
      <w:r w:rsidRPr="00034DFD">
        <w:t>257-66.</w:t>
      </w:r>
    </w:p>
    <w:p w14:paraId="69C1580A" w14:textId="5132F9F6" w:rsidR="00DE3408" w:rsidRPr="00034DFD" w:rsidRDefault="00A43C07" w:rsidP="00DE3408">
      <w:pPr>
        <w:pStyle w:val="CETReferencetext"/>
      </w:pPr>
      <w:r w:rsidRPr="00A43C07">
        <w:t xml:space="preserve">Sung H., </w:t>
      </w:r>
      <w:proofErr w:type="spellStart"/>
      <w:r w:rsidRPr="00A43C07">
        <w:t>Ferlay</w:t>
      </w:r>
      <w:proofErr w:type="spellEnd"/>
      <w:r w:rsidRPr="00A43C07">
        <w:t xml:space="preserve"> J., Siegel R.L., </w:t>
      </w:r>
      <w:proofErr w:type="spellStart"/>
      <w:r w:rsidRPr="00A43C07">
        <w:t>Laversanne</w:t>
      </w:r>
      <w:proofErr w:type="spellEnd"/>
      <w:r w:rsidRPr="00A43C07">
        <w:t xml:space="preserve"> M., </w:t>
      </w:r>
      <w:proofErr w:type="spellStart"/>
      <w:r w:rsidRPr="00A43C07">
        <w:t>Soerjomataram</w:t>
      </w:r>
      <w:proofErr w:type="spellEnd"/>
      <w:r w:rsidRPr="00A43C07">
        <w:t xml:space="preserve"> I., Jemal A., Bray F.</w:t>
      </w:r>
      <w:r>
        <w:t xml:space="preserve">, </w:t>
      </w:r>
      <w:r w:rsidR="00DE3408" w:rsidRPr="00034DFD">
        <w:t>2021</w:t>
      </w:r>
      <w:r>
        <w:t>,</w:t>
      </w:r>
      <w:r w:rsidR="00DE3408" w:rsidRPr="00034DFD">
        <w:t xml:space="preserve"> Global Cancer Statistics 2020: GLOBOCAN Estimates of Incidence and Mortality Worldwide for 36 Cancers in 185 Countries. CA Cancer J Clin</w:t>
      </w:r>
      <w:r>
        <w:t>,</w:t>
      </w:r>
      <w:r w:rsidR="00DE3408" w:rsidRPr="00034DFD">
        <w:t xml:space="preserve"> 71(3)</w:t>
      </w:r>
      <w:r>
        <w:t xml:space="preserve">, </w:t>
      </w:r>
      <w:r w:rsidR="00DE3408" w:rsidRPr="00034DFD">
        <w:t>209-249.</w:t>
      </w:r>
    </w:p>
    <w:p w14:paraId="5852ACE6" w14:textId="2BAC28FC" w:rsidR="00DE3408" w:rsidRPr="00034DFD" w:rsidRDefault="00DE3408" w:rsidP="00DE3408">
      <w:pPr>
        <w:pStyle w:val="CETReferencetext"/>
      </w:pPr>
      <w:r w:rsidRPr="00034DFD">
        <w:t>Wojnowski W</w:t>
      </w:r>
      <w:r w:rsidR="00A43C07">
        <w:t>.</w:t>
      </w:r>
      <w:r w:rsidRPr="00034DFD">
        <w:t>, Kalinowska K</w:t>
      </w:r>
      <w:r w:rsidR="00A43C07">
        <w:t>.,</w:t>
      </w:r>
      <w:r w:rsidRPr="00034DFD">
        <w:t xml:space="preserve"> 2022</w:t>
      </w:r>
      <w:r w:rsidR="00A43C07">
        <w:t>,</w:t>
      </w:r>
      <w:r w:rsidRPr="00034DFD">
        <w:t xml:space="preserve"> Machine learning and electronic noses for medical diagnostics. In: Artificial intelligence in medicine. pp</w:t>
      </w:r>
      <w:r w:rsidR="00A43C07">
        <w:t>.</w:t>
      </w:r>
      <w:r w:rsidRPr="00034DFD">
        <w:t xml:space="preserve"> 1203–1218.</w:t>
      </w:r>
    </w:p>
    <w:p w14:paraId="76BFD8C8" w14:textId="77777777" w:rsidR="00DE3408" w:rsidRPr="00034DFD" w:rsidRDefault="00DE3408" w:rsidP="00DE3408">
      <w:pPr>
        <w:pStyle w:val="CETReferencetext"/>
      </w:pPr>
      <w:r w:rsidRPr="00034DFD">
        <w:t>World Cancer Research Fund International (WCRFI). Global cancer data by country. https://www.wcrf.org/cancer-trends/global-cancer-data-by-country/. (Last accessed: January 16, 2024).</w:t>
      </w:r>
    </w:p>
    <w:p w14:paraId="1A66E9E3" w14:textId="79276BA0" w:rsidR="00A60DF7" w:rsidRDefault="00DE3408" w:rsidP="00A60DF7">
      <w:pPr>
        <w:pStyle w:val="CETReferencetext"/>
      </w:pPr>
      <w:r w:rsidRPr="00034DFD">
        <w:t>World Health Organization (WHO). Newsroom, Fact Sheets, Detail: Cancer (February 3, 2022). https://www.who.int/news-room/fact-sheets/detail/cancer. (Last accessed: January 16, 2024).</w:t>
      </w:r>
    </w:p>
    <w:sectPr w:rsidR="00A60DF7" w:rsidSect="008B68C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0B57" w14:textId="77777777" w:rsidR="008B68C0" w:rsidRDefault="008B68C0" w:rsidP="004F5E36">
      <w:r>
        <w:separator/>
      </w:r>
    </w:p>
  </w:endnote>
  <w:endnote w:type="continuationSeparator" w:id="0">
    <w:p w14:paraId="7371F385" w14:textId="77777777" w:rsidR="008B68C0" w:rsidRDefault="008B68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2B61" w14:textId="77777777" w:rsidR="008B68C0" w:rsidRDefault="008B68C0" w:rsidP="004F5E36">
      <w:r>
        <w:separator/>
      </w:r>
    </w:p>
  </w:footnote>
  <w:footnote w:type="continuationSeparator" w:id="0">
    <w:p w14:paraId="060B9EB6" w14:textId="77777777" w:rsidR="008B68C0" w:rsidRDefault="008B68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516395">
    <w:abstractNumId w:val="10"/>
  </w:num>
  <w:num w:numId="2" w16cid:durableId="1693460582">
    <w:abstractNumId w:val="8"/>
  </w:num>
  <w:num w:numId="3" w16cid:durableId="509494628">
    <w:abstractNumId w:val="3"/>
  </w:num>
  <w:num w:numId="4" w16cid:durableId="1188911628">
    <w:abstractNumId w:val="2"/>
  </w:num>
  <w:num w:numId="5" w16cid:durableId="1509785167">
    <w:abstractNumId w:val="1"/>
  </w:num>
  <w:num w:numId="6" w16cid:durableId="109083628">
    <w:abstractNumId w:val="0"/>
  </w:num>
  <w:num w:numId="7" w16cid:durableId="1700157459">
    <w:abstractNumId w:val="9"/>
  </w:num>
  <w:num w:numId="8" w16cid:durableId="562526356">
    <w:abstractNumId w:val="7"/>
  </w:num>
  <w:num w:numId="9" w16cid:durableId="183717702">
    <w:abstractNumId w:val="6"/>
  </w:num>
  <w:num w:numId="10" w16cid:durableId="1069696268">
    <w:abstractNumId w:val="5"/>
  </w:num>
  <w:num w:numId="11" w16cid:durableId="1514224657">
    <w:abstractNumId w:val="4"/>
  </w:num>
  <w:num w:numId="12" w16cid:durableId="38894699">
    <w:abstractNumId w:val="17"/>
  </w:num>
  <w:num w:numId="13" w16cid:durableId="736131637">
    <w:abstractNumId w:val="12"/>
  </w:num>
  <w:num w:numId="14" w16cid:durableId="352997145">
    <w:abstractNumId w:val="18"/>
  </w:num>
  <w:num w:numId="15" w16cid:durableId="137839748">
    <w:abstractNumId w:val="20"/>
  </w:num>
  <w:num w:numId="16" w16cid:durableId="1284338746">
    <w:abstractNumId w:val="19"/>
  </w:num>
  <w:num w:numId="17" w16cid:durableId="1331055509">
    <w:abstractNumId w:val="11"/>
  </w:num>
  <w:num w:numId="18" w16cid:durableId="221135817">
    <w:abstractNumId w:val="12"/>
    <w:lvlOverride w:ilvl="0">
      <w:startOverride w:val="1"/>
    </w:lvlOverride>
  </w:num>
  <w:num w:numId="19" w16cid:durableId="479854872">
    <w:abstractNumId w:val="16"/>
  </w:num>
  <w:num w:numId="20" w16cid:durableId="1942950572">
    <w:abstractNumId w:val="15"/>
  </w:num>
  <w:num w:numId="21" w16cid:durableId="463234532">
    <w:abstractNumId w:val="14"/>
  </w:num>
  <w:num w:numId="22" w16cid:durableId="1494024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A0E"/>
    <w:rsid w:val="00031EEC"/>
    <w:rsid w:val="00034DFD"/>
    <w:rsid w:val="00051566"/>
    <w:rsid w:val="0005366E"/>
    <w:rsid w:val="00062A9A"/>
    <w:rsid w:val="00065058"/>
    <w:rsid w:val="00083EAE"/>
    <w:rsid w:val="00086C39"/>
    <w:rsid w:val="0009313F"/>
    <w:rsid w:val="000A03B2"/>
    <w:rsid w:val="000A2B45"/>
    <w:rsid w:val="000D0268"/>
    <w:rsid w:val="000D34BE"/>
    <w:rsid w:val="000E102F"/>
    <w:rsid w:val="000E36F1"/>
    <w:rsid w:val="000E3A73"/>
    <w:rsid w:val="000E414A"/>
    <w:rsid w:val="000F093C"/>
    <w:rsid w:val="000F787B"/>
    <w:rsid w:val="0012091F"/>
    <w:rsid w:val="00125B78"/>
    <w:rsid w:val="00126BC2"/>
    <w:rsid w:val="001308B6"/>
    <w:rsid w:val="0013121F"/>
    <w:rsid w:val="00131FE6"/>
    <w:rsid w:val="0013263F"/>
    <w:rsid w:val="00132D7E"/>
    <w:rsid w:val="001331DF"/>
    <w:rsid w:val="00134DE4"/>
    <w:rsid w:val="0014034D"/>
    <w:rsid w:val="00144D16"/>
    <w:rsid w:val="00150E59"/>
    <w:rsid w:val="00152DE3"/>
    <w:rsid w:val="00162746"/>
    <w:rsid w:val="00164A3C"/>
    <w:rsid w:val="00164CF9"/>
    <w:rsid w:val="001667A6"/>
    <w:rsid w:val="001807AC"/>
    <w:rsid w:val="00184AD6"/>
    <w:rsid w:val="001A4AF7"/>
    <w:rsid w:val="001A7021"/>
    <w:rsid w:val="001B0349"/>
    <w:rsid w:val="001B1E93"/>
    <w:rsid w:val="001B4834"/>
    <w:rsid w:val="001B65C1"/>
    <w:rsid w:val="001C684B"/>
    <w:rsid w:val="001D0CFB"/>
    <w:rsid w:val="001D21AF"/>
    <w:rsid w:val="001D53FC"/>
    <w:rsid w:val="001E32C7"/>
    <w:rsid w:val="001F31BB"/>
    <w:rsid w:val="001F42A5"/>
    <w:rsid w:val="001F7B9D"/>
    <w:rsid w:val="00201C93"/>
    <w:rsid w:val="00212B71"/>
    <w:rsid w:val="002224B4"/>
    <w:rsid w:val="0022759B"/>
    <w:rsid w:val="002447EF"/>
    <w:rsid w:val="00251550"/>
    <w:rsid w:val="00251EDF"/>
    <w:rsid w:val="00263B05"/>
    <w:rsid w:val="00265244"/>
    <w:rsid w:val="00267C84"/>
    <w:rsid w:val="0027221A"/>
    <w:rsid w:val="00275B61"/>
    <w:rsid w:val="00280FAF"/>
    <w:rsid w:val="00282656"/>
    <w:rsid w:val="00296B83"/>
    <w:rsid w:val="002B4015"/>
    <w:rsid w:val="002B46A8"/>
    <w:rsid w:val="002B78CE"/>
    <w:rsid w:val="002C2FB6"/>
    <w:rsid w:val="002C6BA4"/>
    <w:rsid w:val="002E5FA7"/>
    <w:rsid w:val="002F2B19"/>
    <w:rsid w:val="002F3309"/>
    <w:rsid w:val="002F3F40"/>
    <w:rsid w:val="003008CE"/>
    <w:rsid w:val="003009B7"/>
    <w:rsid w:val="00300E56"/>
    <w:rsid w:val="0030469C"/>
    <w:rsid w:val="00321954"/>
    <w:rsid w:val="00321CA6"/>
    <w:rsid w:val="00323763"/>
    <w:rsid w:val="00323C5F"/>
    <w:rsid w:val="00334C09"/>
    <w:rsid w:val="00335F65"/>
    <w:rsid w:val="003723D4"/>
    <w:rsid w:val="00381905"/>
    <w:rsid w:val="003823C9"/>
    <w:rsid w:val="00384CC8"/>
    <w:rsid w:val="003871FD"/>
    <w:rsid w:val="0039539C"/>
    <w:rsid w:val="003A1E30"/>
    <w:rsid w:val="003A2829"/>
    <w:rsid w:val="003A7D1C"/>
    <w:rsid w:val="003B304B"/>
    <w:rsid w:val="003B3146"/>
    <w:rsid w:val="003E22B9"/>
    <w:rsid w:val="003F015E"/>
    <w:rsid w:val="00400414"/>
    <w:rsid w:val="0041446B"/>
    <w:rsid w:val="0044071E"/>
    <w:rsid w:val="0044329C"/>
    <w:rsid w:val="00453E24"/>
    <w:rsid w:val="00457456"/>
    <w:rsid w:val="004577FE"/>
    <w:rsid w:val="00457B9C"/>
    <w:rsid w:val="0046164A"/>
    <w:rsid w:val="004628D2"/>
    <w:rsid w:val="00462DCD"/>
    <w:rsid w:val="004648AD"/>
    <w:rsid w:val="0046591A"/>
    <w:rsid w:val="004703A9"/>
    <w:rsid w:val="004760DE"/>
    <w:rsid w:val="004763D7"/>
    <w:rsid w:val="004A004E"/>
    <w:rsid w:val="004A24CF"/>
    <w:rsid w:val="004C3D1D"/>
    <w:rsid w:val="004C3D84"/>
    <w:rsid w:val="004C5A18"/>
    <w:rsid w:val="004C7913"/>
    <w:rsid w:val="004E4DD6"/>
    <w:rsid w:val="004F5E36"/>
    <w:rsid w:val="00507B47"/>
    <w:rsid w:val="00507BEF"/>
    <w:rsid w:val="00507CC9"/>
    <w:rsid w:val="005119A5"/>
    <w:rsid w:val="00516F8C"/>
    <w:rsid w:val="0052019C"/>
    <w:rsid w:val="005278B7"/>
    <w:rsid w:val="00532016"/>
    <w:rsid w:val="005346C8"/>
    <w:rsid w:val="00543E7D"/>
    <w:rsid w:val="0054406D"/>
    <w:rsid w:val="00547A68"/>
    <w:rsid w:val="005531C9"/>
    <w:rsid w:val="00570C43"/>
    <w:rsid w:val="00574C9B"/>
    <w:rsid w:val="005B2110"/>
    <w:rsid w:val="005B61E6"/>
    <w:rsid w:val="005C77E1"/>
    <w:rsid w:val="005D668A"/>
    <w:rsid w:val="005D6A2F"/>
    <w:rsid w:val="005E1A82"/>
    <w:rsid w:val="005E794C"/>
    <w:rsid w:val="005F0A28"/>
    <w:rsid w:val="005F0E5E"/>
    <w:rsid w:val="005F3D8E"/>
    <w:rsid w:val="00600535"/>
    <w:rsid w:val="00610CD6"/>
    <w:rsid w:val="00620BE0"/>
    <w:rsid w:val="00620DEE"/>
    <w:rsid w:val="00621F92"/>
    <w:rsid w:val="0062280A"/>
    <w:rsid w:val="00625639"/>
    <w:rsid w:val="0063140D"/>
    <w:rsid w:val="00631B33"/>
    <w:rsid w:val="0064184D"/>
    <w:rsid w:val="006422CC"/>
    <w:rsid w:val="00660E3E"/>
    <w:rsid w:val="00662E74"/>
    <w:rsid w:val="00680C23"/>
    <w:rsid w:val="00693766"/>
    <w:rsid w:val="006A3281"/>
    <w:rsid w:val="006B4888"/>
    <w:rsid w:val="006B5269"/>
    <w:rsid w:val="006C2E45"/>
    <w:rsid w:val="006C359C"/>
    <w:rsid w:val="006C5579"/>
    <w:rsid w:val="006D14E7"/>
    <w:rsid w:val="006D6E8B"/>
    <w:rsid w:val="006E1258"/>
    <w:rsid w:val="006E737D"/>
    <w:rsid w:val="007000DF"/>
    <w:rsid w:val="00713973"/>
    <w:rsid w:val="00720A24"/>
    <w:rsid w:val="00730715"/>
    <w:rsid w:val="00732386"/>
    <w:rsid w:val="0073514D"/>
    <w:rsid w:val="007447F3"/>
    <w:rsid w:val="0075499F"/>
    <w:rsid w:val="007661C8"/>
    <w:rsid w:val="0077098D"/>
    <w:rsid w:val="007931FA"/>
    <w:rsid w:val="007A0DD2"/>
    <w:rsid w:val="007A4861"/>
    <w:rsid w:val="007A7BBA"/>
    <w:rsid w:val="007B0C50"/>
    <w:rsid w:val="007B48F9"/>
    <w:rsid w:val="007C1A43"/>
    <w:rsid w:val="007E206C"/>
    <w:rsid w:val="0080013E"/>
    <w:rsid w:val="00811EA6"/>
    <w:rsid w:val="00813288"/>
    <w:rsid w:val="008168FC"/>
    <w:rsid w:val="00830996"/>
    <w:rsid w:val="008345F1"/>
    <w:rsid w:val="00865B07"/>
    <w:rsid w:val="008667EA"/>
    <w:rsid w:val="00872A01"/>
    <w:rsid w:val="0087637F"/>
    <w:rsid w:val="00892AD5"/>
    <w:rsid w:val="008A1512"/>
    <w:rsid w:val="008B68C0"/>
    <w:rsid w:val="008C01EB"/>
    <w:rsid w:val="008D27B0"/>
    <w:rsid w:val="008D32B9"/>
    <w:rsid w:val="008D433B"/>
    <w:rsid w:val="008D4A16"/>
    <w:rsid w:val="008E566E"/>
    <w:rsid w:val="008F7A3B"/>
    <w:rsid w:val="0090161A"/>
    <w:rsid w:val="00901EB6"/>
    <w:rsid w:val="00904C62"/>
    <w:rsid w:val="00922BA8"/>
    <w:rsid w:val="00924DAC"/>
    <w:rsid w:val="00927058"/>
    <w:rsid w:val="009308E6"/>
    <w:rsid w:val="00942750"/>
    <w:rsid w:val="009450CE"/>
    <w:rsid w:val="00947179"/>
    <w:rsid w:val="0095164B"/>
    <w:rsid w:val="00954090"/>
    <w:rsid w:val="009573E7"/>
    <w:rsid w:val="00962945"/>
    <w:rsid w:val="00963E05"/>
    <w:rsid w:val="00964A45"/>
    <w:rsid w:val="00967843"/>
    <w:rsid w:val="00967D54"/>
    <w:rsid w:val="00971028"/>
    <w:rsid w:val="00993B84"/>
    <w:rsid w:val="00996483"/>
    <w:rsid w:val="00996F5A"/>
    <w:rsid w:val="00997862"/>
    <w:rsid w:val="009B041A"/>
    <w:rsid w:val="009C37C3"/>
    <w:rsid w:val="009C43F6"/>
    <w:rsid w:val="009C7C86"/>
    <w:rsid w:val="009D2FF7"/>
    <w:rsid w:val="009E7884"/>
    <w:rsid w:val="009E788A"/>
    <w:rsid w:val="009F001C"/>
    <w:rsid w:val="009F0E08"/>
    <w:rsid w:val="00A1763D"/>
    <w:rsid w:val="00A17CEC"/>
    <w:rsid w:val="00A226A0"/>
    <w:rsid w:val="00A27EF0"/>
    <w:rsid w:val="00A42361"/>
    <w:rsid w:val="00A43C07"/>
    <w:rsid w:val="00A50B20"/>
    <w:rsid w:val="00A51390"/>
    <w:rsid w:val="00A60D13"/>
    <w:rsid w:val="00A60DF7"/>
    <w:rsid w:val="00A6515F"/>
    <w:rsid w:val="00A7223D"/>
    <w:rsid w:val="00A72745"/>
    <w:rsid w:val="00A76EFC"/>
    <w:rsid w:val="00A91010"/>
    <w:rsid w:val="00A97F29"/>
    <w:rsid w:val="00AA702E"/>
    <w:rsid w:val="00AB0964"/>
    <w:rsid w:val="00AB5011"/>
    <w:rsid w:val="00AC6B42"/>
    <w:rsid w:val="00AC7242"/>
    <w:rsid w:val="00AC7368"/>
    <w:rsid w:val="00AD16B9"/>
    <w:rsid w:val="00AE377D"/>
    <w:rsid w:val="00AF0EBA"/>
    <w:rsid w:val="00B02C8A"/>
    <w:rsid w:val="00B14780"/>
    <w:rsid w:val="00B17FBD"/>
    <w:rsid w:val="00B315A6"/>
    <w:rsid w:val="00B31813"/>
    <w:rsid w:val="00B33365"/>
    <w:rsid w:val="00B461BE"/>
    <w:rsid w:val="00B57B36"/>
    <w:rsid w:val="00B57E6F"/>
    <w:rsid w:val="00B8686D"/>
    <w:rsid w:val="00B93F69"/>
    <w:rsid w:val="00BB1DDC"/>
    <w:rsid w:val="00BC274D"/>
    <w:rsid w:val="00BC30C9"/>
    <w:rsid w:val="00BD077D"/>
    <w:rsid w:val="00BD561A"/>
    <w:rsid w:val="00BE27B3"/>
    <w:rsid w:val="00BE3E58"/>
    <w:rsid w:val="00C01616"/>
    <w:rsid w:val="00C0162B"/>
    <w:rsid w:val="00C068ED"/>
    <w:rsid w:val="00C22E0C"/>
    <w:rsid w:val="00C345B1"/>
    <w:rsid w:val="00C37813"/>
    <w:rsid w:val="00C40142"/>
    <w:rsid w:val="00C4495C"/>
    <w:rsid w:val="00C52C3C"/>
    <w:rsid w:val="00C53EAC"/>
    <w:rsid w:val="00C57182"/>
    <w:rsid w:val="00C57863"/>
    <w:rsid w:val="00C640AF"/>
    <w:rsid w:val="00C655FD"/>
    <w:rsid w:val="00C75407"/>
    <w:rsid w:val="00C870A8"/>
    <w:rsid w:val="00C94434"/>
    <w:rsid w:val="00CA0D75"/>
    <w:rsid w:val="00CA1C95"/>
    <w:rsid w:val="00CA5A9C"/>
    <w:rsid w:val="00CB650D"/>
    <w:rsid w:val="00CC4C20"/>
    <w:rsid w:val="00CD3517"/>
    <w:rsid w:val="00CD5FE2"/>
    <w:rsid w:val="00CE7C68"/>
    <w:rsid w:val="00D02B4C"/>
    <w:rsid w:val="00D040C4"/>
    <w:rsid w:val="00D20AD1"/>
    <w:rsid w:val="00D30540"/>
    <w:rsid w:val="00D425E8"/>
    <w:rsid w:val="00D46B7E"/>
    <w:rsid w:val="00D50D7D"/>
    <w:rsid w:val="00D57C84"/>
    <w:rsid w:val="00D6057D"/>
    <w:rsid w:val="00D71640"/>
    <w:rsid w:val="00D836C5"/>
    <w:rsid w:val="00D84576"/>
    <w:rsid w:val="00DA1399"/>
    <w:rsid w:val="00DA24C6"/>
    <w:rsid w:val="00DA4D7B"/>
    <w:rsid w:val="00DD271C"/>
    <w:rsid w:val="00DE264A"/>
    <w:rsid w:val="00DE3408"/>
    <w:rsid w:val="00DF5072"/>
    <w:rsid w:val="00E02D18"/>
    <w:rsid w:val="00E041E7"/>
    <w:rsid w:val="00E23CA1"/>
    <w:rsid w:val="00E409A8"/>
    <w:rsid w:val="00E41C02"/>
    <w:rsid w:val="00E50C12"/>
    <w:rsid w:val="00E65B91"/>
    <w:rsid w:val="00E7209D"/>
    <w:rsid w:val="00E72EAD"/>
    <w:rsid w:val="00E77223"/>
    <w:rsid w:val="00E77C87"/>
    <w:rsid w:val="00E8528B"/>
    <w:rsid w:val="00E85B94"/>
    <w:rsid w:val="00E87A41"/>
    <w:rsid w:val="00E978D0"/>
    <w:rsid w:val="00EA4613"/>
    <w:rsid w:val="00EA6373"/>
    <w:rsid w:val="00EA7F91"/>
    <w:rsid w:val="00EB1523"/>
    <w:rsid w:val="00EC0E49"/>
    <w:rsid w:val="00EC101F"/>
    <w:rsid w:val="00EC1D9F"/>
    <w:rsid w:val="00EE0131"/>
    <w:rsid w:val="00EE17B0"/>
    <w:rsid w:val="00EE57D2"/>
    <w:rsid w:val="00EF05B6"/>
    <w:rsid w:val="00EF06D9"/>
    <w:rsid w:val="00EF7CA4"/>
    <w:rsid w:val="00F04A2E"/>
    <w:rsid w:val="00F1722F"/>
    <w:rsid w:val="00F30C64"/>
    <w:rsid w:val="00F32BA2"/>
    <w:rsid w:val="00F32CDB"/>
    <w:rsid w:val="00F47C0B"/>
    <w:rsid w:val="00F565FE"/>
    <w:rsid w:val="00F63A70"/>
    <w:rsid w:val="00F63D8C"/>
    <w:rsid w:val="00F7534E"/>
    <w:rsid w:val="00F93422"/>
    <w:rsid w:val="00FA098E"/>
    <w:rsid w:val="00FA1802"/>
    <w:rsid w:val="00FA21D0"/>
    <w:rsid w:val="00FA5F5F"/>
    <w:rsid w:val="00FB3545"/>
    <w:rsid w:val="00FB730C"/>
    <w:rsid w:val="00FC2695"/>
    <w:rsid w:val="00FC3E03"/>
    <w:rsid w:val="00FC3FC1"/>
    <w:rsid w:val="00FD572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22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microsoft.com/office/2007/relationships/hdphoto" Target="media/hdphoto4.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3439</Words>
  <Characters>19605</Characters>
  <Application>Microsoft Office Word</Application>
  <DocSecurity>0</DocSecurity>
  <Lines>163</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Prof. Ehab I. Mohamed</cp:lastModifiedBy>
  <cp:revision>2</cp:revision>
  <cp:lastPrinted>2015-05-12T18:31:00Z</cp:lastPrinted>
  <dcterms:created xsi:type="dcterms:W3CDTF">2024-03-29T11:13:00Z</dcterms:created>
  <dcterms:modified xsi:type="dcterms:W3CDTF">2024-03-29T11:13:00Z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