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268C6" w14:paraId="2A131A54" w14:textId="77777777" w:rsidTr="0066691A">
        <w:trPr>
          <w:trHeight w:val="852"/>
          <w:jc w:val="center"/>
        </w:trPr>
        <w:tc>
          <w:tcPr>
            <w:tcW w:w="6940" w:type="dxa"/>
            <w:vMerge w:val="restart"/>
            <w:tcBorders>
              <w:right w:val="single" w:sz="4" w:space="0" w:color="auto"/>
            </w:tcBorders>
          </w:tcPr>
          <w:p w14:paraId="38C3D2BA" w14:textId="77777777" w:rsidR="000A03B2" w:rsidRPr="002268C6" w:rsidRDefault="000A03B2" w:rsidP="00DE264A">
            <w:pPr>
              <w:tabs>
                <w:tab w:val="left" w:pos="-108"/>
              </w:tabs>
              <w:ind w:left="-108"/>
              <w:jc w:val="left"/>
              <w:rPr>
                <w:rFonts w:cs="Arial"/>
                <w:b/>
                <w:bCs/>
                <w:i/>
                <w:iCs/>
                <w:color w:val="000066"/>
                <w:sz w:val="12"/>
                <w:szCs w:val="12"/>
                <w:lang w:eastAsia="it-IT"/>
              </w:rPr>
            </w:pPr>
            <w:r w:rsidRPr="002268C6">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268C6">
              <w:rPr>
                <w:rFonts w:ascii="AdvP6960" w:hAnsi="AdvP6960" w:cs="AdvP6960"/>
                <w:color w:val="241F20"/>
                <w:szCs w:val="18"/>
                <w:lang w:eastAsia="it-IT"/>
              </w:rPr>
              <w:t xml:space="preserve"> </w:t>
            </w:r>
            <w:r w:rsidRPr="002268C6">
              <w:rPr>
                <w:rFonts w:cs="Arial"/>
                <w:b/>
                <w:bCs/>
                <w:i/>
                <w:iCs/>
                <w:color w:val="000066"/>
                <w:sz w:val="24"/>
                <w:szCs w:val="24"/>
                <w:lang w:eastAsia="it-IT"/>
              </w:rPr>
              <w:t>CHEMICAL ENGINEERING</w:t>
            </w:r>
            <w:r w:rsidRPr="002268C6">
              <w:rPr>
                <w:rFonts w:cs="Arial"/>
                <w:b/>
                <w:bCs/>
                <w:i/>
                <w:iCs/>
                <w:color w:val="0033FF"/>
                <w:sz w:val="24"/>
                <w:szCs w:val="24"/>
                <w:lang w:eastAsia="it-IT"/>
              </w:rPr>
              <w:t xml:space="preserve"> </w:t>
            </w:r>
            <w:r w:rsidRPr="002268C6">
              <w:rPr>
                <w:rFonts w:cs="Arial"/>
                <w:b/>
                <w:bCs/>
                <w:i/>
                <w:iCs/>
                <w:color w:val="666666"/>
                <w:sz w:val="24"/>
                <w:szCs w:val="24"/>
                <w:lang w:eastAsia="it-IT"/>
              </w:rPr>
              <w:t>TRANSACTIONS</w:t>
            </w:r>
            <w:r w:rsidRPr="002268C6">
              <w:rPr>
                <w:color w:val="333333"/>
                <w:sz w:val="24"/>
                <w:szCs w:val="24"/>
                <w:lang w:eastAsia="it-IT"/>
              </w:rPr>
              <w:t xml:space="preserve"> </w:t>
            </w:r>
            <w:r w:rsidRPr="002268C6">
              <w:rPr>
                <w:rFonts w:cs="Arial"/>
                <w:b/>
                <w:bCs/>
                <w:i/>
                <w:iCs/>
                <w:color w:val="000066"/>
                <w:sz w:val="27"/>
                <w:szCs w:val="27"/>
                <w:lang w:eastAsia="it-IT"/>
              </w:rPr>
              <w:br/>
            </w:r>
          </w:p>
          <w:p w14:paraId="4B780582" w14:textId="427365E0" w:rsidR="000A03B2" w:rsidRPr="002268C6" w:rsidRDefault="00A76EFC" w:rsidP="001D21AF">
            <w:pPr>
              <w:tabs>
                <w:tab w:val="left" w:pos="-108"/>
              </w:tabs>
              <w:ind w:left="-108"/>
              <w:rPr>
                <w:rFonts w:cs="Arial"/>
                <w:b/>
                <w:bCs/>
                <w:i/>
                <w:iCs/>
                <w:color w:val="000066"/>
                <w:sz w:val="22"/>
                <w:szCs w:val="22"/>
                <w:lang w:eastAsia="it-IT"/>
              </w:rPr>
            </w:pPr>
            <w:r w:rsidRPr="002268C6">
              <w:rPr>
                <w:rFonts w:cs="Arial"/>
                <w:b/>
                <w:bCs/>
                <w:i/>
                <w:iCs/>
                <w:color w:val="000066"/>
                <w:sz w:val="22"/>
                <w:szCs w:val="22"/>
                <w:lang w:eastAsia="it-IT"/>
              </w:rPr>
              <w:t xml:space="preserve">VOL. </w:t>
            </w:r>
            <w:r w:rsidR="00EF7CA4" w:rsidRPr="002268C6">
              <w:rPr>
                <w:rFonts w:cs="Arial"/>
                <w:b/>
                <w:bCs/>
                <w:i/>
                <w:iCs/>
                <w:color w:val="000066"/>
                <w:sz w:val="22"/>
                <w:szCs w:val="22"/>
                <w:lang w:eastAsia="it-IT"/>
              </w:rPr>
              <w:t>xxx</w:t>
            </w:r>
            <w:r w:rsidR="007B48F9" w:rsidRPr="002268C6">
              <w:rPr>
                <w:rFonts w:cs="Arial"/>
                <w:b/>
                <w:bCs/>
                <w:i/>
                <w:iCs/>
                <w:color w:val="000066"/>
                <w:sz w:val="22"/>
                <w:szCs w:val="22"/>
                <w:lang w:eastAsia="it-IT"/>
              </w:rPr>
              <w:t>,</w:t>
            </w:r>
            <w:r w:rsidR="00FA5F5F" w:rsidRPr="002268C6">
              <w:rPr>
                <w:rFonts w:cs="Arial"/>
                <w:b/>
                <w:bCs/>
                <w:i/>
                <w:iCs/>
                <w:color w:val="000066"/>
                <w:sz w:val="22"/>
                <w:szCs w:val="22"/>
                <w:lang w:eastAsia="it-IT"/>
              </w:rPr>
              <w:t xml:space="preserve"> 20</w:t>
            </w:r>
            <w:r w:rsidR="00DF5072" w:rsidRPr="002268C6">
              <w:rPr>
                <w:rFonts w:cs="Arial"/>
                <w:b/>
                <w:bCs/>
                <w:i/>
                <w:iCs/>
                <w:color w:val="000066"/>
                <w:sz w:val="22"/>
                <w:szCs w:val="22"/>
                <w:lang w:eastAsia="it-IT"/>
              </w:rPr>
              <w:t>2</w:t>
            </w:r>
            <w:r w:rsidR="00EF7CA4" w:rsidRPr="002268C6">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2268C6" w:rsidRDefault="000A03B2" w:rsidP="00CD5FE2">
            <w:pPr>
              <w:spacing w:line="140" w:lineRule="atLeast"/>
              <w:jc w:val="right"/>
              <w:rPr>
                <w:rFonts w:cs="Arial"/>
                <w:sz w:val="14"/>
                <w:szCs w:val="14"/>
              </w:rPr>
            </w:pPr>
            <w:r w:rsidRPr="002268C6">
              <w:rPr>
                <w:rFonts w:cs="Arial"/>
                <w:sz w:val="14"/>
                <w:szCs w:val="14"/>
              </w:rPr>
              <w:t>A publication of</w:t>
            </w:r>
          </w:p>
          <w:p w14:paraId="599E5441" w14:textId="77777777" w:rsidR="000A03B2" w:rsidRPr="002268C6" w:rsidRDefault="000A03B2" w:rsidP="00CD5FE2">
            <w:pPr>
              <w:jc w:val="right"/>
            </w:pPr>
            <w:r w:rsidRPr="002268C6">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268C6" w14:paraId="380FA3CD" w14:textId="77777777" w:rsidTr="0066691A">
        <w:trPr>
          <w:trHeight w:val="567"/>
          <w:jc w:val="center"/>
        </w:trPr>
        <w:tc>
          <w:tcPr>
            <w:tcW w:w="6940" w:type="dxa"/>
            <w:vMerge/>
            <w:tcBorders>
              <w:right w:val="single" w:sz="4" w:space="0" w:color="auto"/>
            </w:tcBorders>
          </w:tcPr>
          <w:p w14:paraId="39E5E4C1" w14:textId="77777777" w:rsidR="000A03B2" w:rsidRPr="002268C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268C6" w:rsidRDefault="000A03B2" w:rsidP="00CD5FE2">
            <w:pPr>
              <w:spacing w:line="140" w:lineRule="atLeast"/>
              <w:jc w:val="right"/>
              <w:rPr>
                <w:rFonts w:cs="Arial"/>
                <w:sz w:val="14"/>
                <w:szCs w:val="14"/>
              </w:rPr>
            </w:pPr>
            <w:r w:rsidRPr="002268C6">
              <w:rPr>
                <w:rFonts w:cs="Arial"/>
                <w:sz w:val="14"/>
                <w:szCs w:val="14"/>
              </w:rPr>
              <w:t>The Italian Association</w:t>
            </w:r>
          </w:p>
          <w:p w14:paraId="7522B1D2" w14:textId="77777777" w:rsidR="000A03B2" w:rsidRPr="002268C6" w:rsidRDefault="000A03B2" w:rsidP="00CD5FE2">
            <w:pPr>
              <w:spacing w:line="140" w:lineRule="atLeast"/>
              <w:jc w:val="right"/>
              <w:rPr>
                <w:rFonts w:cs="Arial"/>
                <w:sz w:val="14"/>
                <w:szCs w:val="14"/>
              </w:rPr>
            </w:pPr>
            <w:r w:rsidRPr="002268C6">
              <w:rPr>
                <w:rFonts w:cs="Arial"/>
                <w:sz w:val="14"/>
                <w:szCs w:val="14"/>
              </w:rPr>
              <w:t>of Chemical Engineering</w:t>
            </w:r>
          </w:p>
          <w:p w14:paraId="4F0CC5DE" w14:textId="47FDB2FC" w:rsidR="000A03B2" w:rsidRPr="002268C6" w:rsidRDefault="000D0268" w:rsidP="00CD5FE2">
            <w:pPr>
              <w:spacing w:line="140" w:lineRule="atLeast"/>
              <w:jc w:val="right"/>
              <w:rPr>
                <w:rFonts w:cs="Arial"/>
                <w:sz w:val="13"/>
                <w:szCs w:val="13"/>
              </w:rPr>
            </w:pPr>
            <w:r w:rsidRPr="002268C6">
              <w:rPr>
                <w:rFonts w:cs="Arial"/>
                <w:sz w:val="13"/>
                <w:szCs w:val="13"/>
              </w:rPr>
              <w:t>Online at www.cetjournal.it</w:t>
            </w:r>
          </w:p>
        </w:tc>
      </w:tr>
      <w:tr w:rsidR="000A03B2" w:rsidRPr="002268C6" w14:paraId="2D1B7169" w14:textId="77777777" w:rsidTr="0066691A">
        <w:trPr>
          <w:trHeight w:val="68"/>
          <w:jc w:val="center"/>
        </w:trPr>
        <w:tc>
          <w:tcPr>
            <w:tcW w:w="8782" w:type="dxa"/>
            <w:gridSpan w:val="2"/>
          </w:tcPr>
          <w:p w14:paraId="4B0BB442" w14:textId="1EC8AE73" w:rsidR="00300E56" w:rsidRPr="008A75CF" w:rsidRDefault="00300E56" w:rsidP="00B57E6F">
            <w:pPr>
              <w:ind w:left="-107"/>
              <w:outlineLvl w:val="2"/>
              <w:rPr>
                <w:rFonts w:ascii="Tahoma" w:hAnsi="Tahoma" w:cs="Tahoma"/>
                <w:bCs/>
                <w:color w:val="000000"/>
                <w:sz w:val="14"/>
                <w:szCs w:val="14"/>
                <w:lang w:val="it-IT" w:eastAsia="it-IT"/>
              </w:rPr>
            </w:pPr>
            <w:r w:rsidRPr="008A75CF">
              <w:rPr>
                <w:rFonts w:ascii="Tahoma" w:hAnsi="Tahoma" w:cs="Tahoma"/>
                <w:iCs/>
                <w:color w:val="333333"/>
                <w:sz w:val="14"/>
                <w:szCs w:val="14"/>
                <w:lang w:val="it-IT" w:eastAsia="it-IT"/>
              </w:rPr>
              <w:t>Guest Editors:</w:t>
            </w:r>
            <w:r w:rsidR="001D21AF" w:rsidRPr="008A75CF">
              <w:rPr>
                <w:rFonts w:ascii="Tahoma" w:hAnsi="Tahoma" w:cs="Tahoma"/>
                <w:color w:val="000000"/>
                <w:sz w:val="14"/>
                <w:szCs w:val="14"/>
                <w:shd w:val="clear" w:color="auto" w:fill="FFFFFF"/>
                <w:lang w:val="it-IT"/>
              </w:rPr>
              <w:t xml:space="preserve"> </w:t>
            </w:r>
            <w:r w:rsidR="00323C5F" w:rsidRPr="008A75CF">
              <w:rPr>
                <w:sz w:val="14"/>
                <w:szCs w:val="14"/>
                <w:lang w:val="it-IT"/>
              </w:rPr>
              <w:t>Selena Sironi, Laura Capelli</w:t>
            </w:r>
          </w:p>
          <w:p w14:paraId="1B0F1814" w14:textId="00A3611B" w:rsidR="000A03B2" w:rsidRPr="002268C6" w:rsidRDefault="00FA5F5F" w:rsidP="001D21AF">
            <w:pPr>
              <w:tabs>
                <w:tab w:val="left" w:pos="-108"/>
              </w:tabs>
              <w:spacing w:line="140" w:lineRule="atLeast"/>
              <w:ind w:left="-107"/>
              <w:jc w:val="left"/>
            </w:pPr>
            <w:r w:rsidRPr="002268C6">
              <w:rPr>
                <w:rFonts w:ascii="Tahoma" w:hAnsi="Tahoma" w:cs="Tahoma"/>
                <w:iCs/>
                <w:color w:val="333333"/>
                <w:sz w:val="14"/>
                <w:szCs w:val="14"/>
                <w:lang w:eastAsia="it-IT"/>
              </w:rPr>
              <w:t>Copyright © 20</w:t>
            </w:r>
            <w:r w:rsidR="00DF5072" w:rsidRPr="002268C6">
              <w:rPr>
                <w:rFonts w:ascii="Tahoma" w:hAnsi="Tahoma" w:cs="Tahoma"/>
                <w:iCs/>
                <w:color w:val="333333"/>
                <w:sz w:val="14"/>
                <w:szCs w:val="14"/>
                <w:lang w:eastAsia="it-IT"/>
              </w:rPr>
              <w:t>2</w:t>
            </w:r>
            <w:r w:rsidR="00EF7CA4" w:rsidRPr="002268C6">
              <w:rPr>
                <w:rFonts w:ascii="Tahoma" w:hAnsi="Tahoma" w:cs="Tahoma"/>
                <w:iCs/>
                <w:color w:val="333333"/>
                <w:sz w:val="14"/>
                <w:szCs w:val="14"/>
                <w:lang w:eastAsia="it-IT"/>
              </w:rPr>
              <w:t>4</w:t>
            </w:r>
            <w:r w:rsidR="00904C62" w:rsidRPr="002268C6">
              <w:rPr>
                <w:rFonts w:ascii="Tahoma" w:hAnsi="Tahoma" w:cs="Tahoma"/>
                <w:iCs/>
                <w:color w:val="333333"/>
                <w:sz w:val="14"/>
                <w:szCs w:val="14"/>
                <w:lang w:eastAsia="it-IT"/>
              </w:rPr>
              <w:t xml:space="preserve">, AIDIC </w:t>
            </w:r>
            <w:proofErr w:type="spellStart"/>
            <w:r w:rsidR="00904C62" w:rsidRPr="002268C6">
              <w:rPr>
                <w:rFonts w:ascii="Tahoma" w:hAnsi="Tahoma" w:cs="Tahoma"/>
                <w:iCs/>
                <w:color w:val="333333"/>
                <w:sz w:val="14"/>
                <w:szCs w:val="14"/>
                <w:lang w:eastAsia="it-IT"/>
              </w:rPr>
              <w:t>Servizi</w:t>
            </w:r>
            <w:proofErr w:type="spellEnd"/>
            <w:r w:rsidR="00904C62" w:rsidRPr="002268C6">
              <w:rPr>
                <w:rFonts w:ascii="Tahoma" w:hAnsi="Tahoma" w:cs="Tahoma"/>
                <w:iCs/>
                <w:color w:val="333333"/>
                <w:sz w:val="14"/>
                <w:szCs w:val="14"/>
                <w:lang w:eastAsia="it-IT"/>
              </w:rPr>
              <w:t xml:space="preserve"> </w:t>
            </w:r>
            <w:proofErr w:type="spellStart"/>
            <w:r w:rsidR="00904C62" w:rsidRPr="002268C6">
              <w:rPr>
                <w:rFonts w:ascii="Tahoma" w:hAnsi="Tahoma" w:cs="Tahoma"/>
                <w:iCs/>
                <w:color w:val="333333"/>
                <w:sz w:val="14"/>
                <w:szCs w:val="14"/>
                <w:lang w:eastAsia="it-IT"/>
              </w:rPr>
              <w:t>S.r.l</w:t>
            </w:r>
            <w:proofErr w:type="spellEnd"/>
            <w:r w:rsidR="00904C62" w:rsidRPr="002268C6">
              <w:rPr>
                <w:rFonts w:ascii="Tahoma" w:hAnsi="Tahoma" w:cs="Tahoma"/>
                <w:iCs/>
                <w:color w:val="333333"/>
                <w:sz w:val="14"/>
                <w:szCs w:val="14"/>
                <w:lang w:eastAsia="it-IT"/>
              </w:rPr>
              <w:t>.</w:t>
            </w:r>
            <w:r w:rsidR="00300E56" w:rsidRPr="002268C6">
              <w:rPr>
                <w:rFonts w:ascii="Tahoma" w:hAnsi="Tahoma" w:cs="Tahoma"/>
                <w:iCs/>
                <w:color w:val="333333"/>
                <w:sz w:val="14"/>
                <w:szCs w:val="14"/>
                <w:lang w:eastAsia="it-IT"/>
              </w:rPr>
              <w:br/>
            </w:r>
            <w:r w:rsidR="00300E56" w:rsidRPr="002268C6">
              <w:rPr>
                <w:rFonts w:ascii="Tahoma" w:hAnsi="Tahoma" w:cs="Tahoma"/>
                <w:b/>
                <w:iCs/>
                <w:color w:val="000000"/>
                <w:sz w:val="14"/>
                <w:szCs w:val="14"/>
                <w:lang w:eastAsia="it-IT"/>
              </w:rPr>
              <w:t>ISBN</w:t>
            </w:r>
            <w:r w:rsidR="00300E56" w:rsidRPr="002268C6">
              <w:rPr>
                <w:rFonts w:ascii="Tahoma" w:hAnsi="Tahoma" w:cs="Tahoma"/>
                <w:iCs/>
                <w:color w:val="000000"/>
                <w:sz w:val="14"/>
                <w:szCs w:val="14"/>
                <w:lang w:eastAsia="it-IT"/>
              </w:rPr>
              <w:t xml:space="preserve"> </w:t>
            </w:r>
            <w:r w:rsidR="008D32B9" w:rsidRPr="002268C6">
              <w:rPr>
                <w:rFonts w:ascii="Tahoma" w:hAnsi="Tahoma" w:cs="Tahoma"/>
                <w:sz w:val="14"/>
                <w:szCs w:val="14"/>
              </w:rPr>
              <w:t>97</w:t>
            </w:r>
            <w:r w:rsidR="00EF7CA4" w:rsidRPr="002268C6">
              <w:rPr>
                <w:rFonts w:ascii="Tahoma" w:hAnsi="Tahoma" w:cs="Tahoma"/>
                <w:sz w:val="14"/>
                <w:szCs w:val="14"/>
              </w:rPr>
              <w:t>9</w:t>
            </w:r>
            <w:r w:rsidR="008D32B9" w:rsidRPr="002268C6">
              <w:rPr>
                <w:rFonts w:ascii="Tahoma" w:hAnsi="Tahoma" w:cs="Tahoma"/>
                <w:sz w:val="14"/>
                <w:szCs w:val="14"/>
              </w:rPr>
              <w:t>-</w:t>
            </w:r>
            <w:r w:rsidR="00EF7CA4" w:rsidRPr="002268C6">
              <w:rPr>
                <w:rFonts w:ascii="Tahoma" w:hAnsi="Tahoma" w:cs="Tahoma"/>
                <w:sz w:val="14"/>
                <w:szCs w:val="14"/>
              </w:rPr>
              <w:t>12</w:t>
            </w:r>
            <w:r w:rsidR="008D32B9" w:rsidRPr="002268C6">
              <w:rPr>
                <w:rFonts w:ascii="Tahoma" w:hAnsi="Tahoma" w:cs="Tahoma"/>
                <w:sz w:val="14"/>
                <w:szCs w:val="14"/>
              </w:rPr>
              <w:t>-</w:t>
            </w:r>
            <w:r w:rsidR="00EF7CA4" w:rsidRPr="002268C6">
              <w:rPr>
                <w:rFonts w:ascii="Tahoma" w:hAnsi="Tahoma" w:cs="Tahoma"/>
                <w:sz w:val="14"/>
                <w:szCs w:val="14"/>
              </w:rPr>
              <w:t>81206</w:t>
            </w:r>
            <w:r w:rsidR="00D46B7E" w:rsidRPr="002268C6">
              <w:rPr>
                <w:rFonts w:ascii="Tahoma" w:hAnsi="Tahoma" w:cs="Tahoma"/>
                <w:sz w:val="14"/>
                <w:szCs w:val="14"/>
              </w:rPr>
              <w:t>-</w:t>
            </w:r>
            <w:r w:rsidR="00EF7CA4" w:rsidRPr="002268C6">
              <w:rPr>
                <w:rFonts w:ascii="Tahoma" w:hAnsi="Tahoma" w:cs="Tahoma"/>
                <w:sz w:val="14"/>
                <w:szCs w:val="14"/>
              </w:rPr>
              <w:t>1</w:t>
            </w:r>
            <w:r w:rsidR="006B5269" w:rsidRPr="002268C6">
              <w:rPr>
                <w:rFonts w:ascii="Tahoma" w:hAnsi="Tahoma" w:cs="Tahoma"/>
                <w:sz w:val="14"/>
                <w:szCs w:val="14"/>
              </w:rPr>
              <w:t>3</w:t>
            </w:r>
            <w:r w:rsidR="00D46B7E" w:rsidRPr="002268C6">
              <w:rPr>
                <w:rFonts w:ascii="Tahoma" w:hAnsi="Tahoma" w:cs="Tahoma"/>
                <w:sz w:val="14"/>
                <w:szCs w:val="14"/>
              </w:rPr>
              <w:t>-</w:t>
            </w:r>
            <w:r w:rsidR="006B5269" w:rsidRPr="002268C6">
              <w:rPr>
                <w:rFonts w:ascii="Tahoma" w:hAnsi="Tahoma" w:cs="Tahoma"/>
                <w:sz w:val="14"/>
                <w:szCs w:val="14"/>
              </w:rPr>
              <w:t>7</w:t>
            </w:r>
            <w:r w:rsidR="007B48F9" w:rsidRPr="002268C6">
              <w:rPr>
                <w:rFonts w:ascii="Tahoma" w:hAnsi="Tahoma" w:cs="Tahoma"/>
                <w:iCs/>
                <w:color w:val="333333"/>
                <w:sz w:val="14"/>
                <w:szCs w:val="14"/>
                <w:lang w:eastAsia="it-IT"/>
              </w:rPr>
              <w:t>;</w:t>
            </w:r>
            <w:r w:rsidR="00300E56" w:rsidRPr="002268C6">
              <w:rPr>
                <w:rFonts w:ascii="Tahoma" w:hAnsi="Tahoma" w:cs="Tahoma"/>
                <w:iCs/>
                <w:color w:val="333333"/>
                <w:sz w:val="14"/>
                <w:szCs w:val="14"/>
                <w:lang w:eastAsia="it-IT"/>
              </w:rPr>
              <w:t xml:space="preserve"> </w:t>
            </w:r>
            <w:r w:rsidR="00300E56" w:rsidRPr="002268C6">
              <w:rPr>
                <w:rFonts w:ascii="Tahoma" w:hAnsi="Tahoma" w:cs="Tahoma"/>
                <w:b/>
                <w:iCs/>
                <w:color w:val="333333"/>
                <w:sz w:val="14"/>
                <w:szCs w:val="14"/>
                <w:lang w:eastAsia="it-IT"/>
              </w:rPr>
              <w:t>ISSN</w:t>
            </w:r>
            <w:r w:rsidR="00300E56" w:rsidRPr="002268C6">
              <w:rPr>
                <w:rFonts w:ascii="Tahoma" w:hAnsi="Tahoma" w:cs="Tahoma"/>
                <w:iCs/>
                <w:color w:val="333333"/>
                <w:sz w:val="14"/>
                <w:szCs w:val="14"/>
                <w:lang w:eastAsia="it-IT"/>
              </w:rPr>
              <w:t xml:space="preserve"> 2283-9216</w:t>
            </w:r>
          </w:p>
        </w:tc>
      </w:tr>
    </w:tbl>
    <w:p w14:paraId="2E667253" w14:textId="523A0EEB" w:rsidR="00E978D0" w:rsidRPr="002268C6" w:rsidRDefault="0066691A" w:rsidP="00E978D0">
      <w:pPr>
        <w:pStyle w:val="CETTitle"/>
      </w:pPr>
      <w:r w:rsidRPr="002268C6">
        <w:t xml:space="preserve">The use of sensor-based system </w:t>
      </w:r>
      <w:bookmarkStart w:id="0" w:name="_Hlk161755409"/>
      <w:r w:rsidRPr="002268C6">
        <w:t xml:space="preserve">to measure accurate low odorant concentrations </w:t>
      </w:r>
    </w:p>
    <w:bookmarkEnd w:id="0"/>
    <w:p w14:paraId="0488FED2" w14:textId="2107664B" w:rsidR="00B57E6F" w:rsidRPr="003D54E5" w:rsidRDefault="0066691A" w:rsidP="00B57E6F">
      <w:pPr>
        <w:pStyle w:val="CETAuthors"/>
        <w:rPr>
          <w:noProof w:val="0"/>
          <w:lang w:val="es-ES"/>
        </w:rPr>
      </w:pPr>
      <w:r w:rsidRPr="003D54E5">
        <w:rPr>
          <w:noProof w:val="0"/>
          <w:lang w:val="es-ES"/>
        </w:rPr>
        <w:t>Irene Lara-Ibeas</w:t>
      </w:r>
      <w:r w:rsidR="008A75CF">
        <w:rPr>
          <w:noProof w:val="0"/>
          <w:lang w:val="es-ES"/>
        </w:rPr>
        <w:t>*</w:t>
      </w:r>
      <w:r w:rsidRPr="003D54E5">
        <w:rPr>
          <w:noProof w:val="0"/>
          <w:lang w:val="es-ES"/>
        </w:rPr>
        <w:t>, Javier Fern</w:t>
      </w:r>
      <w:r w:rsidR="00263837" w:rsidRPr="003D54E5">
        <w:rPr>
          <w:noProof w:val="0"/>
          <w:lang w:val="es-ES"/>
        </w:rPr>
        <w:t>á</w:t>
      </w:r>
      <w:r w:rsidRPr="003D54E5">
        <w:rPr>
          <w:noProof w:val="0"/>
          <w:lang w:val="es-ES"/>
        </w:rPr>
        <w:t>ndez</w:t>
      </w:r>
      <w:r w:rsidR="00E354BC" w:rsidRPr="003D54E5">
        <w:rPr>
          <w:noProof w:val="0"/>
          <w:lang w:val="es-ES"/>
        </w:rPr>
        <w:t>-Huerta</w:t>
      </w:r>
      <w:r w:rsidR="008A75CF">
        <w:rPr>
          <w:noProof w:val="0"/>
          <w:lang w:val="es-ES"/>
        </w:rPr>
        <w:t xml:space="preserve">, </w:t>
      </w:r>
      <w:r w:rsidR="008A75CF" w:rsidRPr="003D54E5">
        <w:rPr>
          <w:noProof w:val="0"/>
          <w:lang w:val="es-ES"/>
        </w:rPr>
        <w:t>Edurne Ibarrola-Ulzurrun</w:t>
      </w:r>
    </w:p>
    <w:p w14:paraId="6B2D21B3" w14:textId="6ADE5DF2" w:rsidR="00B57E6F" w:rsidRPr="003D54E5" w:rsidRDefault="00263837" w:rsidP="00C94E59">
      <w:pPr>
        <w:pStyle w:val="CETAddress"/>
        <w:ind w:left="708" w:hanging="708"/>
        <w:rPr>
          <w:noProof w:val="0"/>
          <w:lang w:val="es-ES"/>
        </w:rPr>
      </w:pPr>
      <w:r w:rsidRPr="003D54E5">
        <w:rPr>
          <w:noProof w:val="0"/>
          <w:lang w:val="es-ES"/>
        </w:rPr>
        <w:t xml:space="preserve">Kunak Technologies, </w:t>
      </w:r>
      <w:r w:rsidR="0066691A" w:rsidRPr="003D54E5">
        <w:rPr>
          <w:noProof w:val="0"/>
          <w:lang w:val="es-ES"/>
        </w:rPr>
        <w:t>Polígono Parque Empresarial la Muga, 9, 31160 Orcoyen, Navarra</w:t>
      </w:r>
      <w:r w:rsidRPr="003D54E5">
        <w:rPr>
          <w:noProof w:val="0"/>
          <w:lang w:val="es-ES"/>
        </w:rPr>
        <w:t xml:space="preserve"> </w:t>
      </w:r>
    </w:p>
    <w:p w14:paraId="73F1267A" w14:textId="5EC72385" w:rsidR="00B57E6F" w:rsidRPr="002268C6" w:rsidRDefault="008A75CF" w:rsidP="00B57E6F">
      <w:pPr>
        <w:pStyle w:val="CETemail"/>
        <w:rPr>
          <w:noProof w:val="0"/>
        </w:rPr>
      </w:pPr>
      <w:r>
        <w:rPr>
          <w:noProof w:val="0"/>
        </w:rPr>
        <w:t>ilara</w:t>
      </w:r>
      <w:r w:rsidR="00B57E6F" w:rsidRPr="002268C6">
        <w:rPr>
          <w:noProof w:val="0"/>
        </w:rPr>
        <w:t>@</w:t>
      </w:r>
      <w:r w:rsidR="0066691A" w:rsidRPr="002268C6">
        <w:rPr>
          <w:noProof w:val="0"/>
        </w:rPr>
        <w:t>kunak.es</w:t>
      </w:r>
      <w:r w:rsidR="00B57E6F" w:rsidRPr="002268C6">
        <w:rPr>
          <w:noProof w:val="0"/>
        </w:rPr>
        <w:t xml:space="preserve"> </w:t>
      </w:r>
    </w:p>
    <w:p w14:paraId="406AE06C" w14:textId="48EF3A95" w:rsidR="00C653B8" w:rsidRPr="009B0E77" w:rsidRDefault="009B0E77" w:rsidP="005F6173">
      <w:pPr>
        <w:pStyle w:val="CETBodytext"/>
        <w:rPr>
          <w:lang w:val="en-GB"/>
        </w:rPr>
      </w:pPr>
      <w:r w:rsidRPr="009B0E77">
        <w:rPr>
          <w:lang w:val="en-GB"/>
        </w:rPr>
        <w:t xml:space="preserve">Odour pollution has become a growing concern due to industrialization and public awareness of the importance of preserving a clean environment. Although odours may not pose immediate health risks at low concentrations, prolonged exposure can lead to various adverse effects on human health and socio-economic conflicts. In response to this concern, Instrumental Odour Monitoring Systems (IOMS) are emerging as a solution for real-time monitoring of odour emissions. </w:t>
      </w:r>
      <w:r w:rsidR="00044B0B" w:rsidRPr="009B0E77">
        <w:rPr>
          <w:lang w:val="en-GB"/>
        </w:rPr>
        <w:t xml:space="preserve">The present work </w:t>
      </w:r>
      <w:r w:rsidR="005F6173" w:rsidRPr="009B0E77">
        <w:rPr>
          <w:lang w:val="en-GB"/>
        </w:rPr>
        <w:t xml:space="preserve">shows the performance of </w:t>
      </w:r>
      <w:r w:rsidR="00044B0B" w:rsidRPr="009B0E77">
        <w:rPr>
          <w:lang w:val="en-GB"/>
        </w:rPr>
        <w:t xml:space="preserve">sensor-based </w:t>
      </w:r>
      <w:r w:rsidR="005F6173" w:rsidRPr="009B0E77">
        <w:rPr>
          <w:lang w:val="en-GB"/>
        </w:rPr>
        <w:t>Kunak A</w:t>
      </w:r>
      <w:r w:rsidR="00044B0B" w:rsidRPr="009B0E77">
        <w:rPr>
          <w:lang w:val="en-GB"/>
        </w:rPr>
        <w:t>IR Pro</w:t>
      </w:r>
      <w:r w:rsidR="005F6173" w:rsidRPr="009B0E77">
        <w:rPr>
          <w:lang w:val="en-GB"/>
        </w:rPr>
        <w:t xml:space="preserve"> instrument for odour monitoring </w:t>
      </w:r>
      <w:r w:rsidR="00C653B8" w:rsidRPr="009B0E77">
        <w:rPr>
          <w:lang w:val="en-GB"/>
        </w:rPr>
        <w:t>a</w:t>
      </w:r>
      <w:r w:rsidR="00C653B8" w:rsidRPr="002268C6">
        <w:rPr>
          <w:lang w:val="en-GB"/>
        </w:rPr>
        <w:t xml:space="preserve">t different sites including a WWTP, a sludge treatment </w:t>
      </w:r>
      <w:r w:rsidR="00C653B8">
        <w:rPr>
          <w:lang w:val="en-GB"/>
        </w:rPr>
        <w:t xml:space="preserve">plant </w:t>
      </w:r>
      <w:r w:rsidR="00C653B8" w:rsidRPr="002268C6">
        <w:rPr>
          <w:lang w:val="en-GB"/>
        </w:rPr>
        <w:t xml:space="preserve">and a petrochemical plant by accurately </w:t>
      </w:r>
      <w:r w:rsidR="00820EE7">
        <w:rPr>
          <w:lang w:val="en-GB"/>
        </w:rPr>
        <w:t>measuring</w:t>
      </w:r>
      <w:r w:rsidR="00C653B8" w:rsidRPr="002268C6">
        <w:rPr>
          <w:lang w:val="en-GB"/>
        </w:rPr>
        <w:t xml:space="preserve"> low concentrations of H</w:t>
      </w:r>
      <w:r w:rsidR="00C653B8" w:rsidRPr="002268C6">
        <w:rPr>
          <w:vertAlign w:val="subscript"/>
          <w:lang w:val="en-GB"/>
        </w:rPr>
        <w:t>2</w:t>
      </w:r>
      <w:r w:rsidR="00C653B8" w:rsidRPr="002268C6">
        <w:rPr>
          <w:lang w:val="en-GB"/>
        </w:rPr>
        <w:t>S, VOCs and NH</w:t>
      </w:r>
      <w:r w:rsidR="00C653B8" w:rsidRPr="002268C6">
        <w:rPr>
          <w:vertAlign w:val="subscript"/>
          <w:lang w:val="en-GB"/>
        </w:rPr>
        <w:t>3</w:t>
      </w:r>
      <w:r w:rsidR="00C653B8" w:rsidRPr="002268C6">
        <w:rPr>
          <w:lang w:val="en-GB"/>
        </w:rPr>
        <w:t>.</w:t>
      </w:r>
      <w:r w:rsidR="00C653B8">
        <w:rPr>
          <w:lang w:val="en-GB"/>
        </w:rPr>
        <w:t xml:space="preserve"> In the WWTP, the performance of the system to </w:t>
      </w:r>
      <w:r w:rsidR="00820EE7">
        <w:rPr>
          <w:lang w:val="en-GB"/>
        </w:rPr>
        <w:t>monitor</w:t>
      </w:r>
      <w:r w:rsidR="00C653B8">
        <w:rPr>
          <w:lang w:val="en-GB"/>
        </w:rPr>
        <w:t xml:space="preserve"> H</w:t>
      </w:r>
      <w:r w:rsidR="00C653B8" w:rsidRPr="00AF1442">
        <w:rPr>
          <w:vertAlign w:val="subscript"/>
          <w:lang w:val="en-GB"/>
        </w:rPr>
        <w:t>2</w:t>
      </w:r>
      <w:r w:rsidR="00C653B8">
        <w:rPr>
          <w:lang w:val="en-GB"/>
        </w:rPr>
        <w:t>S in terms of precision and accuracy was evaluated against a H</w:t>
      </w:r>
      <w:r w:rsidR="00C653B8" w:rsidRPr="00AF1442">
        <w:rPr>
          <w:vertAlign w:val="subscript"/>
          <w:lang w:val="en-GB"/>
        </w:rPr>
        <w:t>2</w:t>
      </w:r>
      <w:r w:rsidR="00C653B8">
        <w:rPr>
          <w:lang w:val="en-GB"/>
        </w:rPr>
        <w:t xml:space="preserve">S analyser showing a high </w:t>
      </w:r>
      <w:r w:rsidR="00C653B8" w:rsidRPr="002268C6">
        <w:rPr>
          <w:lang w:val="en-GB"/>
        </w:rPr>
        <w:t>correlation coefficient of 0.77</w:t>
      </w:r>
      <w:r w:rsidR="00C653B8">
        <w:rPr>
          <w:lang w:val="en-GB"/>
        </w:rPr>
        <w:t xml:space="preserve"> and a low MAE of 6.9 ppb</w:t>
      </w:r>
      <w:r w:rsidR="00C653B8" w:rsidRPr="00B80037">
        <w:rPr>
          <w:lang w:val="en-GB"/>
        </w:rPr>
        <w:t xml:space="preserve">. </w:t>
      </w:r>
      <w:r w:rsidR="002678A2" w:rsidRPr="002678A2">
        <w:rPr>
          <w:lang w:val="en-GB"/>
        </w:rPr>
        <w:t>Considering an H</w:t>
      </w:r>
      <w:r w:rsidR="002678A2" w:rsidRPr="00C94E59">
        <w:rPr>
          <w:vertAlign w:val="subscript"/>
          <w:lang w:val="en-GB"/>
        </w:rPr>
        <w:t>2</w:t>
      </w:r>
      <w:r w:rsidR="002678A2" w:rsidRPr="002678A2">
        <w:rPr>
          <w:lang w:val="en-GB"/>
        </w:rPr>
        <w:t>S odour threshold of 8</w:t>
      </w:r>
      <w:r w:rsidR="001F128C">
        <w:rPr>
          <w:lang w:val="en-GB"/>
        </w:rPr>
        <w:t xml:space="preserve"> </w:t>
      </w:r>
      <w:r w:rsidR="002678A2" w:rsidRPr="002678A2">
        <w:rPr>
          <w:lang w:val="en-GB"/>
        </w:rPr>
        <w:t>ppb, the TPR and FPR were calculated to be 0.87 and 0.34</w:t>
      </w:r>
      <w:r w:rsidR="00820EE7">
        <w:rPr>
          <w:lang w:val="en-GB"/>
        </w:rPr>
        <w:t xml:space="preserve">. </w:t>
      </w:r>
      <w:r w:rsidR="00820EE7">
        <w:t xml:space="preserve">By setting a more conservative alarm threshold (20 ppb), </w:t>
      </w:r>
      <w:r w:rsidR="00820EE7" w:rsidRPr="00820EE7">
        <w:t xml:space="preserve">TPR </w:t>
      </w:r>
      <w:r w:rsidR="00820EE7">
        <w:t xml:space="preserve">and FPR can be improved </w:t>
      </w:r>
      <w:r w:rsidR="00820EE7" w:rsidRPr="00820EE7">
        <w:t xml:space="preserve">to 0.89 </w:t>
      </w:r>
      <w:r w:rsidR="00820EE7">
        <w:t>and</w:t>
      </w:r>
      <w:r w:rsidR="00820EE7" w:rsidRPr="00820EE7">
        <w:t xml:space="preserve"> 0.16</w:t>
      </w:r>
      <w:r w:rsidR="00820EE7">
        <w:t>, respectively</w:t>
      </w:r>
      <w:r w:rsidR="00820EE7" w:rsidRPr="00820EE7">
        <w:t>.</w:t>
      </w:r>
      <w:r w:rsidR="002678A2" w:rsidRPr="002678A2">
        <w:rPr>
          <w:lang w:val="en-GB"/>
        </w:rPr>
        <w:t xml:space="preserve"> </w:t>
      </w:r>
      <w:r w:rsidR="00C653B8" w:rsidRPr="00B80037">
        <w:rPr>
          <w:lang w:val="en-GB"/>
        </w:rPr>
        <w:t xml:space="preserve">Moreover, </w:t>
      </w:r>
      <w:r w:rsidR="00C653B8">
        <w:rPr>
          <w:lang w:val="en-GB"/>
        </w:rPr>
        <w:t>b</w:t>
      </w:r>
      <w:r w:rsidR="00C653B8" w:rsidRPr="00B80037">
        <w:rPr>
          <w:lang w:val="en-GB"/>
        </w:rPr>
        <w:t xml:space="preserve">y </w:t>
      </w:r>
      <w:r w:rsidR="00C653B8">
        <w:rPr>
          <w:lang w:val="en-GB"/>
        </w:rPr>
        <w:t>combinin</w:t>
      </w:r>
      <w:r w:rsidR="00C653B8" w:rsidRPr="00B80037">
        <w:rPr>
          <w:lang w:val="en-GB"/>
        </w:rPr>
        <w:t>g the complementary responses of different sensors, such as those for H</w:t>
      </w:r>
      <w:r w:rsidR="00C653B8" w:rsidRPr="00B80037">
        <w:rPr>
          <w:vertAlign w:val="subscript"/>
          <w:lang w:val="en-GB"/>
        </w:rPr>
        <w:t>2</w:t>
      </w:r>
      <w:r w:rsidR="00C653B8" w:rsidRPr="00B80037">
        <w:rPr>
          <w:lang w:val="en-GB"/>
        </w:rPr>
        <w:t>S and VOCs,</w:t>
      </w:r>
      <w:r w:rsidR="00C653B8">
        <w:rPr>
          <w:lang w:val="en-GB"/>
        </w:rPr>
        <w:t xml:space="preserve"> emissions of additional compounds can be inferred, increasing the capabilities of th</w:t>
      </w:r>
      <w:r>
        <w:rPr>
          <w:lang w:val="en-GB"/>
        </w:rPr>
        <w:t>ese</w:t>
      </w:r>
      <w:r w:rsidR="00C653B8">
        <w:rPr>
          <w:lang w:val="en-GB"/>
        </w:rPr>
        <w:t xml:space="preserve"> systems. In a sludge treatment and a petrochemical plant, t</w:t>
      </w:r>
      <w:r w:rsidR="00C653B8" w:rsidRPr="00FD73BF">
        <w:rPr>
          <w:lang w:val="en-GB"/>
        </w:rPr>
        <w:t>he deployment of monitoring devices for VOCs, H</w:t>
      </w:r>
      <w:r w:rsidR="00C653B8" w:rsidRPr="00766AF0">
        <w:rPr>
          <w:vertAlign w:val="subscript"/>
          <w:lang w:val="en-GB"/>
        </w:rPr>
        <w:t>2</w:t>
      </w:r>
      <w:r w:rsidR="00C653B8" w:rsidRPr="00FD73BF">
        <w:rPr>
          <w:lang w:val="en-GB"/>
        </w:rPr>
        <w:t>S, and NH</w:t>
      </w:r>
      <w:r w:rsidR="00C653B8" w:rsidRPr="00766AF0">
        <w:rPr>
          <w:vertAlign w:val="subscript"/>
          <w:lang w:val="en-GB"/>
        </w:rPr>
        <w:t>3</w:t>
      </w:r>
      <w:r w:rsidR="00C653B8" w:rsidRPr="00FD73BF">
        <w:rPr>
          <w:lang w:val="en-GB"/>
        </w:rPr>
        <w:t xml:space="preserve"> </w:t>
      </w:r>
      <w:r w:rsidR="00C653B8">
        <w:rPr>
          <w:lang w:val="en-GB"/>
        </w:rPr>
        <w:t xml:space="preserve">and meteorological data </w:t>
      </w:r>
      <w:r w:rsidR="00C653B8" w:rsidRPr="00FD73BF">
        <w:rPr>
          <w:lang w:val="en-GB"/>
        </w:rPr>
        <w:t>provided valuable insights into the temporal variations and spatial distribution of these compounds within the studied facilities</w:t>
      </w:r>
      <w:r w:rsidR="00C653B8">
        <w:rPr>
          <w:lang w:val="en-GB"/>
        </w:rPr>
        <w:t xml:space="preserve"> as well as into the potential </w:t>
      </w:r>
      <w:r w:rsidR="00C653B8" w:rsidRPr="00FD73BF">
        <w:rPr>
          <w:lang w:val="en-GB"/>
        </w:rPr>
        <w:t>identification of emission sources.</w:t>
      </w:r>
      <w:r w:rsidR="00C653B8">
        <w:rPr>
          <w:lang w:val="en-GB"/>
        </w:rPr>
        <w:t xml:space="preserve"> </w:t>
      </w:r>
      <w:r w:rsidR="00C653B8" w:rsidRPr="00FD73BF">
        <w:rPr>
          <w:lang w:val="en-GB"/>
        </w:rPr>
        <w:t>Th</w:t>
      </w:r>
      <w:r w:rsidR="00C653B8">
        <w:rPr>
          <w:lang w:val="en-GB"/>
        </w:rPr>
        <w:t>is information is</w:t>
      </w:r>
      <w:r w:rsidR="00C653B8" w:rsidRPr="00FD73BF">
        <w:rPr>
          <w:lang w:val="en-GB"/>
        </w:rPr>
        <w:t xml:space="preserve"> crucial for implementing proactive measures to minimize environmental impact and address potential odour issues</w:t>
      </w:r>
      <w:r>
        <w:rPr>
          <w:lang w:val="en-GB"/>
        </w:rPr>
        <w:t xml:space="preserve"> </w:t>
      </w:r>
      <w:r w:rsidR="00C653B8" w:rsidRPr="00FD73BF">
        <w:rPr>
          <w:lang w:val="en-GB"/>
        </w:rPr>
        <w:t>demonstrat</w:t>
      </w:r>
      <w:r>
        <w:rPr>
          <w:lang w:val="en-GB"/>
        </w:rPr>
        <w:t>ing</w:t>
      </w:r>
      <w:r w:rsidR="00C653B8" w:rsidRPr="00FD73BF">
        <w:rPr>
          <w:lang w:val="en-GB"/>
        </w:rPr>
        <w:t xml:space="preserve"> the </w:t>
      </w:r>
      <w:r w:rsidR="00C653B8">
        <w:rPr>
          <w:lang w:val="en-GB"/>
        </w:rPr>
        <w:t>importance</w:t>
      </w:r>
      <w:r w:rsidR="00C653B8" w:rsidRPr="00FD73BF">
        <w:rPr>
          <w:lang w:val="en-GB"/>
        </w:rPr>
        <w:t xml:space="preserve"> of sensor-based monitoring systems in providing real-time data for informed decision-making. </w:t>
      </w:r>
    </w:p>
    <w:p w14:paraId="476B2F2E" w14:textId="77777777" w:rsidR="00600535" w:rsidRPr="002268C6" w:rsidRDefault="00600535" w:rsidP="00600535">
      <w:pPr>
        <w:pStyle w:val="CETHeading1"/>
        <w:rPr>
          <w:lang w:val="en-GB"/>
        </w:rPr>
      </w:pPr>
      <w:r w:rsidRPr="002268C6">
        <w:rPr>
          <w:lang w:val="en-GB"/>
        </w:rPr>
        <w:t>Introduction</w:t>
      </w:r>
    </w:p>
    <w:p w14:paraId="57582144" w14:textId="5001FBCE" w:rsidR="006B5195" w:rsidRPr="002268C6" w:rsidRDefault="00A06C59" w:rsidP="006B5195">
      <w:r w:rsidRPr="002268C6">
        <w:t xml:space="preserve">The odour, as a form of environmental pollution, has become a growing concern due to industrialization and public awareness of the importance of preserving a clean environment. </w:t>
      </w:r>
      <w:r w:rsidR="006B5195" w:rsidRPr="002268C6">
        <w:t>While common air pollutants may go unnoticed by the general population, even when concentrations exceed exposure limits, odours can be detected at very low levels. Even though odours are not toxicologically harmful at those low concentrations, prolonged exposure may have adverse effects on human health, leading to symptoms such as nausea, headaches, insomnia, reduced appetite, and respiratory problems</w:t>
      </w:r>
      <w:r w:rsidR="00353481" w:rsidRPr="002268C6">
        <w:t xml:space="preserve"> </w:t>
      </w:r>
      <w:r w:rsidR="00353481" w:rsidRPr="002268C6">
        <w:fldChar w:fldCharType="begin"/>
      </w:r>
      <w:r w:rsidR="00353481" w:rsidRPr="002268C6">
        <w:instrText xml:space="preserve"> ADDIN ZOTERO_ITEM CSL_CITATION {"citationID":"T8rjTAEC","properties":{"formattedCitation":"(Naddeo et al., 2012)","plainCitation":"(Naddeo et al., 2012)","noteIndex":0},"citationItems":[{"id":5,"uris":["http://zotero.org/users/local/Miykby6s/items/EC8W692Z"],"itemData":{"id":5,"type":"chapter","abstract":"This chapter contains sections titled: Attribute Descriptors Chemistry and Odours Odorous Compounds, Thresholds and Sources Public Health Relevance of Odour Exposure Odour Annoyance and Nuisance","container-title":"Odour Impact Assessment Handbook","ISBN":"978-1-118-48126-4","language":"en","note":"section: 2\n_eprint: https://onlinelibrary.wiley.com/doi/pdf/10.1002/9781118481264.ch2\nDOI: 10.1002/9781118481264.ch2","page":"7-29","publisher":"John Wiley &amp; Sons, Ltd","source":"Wiley Online Library","title":"Odour Characterization and Exposure Effects","URL":"https://onlinelibrary.wiley.com/doi/abs/10.1002/9781118481264.ch2","author":[{"family":"Naddeo","given":"V."},{"family":"Belgiorno","given":"V."},{"family":"Zarra","given":"T."}],"accessed":{"date-parts":[["2024",3,20]]},"issued":{"date-parts":[["2012"]]}}}],"schema":"https://github.com/citation-style-language/schema/raw/master/csl-citation.json"} </w:instrText>
      </w:r>
      <w:r w:rsidR="00353481" w:rsidRPr="002268C6">
        <w:fldChar w:fldCharType="separate"/>
      </w:r>
      <w:r w:rsidR="00353481" w:rsidRPr="002268C6">
        <w:rPr>
          <w:rFonts w:cs="Arial"/>
        </w:rPr>
        <w:t>(Naddeo et al., 2012)</w:t>
      </w:r>
      <w:r w:rsidR="00353481" w:rsidRPr="002268C6">
        <w:fldChar w:fldCharType="end"/>
      </w:r>
      <w:r w:rsidR="006B5195" w:rsidRPr="002268C6">
        <w:t xml:space="preserve">. Additionally, persistent exposure to unpleasant odours may contribute to socio-economic conflicts, affecting the quality of life </w:t>
      </w:r>
      <w:r w:rsidR="004656F6" w:rsidRPr="002268C6">
        <w:t xml:space="preserve">in </w:t>
      </w:r>
      <w:r w:rsidR="006B5195" w:rsidRPr="002268C6">
        <w:t>nearby communities and economic value of neighbouring properties.</w:t>
      </w:r>
    </w:p>
    <w:p w14:paraId="41964D59" w14:textId="77777777" w:rsidR="000E3CD2" w:rsidRPr="002268C6" w:rsidRDefault="000E3CD2" w:rsidP="006B5195"/>
    <w:p w14:paraId="54E6E50D" w14:textId="6A229193" w:rsidR="00D4550C" w:rsidRDefault="00E41884" w:rsidP="00D4550C">
      <w:pPr>
        <w:pStyle w:val="CETBodytext"/>
        <w:rPr>
          <w:lang w:val="en-GB"/>
        </w:rPr>
      </w:pPr>
      <w:r>
        <w:rPr>
          <w:lang w:val="en-GB"/>
        </w:rPr>
        <w:t>As a result, o</w:t>
      </w:r>
      <w:r w:rsidRPr="002268C6">
        <w:rPr>
          <w:lang w:val="en-GB"/>
        </w:rPr>
        <w:t>dour</w:t>
      </w:r>
      <w:r w:rsidR="00E903B4" w:rsidRPr="002268C6">
        <w:rPr>
          <w:lang w:val="en-GB"/>
        </w:rPr>
        <w:t xml:space="preserve"> impact studies are becoming increasingly common, typically conducted through dynamic olfactometry, the reference method for odour monitoring (UNE-EN 13725:2022). However, these methods require specialized personnel and provide only point</w:t>
      </w:r>
      <w:r w:rsidR="001277CC" w:rsidRPr="002268C6">
        <w:rPr>
          <w:lang w:val="en-GB"/>
        </w:rPr>
        <w:t>-in-time</w:t>
      </w:r>
      <w:r w:rsidR="00E903B4" w:rsidRPr="002268C6">
        <w:rPr>
          <w:lang w:val="en-GB"/>
        </w:rPr>
        <w:t xml:space="preserve"> measurements, limiting their </w:t>
      </w:r>
      <w:r w:rsidR="00431205" w:rsidRPr="002268C6">
        <w:rPr>
          <w:lang w:val="en-GB"/>
        </w:rPr>
        <w:t xml:space="preserve">practical </w:t>
      </w:r>
      <w:r w:rsidR="00E903B4" w:rsidRPr="002268C6">
        <w:rPr>
          <w:lang w:val="en-GB"/>
        </w:rPr>
        <w:t>application.</w:t>
      </w:r>
      <w:r w:rsidR="001277CC" w:rsidRPr="002268C6">
        <w:rPr>
          <w:lang w:val="en-GB"/>
        </w:rPr>
        <w:t xml:space="preserve"> </w:t>
      </w:r>
      <w:r w:rsidR="00E903B4" w:rsidRPr="002268C6">
        <w:rPr>
          <w:lang w:val="en-GB"/>
        </w:rPr>
        <w:t xml:space="preserve">To overcome this limitation, in recent years new technologies have emerged, such as Instrumental Odour Monitoring Systems (IOMS), including electronic noses (e-Noses), which not only eliminate the need for specialized personnel but also enable continuous and real-time </w:t>
      </w:r>
      <w:r w:rsidR="00846DAF">
        <w:rPr>
          <w:lang w:val="en-GB"/>
        </w:rPr>
        <w:t>odour</w:t>
      </w:r>
      <w:r w:rsidR="00E903B4" w:rsidRPr="002268C6">
        <w:rPr>
          <w:lang w:val="en-GB"/>
        </w:rPr>
        <w:t xml:space="preserve"> measurements at reduced cost. </w:t>
      </w:r>
      <w:r w:rsidR="00C001E4" w:rsidRPr="002268C6">
        <w:rPr>
          <w:lang w:val="en-GB"/>
        </w:rPr>
        <w:t>Currently</w:t>
      </w:r>
      <w:r w:rsidR="006B5195" w:rsidRPr="002268C6">
        <w:rPr>
          <w:lang w:val="en-GB"/>
        </w:rPr>
        <w:t xml:space="preserve">, most of the IOMS in the market are sensor-based instruments designed for the identification of fugitive emissions and industrial odorants, becoming valuable tools for the implementation of fenceline monitoring. </w:t>
      </w:r>
      <w:r w:rsidR="00E903B4" w:rsidRPr="002268C6">
        <w:rPr>
          <w:lang w:val="en-GB"/>
        </w:rPr>
        <w:t xml:space="preserve">These systems </w:t>
      </w:r>
      <w:r w:rsidR="00E903B4" w:rsidRPr="002268C6">
        <w:rPr>
          <w:lang w:val="en-GB"/>
        </w:rPr>
        <w:lastRenderedPageBreak/>
        <w:t>have been used</w:t>
      </w:r>
      <w:r>
        <w:rPr>
          <w:lang w:val="en-GB"/>
        </w:rPr>
        <w:t xml:space="preserve"> for odour monitoring in</w:t>
      </w:r>
      <w:r w:rsidR="006B5195" w:rsidRPr="002268C6">
        <w:rPr>
          <w:lang w:val="en-GB"/>
        </w:rPr>
        <w:t xml:space="preserve"> different </w:t>
      </w:r>
      <w:r>
        <w:rPr>
          <w:lang w:val="en-GB"/>
        </w:rPr>
        <w:t>activities</w:t>
      </w:r>
      <w:r w:rsidR="00E903B4" w:rsidRPr="002268C6">
        <w:rPr>
          <w:lang w:val="en-GB"/>
        </w:rPr>
        <w:t xml:space="preserve"> </w:t>
      </w:r>
      <w:r w:rsidR="00C001E4" w:rsidRPr="002268C6">
        <w:rPr>
          <w:lang w:val="en-GB"/>
        </w:rPr>
        <w:t>characterized</w:t>
      </w:r>
      <w:r w:rsidR="00E903B4" w:rsidRPr="002268C6">
        <w:rPr>
          <w:lang w:val="en-GB"/>
        </w:rPr>
        <w:t xml:space="preserve"> by emission</w:t>
      </w:r>
      <w:r w:rsidR="00C001E4" w:rsidRPr="002268C6">
        <w:rPr>
          <w:lang w:val="en-GB"/>
        </w:rPr>
        <w:t>s</w:t>
      </w:r>
      <w:r w:rsidR="00E903B4" w:rsidRPr="002268C6">
        <w:rPr>
          <w:lang w:val="en-GB"/>
        </w:rPr>
        <w:t xml:space="preserve"> of odorants</w:t>
      </w:r>
      <w:r w:rsidR="006B5195" w:rsidRPr="002268C6">
        <w:rPr>
          <w:lang w:val="en-GB"/>
        </w:rPr>
        <w:t xml:space="preserve">, such as </w:t>
      </w:r>
      <w:r w:rsidR="001277CC" w:rsidRPr="002268C6">
        <w:rPr>
          <w:lang w:val="en-GB"/>
        </w:rPr>
        <w:t>wastewater</w:t>
      </w:r>
      <w:r w:rsidR="006B5195" w:rsidRPr="002268C6">
        <w:rPr>
          <w:lang w:val="en-GB"/>
        </w:rPr>
        <w:t xml:space="preserve"> </w:t>
      </w:r>
      <w:r w:rsidR="001277CC" w:rsidRPr="002268C6">
        <w:rPr>
          <w:lang w:val="en-GB"/>
        </w:rPr>
        <w:t>t</w:t>
      </w:r>
      <w:r w:rsidR="006B5195" w:rsidRPr="002268C6">
        <w:rPr>
          <w:lang w:val="en-GB"/>
        </w:rPr>
        <w:t xml:space="preserve">reatment </w:t>
      </w:r>
      <w:r w:rsidR="001277CC" w:rsidRPr="002268C6">
        <w:rPr>
          <w:lang w:val="en-GB"/>
        </w:rPr>
        <w:t>p</w:t>
      </w:r>
      <w:r w:rsidR="006B5195" w:rsidRPr="002268C6">
        <w:rPr>
          <w:lang w:val="en-GB"/>
        </w:rPr>
        <w:t>lant</w:t>
      </w:r>
      <w:r w:rsidR="001277CC" w:rsidRPr="002268C6">
        <w:rPr>
          <w:lang w:val="en-GB"/>
        </w:rPr>
        <w:t>s</w:t>
      </w:r>
      <w:r w:rsidR="006B5195" w:rsidRPr="002268C6">
        <w:rPr>
          <w:lang w:val="en-GB"/>
        </w:rPr>
        <w:t xml:space="preserve"> (WWTP), landfill</w:t>
      </w:r>
      <w:r w:rsidR="000E3CD2" w:rsidRPr="002268C6">
        <w:rPr>
          <w:lang w:val="en-GB"/>
        </w:rPr>
        <w:t>s</w:t>
      </w:r>
      <w:r w:rsidR="006B5195" w:rsidRPr="002268C6">
        <w:rPr>
          <w:lang w:val="en-GB"/>
        </w:rPr>
        <w:t xml:space="preserve">, pulp </w:t>
      </w:r>
      <w:r w:rsidR="001277CC" w:rsidRPr="002268C6">
        <w:rPr>
          <w:lang w:val="en-GB"/>
        </w:rPr>
        <w:t>and</w:t>
      </w:r>
      <w:r w:rsidR="006B5195" w:rsidRPr="002268C6">
        <w:rPr>
          <w:lang w:val="en-GB"/>
        </w:rPr>
        <w:t xml:space="preserve"> paper, </w:t>
      </w:r>
      <w:r w:rsidR="000E3CD2" w:rsidRPr="002268C6">
        <w:rPr>
          <w:lang w:val="en-GB"/>
        </w:rPr>
        <w:t xml:space="preserve">petrochemical and </w:t>
      </w:r>
      <w:r w:rsidR="006B5195" w:rsidRPr="002268C6">
        <w:rPr>
          <w:lang w:val="en-GB"/>
        </w:rPr>
        <w:t>compost management and fertilizers plants</w:t>
      </w:r>
      <w:r w:rsidR="001277CC" w:rsidRPr="002268C6">
        <w:rPr>
          <w:lang w:val="en-GB"/>
        </w:rPr>
        <w:t xml:space="preserve"> </w:t>
      </w:r>
      <w:r w:rsidR="00353481" w:rsidRPr="002268C6">
        <w:rPr>
          <w:lang w:val="en-GB"/>
        </w:rPr>
        <w:fldChar w:fldCharType="begin"/>
      </w:r>
      <w:r w:rsidR="00353481" w:rsidRPr="002268C6">
        <w:rPr>
          <w:lang w:val="en-GB"/>
        </w:rPr>
        <w:instrText xml:space="preserve"> ADDIN ZOTERO_ITEM CSL_CITATION {"citationID":"dGfmRNc2","properties":{"formattedCitation":"(Burgu\\uc0\\u233{}s et al., 2022; Prudenza et al., 2023)","plainCitation":"(Burgués et al., 2022; Prudenza et al., 2023)","noteIndex":0},"citationItems":[{"id":7,"uris":["http://zotero.org/users/local/Miykby6s/items/DWID25VA"],"itemData":{"id":7,"type":"article-journal","abstract":"Conventionally, odours emitted by different sources present in wastewater treatment plants (WWTPs) are measured by dynamic olfactometry, where a human panel sniffs and analyzes air bags collected from the plant. Although the method is considered the gold standard, the process is costly, slow, and infrequent, which does not allow operators to quickly identify and respond to problems. To better monitor and map WWTP odour emissions, here we propose a small rotary-wing drone equipped with a lightweight (1.3-kg) electronic nose. The “sniffing drone” sucks in air via a ten-meter (33-foot) tube and delivers it to a sensor chamber where it is analyzed in real-time by an array of 21 gas sensors. From the sensor signals, machine learning (ML) algorithms predict the odour concentration that a human panel using the EN13725 methodology would report. To calibrate and validate the predictive models, the drone also carries a remotely controlled sampling device (compliant with EN13725:2022) to collect sample air in bags for post-flight dynamic olfactometry. The feasibility of the proposed system is assessed in a WWTP in Spain through several measurement campaigns covering diverse operating regimes of the plant and meteorological conditions. We demonstrate that training the ML algorithms with dynamic (transient) sensor signals measured in flight conditions leads to better performance than the traditional approach of using steady-state signals measured in the lab via controlled exposures to odour bags. The comparison of the electronic nose predictions with dynamic olfactometry measurements indicates a negligible bias between the two measurement techniques and 95 % limits of agreement within a factor of four. This apparently large disagreement, partly caused by the high uncertainty of olfactometric measurements (typically a factor of two), is more than offset by the immediacy of the predictions and the practical advantages of using a drone-based system.","container-title":"Science of The Total Environment","DOI":"10.1016/j.scitotenv.2022.157290","ISSN":"0048-9697","journalAbbreviation":"Science of The Total Environment","page":"157290","source":"ScienceDirect","title":"Characterization of odour emissions in a wastewater treatment plant using a drone-based chemical sensor system","volume":"846","author":[{"family":"Burgués","given":"Javier"},{"family":"Doñate","given":"Silvia"},{"family":"Esclapez","given":"María Deseada"},{"family":"Saúco","given":"Lidia"},{"family":"Marco","given":"Santiago"}],"issued":{"date-parts":[["2022",11,10]]}}},{"id":10,"uris":["http://zotero.org/users/local/Miykby6s/items/NKPPJQQD"],"itemData":{"id":10,"type":"article-journal","container-title":"Heliyon","issue":"10","note":"publisher: Elsevier","source":"Google Scholar","title":"Implementation of an electronic nose for real-time identification of odour emission peaks at a wastewater treatment plant","URL":"https://www.cell.com/heliyon/pdf/S2405-8440(23)07645-4.pdf","volume":"9","author":[{"family":"Prudenza","given":"Stefano"},{"family":"Bax","given":"Carmen"},{"family":"Capelli","given":"Laura"}],"accessed":{"date-parts":[["2024",3,20]]},"issued":{"date-parts":[["2023"]]}}}],"schema":"https://github.com/citation-style-language/schema/raw/master/csl-citation.json"} </w:instrText>
      </w:r>
      <w:r w:rsidR="00353481" w:rsidRPr="002268C6">
        <w:rPr>
          <w:lang w:val="en-GB"/>
        </w:rPr>
        <w:fldChar w:fldCharType="separate"/>
      </w:r>
      <w:r w:rsidR="00353481" w:rsidRPr="002268C6">
        <w:rPr>
          <w:rFonts w:cs="Arial"/>
          <w:lang w:val="en-GB"/>
        </w:rPr>
        <w:t>(Burgués et al., 2022; Prudenza et al., 2023)</w:t>
      </w:r>
      <w:r w:rsidR="00353481" w:rsidRPr="002268C6">
        <w:rPr>
          <w:lang w:val="en-GB"/>
        </w:rPr>
        <w:fldChar w:fldCharType="end"/>
      </w:r>
      <w:r w:rsidR="006B5195" w:rsidRPr="002268C6">
        <w:rPr>
          <w:lang w:val="en-GB"/>
        </w:rPr>
        <w:t xml:space="preserve">. </w:t>
      </w:r>
      <w:r w:rsidR="00D4550C" w:rsidRPr="00D4550C">
        <w:rPr>
          <w:lang w:val="en-GB"/>
        </w:rPr>
        <w:t xml:space="preserve">Nevertheless, monitoring odour emissions in industrial settings with IOMS presents </w:t>
      </w:r>
      <w:r w:rsidR="00D4550C">
        <w:rPr>
          <w:lang w:val="en-GB"/>
        </w:rPr>
        <w:t xml:space="preserve">some </w:t>
      </w:r>
      <w:r w:rsidR="00D4550C" w:rsidRPr="00D4550C">
        <w:rPr>
          <w:lang w:val="en-GB"/>
        </w:rPr>
        <w:t xml:space="preserve">challenges </w:t>
      </w:r>
      <w:r w:rsidR="00D4550C">
        <w:rPr>
          <w:lang w:val="en-GB"/>
        </w:rPr>
        <w:t>that limit</w:t>
      </w:r>
      <w:r w:rsidR="00D4550C" w:rsidRPr="00D4550C">
        <w:rPr>
          <w:lang w:val="en-GB"/>
        </w:rPr>
        <w:t xml:space="preserve"> their current application. </w:t>
      </w:r>
      <w:r w:rsidR="00D4550C" w:rsidRPr="002268C6">
        <w:rPr>
          <w:lang w:val="en-GB"/>
        </w:rPr>
        <w:t xml:space="preserve">Odour emissions in </w:t>
      </w:r>
      <w:r w:rsidR="00846DAF">
        <w:rPr>
          <w:lang w:val="en-GB"/>
        </w:rPr>
        <w:t>industrial and waste management</w:t>
      </w:r>
      <w:r w:rsidR="00D4550C" w:rsidRPr="002268C6">
        <w:rPr>
          <w:lang w:val="en-GB"/>
        </w:rPr>
        <w:t xml:space="preserve"> plants are characterised by the presence of </w:t>
      </w:r>
      <w:proofErr w:type="gramStart"/>
      <w:r w:rsidR="00D4550C" w:rsidRPr="002268C6">
        <w:rPr>
          <w:lang w:val="en-GB"/>
        </w:rPr>
        <w:t>a large number of</w:t>
      </w:r>
      <w:proofErr w:type="gramEnd"/>
      <w:r w:rsidR="00D4550C" w:rsidRPr="002268C6">
        <w:rPr>
          <w:lang w:val="en-GB"/>
        </w:rPr>
        <w:t xml:space="preserve"> </w:t>
      </w:r>
      <w:r w:rsidR="00D4550C">
        <w:rPr>
          <w:lang w:val="en-GB"/>
        </w:rPr>
        <w:t>chemicals such</w:t>
      </w:r>
      <w:r w:rsidR="00D4550C" w:rsidRPr="002268C6">
        <w:rPr>
          <w:lang w:val="en-GB"/>
        </w:rPr>
        <w:t xml:space="preserve"> as hydrogen sulphide (H</w:t>
      </w:r>
      <w:r w:rsidR="00D4550C" w:rsidRPr="002268C6">
        <w:rPr>
          <w:vertAlign w:val="subscript"/>
          <w:lang w:val="en-GB"/>
        </w:rPr>
        <w:t>2</w:t>
      </w:r>
      <w:r w:rsidR="00D4550C" w:rsidRPr="002268C6">
        <w:rPr>
          <w:lang w:val="en-GB"/>
        </w:rPr>
        <w:t xml:space="preserve">S), organic </w:t>
      </w:r>
      <w:r w:rsidR="00846DAF" w:rsidRPr="002268C6">
        <w:rPr>
          <w:lang w:val="en-GB"/>
        </w:rPr>
        <w:t>sulphur</w:t>
      </w:r>
      <w:r w:rsidR="00D4550C" w:rsidRPr="002268C6">
        <w:rPr>
          <w:lang w:val="en-GB"/>
        </w:rPr>
        <w:t xml:space="preserve"> compounds, aldehydes and ketones, ammonia and amines, among others, due to the complex reactions that occur in the different processes</w:t>
      </w:r>
      <w:r w:rsidR="00D4550C">
        <w:rPr>
          <w:lang w:val="en-GB"/>
        </w:rPr>
        <w:t xml:space="preserve">. </w:t>
      </w:r>
      <w:r w:rsidR="00D4550C" w:rsidRPr="00D4550C">
        <w:rPr>
          <w:lang w:val="en-GB"/>
        </w:rPr>
        <w:t xml:space="preserve">Various </w:t>
      </w:r>
      <w:r w:rsidR="00D4550C" w:rsidRPr="0053633E">
        <w:rPr>
          <w:lang w:val="en-GB"/>
        </w:rPr>
        <w:t xml:space="preserve">compounds can interfere with the detection of target odorants, leading to false readings or inaccurate assessments, reducing the performance of monitoring systems. Moreover, low-cost gas sensors integrated into IOMS are susceptible to environmental variations. Without proper correction, diurnal or seasonal fluctuations in temperature and humidity can induce false positives or baseline drifts, </w:t>
      </w:r>
      <w:r w:rsidR="0053633E" w:rsidRPr="0053633E">
        <w:rPr>
          <w:lang w:val="en-GB"/>
        </w:rPr>
        <w:t>compromising the accuracy of the</w:t>
      </w:r>
      <w:r w:rsidR="00D4550C" w:rsidRPr="0053633E">
        <w:rPr>
          <w:lang w:val="en-GB"/>
        </w:rPr>
        <w:t xml:space="preserve"> m</w:t>
      </w:r>
      <w:r w:rsidR="0053633E" w:rsidRPr="0053633E">
        <w:rPr>
          <w:lang w:val="en-GB"/>
        </w:rPr>
        <w:t>easurements</w:t>
      </w:r>
      <w:r w:rsidR="00AE587B">
        <w:rPr>
          <w:lang w:val="en-GB"/>
        </w:rPr>
        <w:t xml:space="preserve"> </w:t>
      </w:r>
      <w:r w:rsidR="00AE587B">
        <w:rPr>
          <w:lang w:val="en-GB"/>
        </w:rPr>
        <w:fldChar w:fldCharType="begin"/>
      </w:r>
      <w:r w:rsidR="00AE587B">
        <w:rPr>
          <w:lang w:val="en-GB"/>
        </w:rPr>
        <w:instrText xml:space="preserve"> ADDIN ZOTERO_ITEM CSL_CITATION {"citationID":"THs1yCxN","properties":{"formattedCitation":"(McKercher et al., 2017)","plainCitation":"(McKercher et al., 2017)","noteIndex":0},"citationItems":[{"id":16,"uris":["http://zotero.org/users/local/Miykby6s/items/XQDV2PS8"],"itemData":{"id":16,"type":"article-journal","container-title":"Environmental Pollution","note":"publisher: Elsevier","page":"102–110","source":"Google Scholar","title":"Characteristics and applications of small, portable gaseous air pollution monitors","volume":"223","author":[{"family":"McKercher","given":"Grant R."},{"family":"Salmond","given":"Jennifer A."},{"family":"Vanos","given":"Jennifer K."}],"issued":{"date-parts":[["2017"]]}}}],"schema":"https://github.com/citation-style-language/schema/raw/master/csl-citation.json"} </w:instrText>
      </w:r>
      <w:r w:rsidR="00AE587B">
        <w:rPr>
          <w:lang w:val="en-GB"/>
        </w:rPr>
        <w:fldChar w:fldCharType="separate"/>
      </w:r>
      <w:r w:rsidR="00AE587B" w:rsidRPr="00AE587B">
        <w:rPr>
          <w:rFonts w:cs="Arial"/>
        </w:rPr>
        <w:t>(McKercher et al., 2017)</w:t>
      </w:r>
      <w:r w:rsidR="00AE587B">
        <w:rPr>
          <w:lang w:val="en-GB"/>
        </w:rPr>
        <w:fldChar w:fldCharType="end"/>
      </w:r>
      <w:r w:rsidR="00D4550C" w:rsidRPr="0053633E">
        <w:rPr>
          <w:lang w:val="en-GB"/>
        </w:rPr>
        <w:t>. Given</w:t>
      </w:r>
      <w:r w:rsidR="00D4550C" w:rsidRPr="00D4550C">
        <w:rPr>
          <w:lang w:val="en-GB"/>
        </w:rPr>
        <w:t xml:space="preserve"> that some odour thresholds </w:t>
      </w:r>
      <w:r w:rsidR="0053633E">
        <w:rPr>
          <w:lang w:val="en-GB"/>
        </w:rPr>
        <w:t>start</w:t>
      </w:r>
      <w:r w:rsidR="00D4550C" w:rsidRPr="00D4550C">
        <w:rPr>
          <w:lang w:val="en-GB"/>
        </w:rPr>
        <w:t xml:space="preserve"> at </w:t>
      </w:r>
      <w:r w:rsidR="0053633E">
        <w:rPr>
          <w:lang w:val="en-GB"/>
        </w:rPr>
        <w:t>few</w:t>
      </w:r>
      <w:r w:rsidR="00D4550C" w:rsidRPr="00D4550C">
        <w:rPr>
          <w:lang w:val="en-GB"/>
        </w:rPr>
        <w:t xml:space="preserve"> ppb, mitigating environmental influences and interferents is imperative to accurately measure low odorant concentrations</w:t>
      </w:r>
      <w:r w:rsidR="00AE587B">
        <w:rPr>
          <w:lang w:val="en-GB"/>
        </w:rPr>
        <w:t xml:space="preserve"> </w:t>
      </w:r>
      <w:r w:rsidR="00AE587B">
        <w:rPr>
          <w:lang w:val="en-GB"/>
        </w:rPr>
        <w:fldChar w:fldCharType="begin"/>
      </w:r>
      <w:r w:rsidR="00AE587B">
        <w:rPr>
          <w:lang w:val="en-GB"/>
        </w:rPr>
        <w:instrText xml:space="preserve"> ADDIN ZOTERO_ITEM CSL_CITATION {"citationID":"EQtTKWsr","properties":{"formattedCitation":"(Leonardos et al., 1974)","plainCitation":"(Leonardos et al., 1974)","noteIndex":0},"citationItems":[{"id":18,"uris":["http://zotero.org/users/local/Miykby6s/items/VYW3R77C"],"itemData":{"id":18,"type":"article-journal","container-title":"Journal of Environmental Conservation Engineering","issue":"8","note":"publisher: Society of Environmental Conservation Engineering","page":"579–585","source":"Google Scholar","title":"Odor threshold determination of 53 odorant chemicals","volume":"3","author":[{"family":"Leonardos","given":"Gregory"},{"family":"Kendall","given":"David"},{"family":"Barnard","given":"Nancy"}],"issued":{"date-parts":[["1974"]]}}}],"schema":"https://github.com/citation-style-language/schema/raw/master/csl-citation.json"} </w:instrText>
      </w:r>
      <w:r w:rsidR="00AE587B">
        <w:rPr>
          <w:lang w:val="en-GB"/>
        </w:rPr>
        <w:fldChar w:fldCharType="separate"/>
      </w:r>
      <w:r w:rsidR="00AE587B" w:rsidRPr="00AE587B">
        <w:rPr>
          <w:rFonts w:cs="Arial"/>
        </w:rPr>
        <w:t>(Leonardos et al., 1974)</w:t>
      </w:r>
      <w:r w:rsidR="00AE587B">
        <w:rPr>
          <w:lang w:val="en-GB"/>
        </w:rPr>
        <w:fldChar w:fldCharType="end"/>
      </w:r>
      <w:r w:rsidR="00D4550C" w:rsidRPr="00D4550C">
        <w:rPr>
          <w:lang w:val="en-GB"/>
        </w:rPr>
        <w:t>.</w:t>
      </w:r>
    </w:p>
    <w:p w14:paraId="2FB625BD" w14:textId="77777777" w:rsidR="00B80037" w:rsidRDefault="00B80037" w:rsidP="00D4550C">
      <w:pPr>
        <w:pStyle w:val="CETBodytext"/>
        <w:rPr>
          <w:lang w:val="en-GB"/>
        </w:rPr>
      </w:pPr>
    </w:p>
    <w:p w14:paraId="7E206FA5" w14:textId="45EB1C17" w:rsidR="006A0643" w:rsidRPr="002268C6" w:rsidRDefault="006B5195" w:rsidP="00A06C59">
      <w:pPr>
        <w:pStyle w:val="CETBodytext"/>
        <w:rPr>
          <w:lang w:val="en-GB"/>
        </w:rPr>
      </w:pPr>
      <w:r w:rsidRPr="002268C6">
        <w:rPr>
          <w:lang w:val="en-GB"/>
        </w:rPr>
        <w:t>Th</w:t>
      </w:r>
      <w:r w:rsidR="00F23D8B" w:rsidRPr="002268C6">
        <w:rPr>
          <w:lang w:val="en-GB"/>
        </w:rPr>
        <w:t>is work</w:t>
      </w:r>
      <w:r w:rsidRPr="002268C6">
        <w:rPr>
          <w:lang w:val="en-GB"/>
        </w:rPr>
        <w:t xml:space="preserve"> </w:t>
      </w:r>
      <w:r w:rsidR="00F23D8B" w:rsidRPr="002268C6">
        <w:rPr>
          <w:lang w:val="en-GB"/>
        </w:rPr>
        <w:t>presents</w:t>
      </w:r>
      <w:r w:rsidRPr="002268C6">
        <w:rPr>
          <w:lang w:val="en-GB"/>
        </w:rPr>
        <w:t xml:space="preserve"> the </w:t>
      </w:r>
      <w:r w:rsidR="006739F3" w:rsidRPr="002268C6">
        <w:rPr>
          <w:lang w:val="en-GB"/>
        </w:rPr>
        <w:t>application</w:t>
      </w:r>
      <w:r w:rsidR="00C86504" w:rsidRPr="002268C6">
        <w:rPr>
          <w:lang w:val="en-GB"/>
        </w:rPr>
        <w:t xml:space="preserve"> of a </w:t>
      </w:r>
      <w:r w:rsidRPr="002268C6">
        <w:rPr>
          <w:lang w:val="en-GB"/>
        </w:rPr>
        <w:t>Kunak A</w:t>
      </w:r>
      <w:r w:rsidR="00F23D8B" w:rsidRPr="002268C6">
        <w:rPr>
          <w:lang w:val="en-GB"/>
        </w:rPr>
        <w:t>IR</w:t>
      </w:r>
      <w:r w:rsidRPr="002268C6">
        <w:rPr>
          <w:lang w:val="en-GB"/>
        </w:rPr>
        <w:t xml:space="preserve"> </w:t>
      </w:r>
      <w:r w:rsidR="00F23D8B" w:rsidRPr="002268C6">
        <w:rPr>
          <w:lang w:val="en-GB"/>
        </w:rPr>
        <w:t>Pro</w:t>
      </w:r>
      <w:r w:rsidRPr="002268C6">
        <w:rPr>
          <w:lang w:val="en-GB"/>
        </w:rPr>
        <w:t xml:space="preserve"> </w:t>
      </w:r>
      <w:r w:rsidR="00F23D8B" w:rsidRPr="002268C6">
        <w:rPr>
          <w:lang w:val="en-GB"/>
        </w:rPr>
        <w:t xml:space="preserve">monitoring system </w:t>
      </w:r>
      <w:r w:rsidRPr="002268C6">
        <w:rPr>
          <w:lang w:val="en-GB"/>
        </w:rPr>
        <w:t xml:space="preserve">for odour monitoring </w:t>
      </w:r>
      <w:r w:rsidR="00C86504" w:rsidRPr="002268C6">
        <w:rPr>
          <w:lang w:val="en-GB"/>
        </w:rPr>
        <w:t xml:space="preserve">at </w:t>
      </w:r>
      <w:r w:rsidR="00D10130" w:rsidRPr="002268C6">
        <w:rPr>
          <w:lang w:val="en-GB"/>
        </w:rPr>
        <w:t xml:space="preserve">different </w:t>
      </w:r>
      <w:r w:rsidR="006A0643" w:rsidRPr="002268C6">
        <w:rPr>
          <w:lang w:val="en-GB"/>
        </w:rPr>
        <w:t>sites</w:t>
      </w:r>
      <w:r w:rsidR="000E3CD2" w:rsidRPr="002268C6">
        <w:rPr>
          <w:lang w:val="en-GB"/>
        </w:rPr>
        <w:t xml:space="preserve"> </w:t>
      </w:r>
      <w:r w:rsidR="006A0643" w:rsidRPr="002268C6">
        <w:rPr>
          <w:lang w:val="en-GB"/>
        </w:rPr>
        <w:t>including</w:t>
      </w:r>
      <w:r w:rsidR="00D10130" w:rsidRPr="002268C6">
        <w:rPr>
          <w:lang w:val="en-GB"/>
        </w:rPr>
        <w:t xml:space="preserve"> </w:t>
      </w:r>
      <w:r w:rsidR="00C86504" w:rsidRPr="002268C6">
        <w:rPr>
          <w:lang w:val="en-GB"/>
        </w:rPr>
        <w:t>a WWTP</w:t>
      </w:r>
      <w:r w:rsidR="00D10130" w:rsidRPr="002268C6">
        <w:rPr>
          <w:lang w:val="en-GB"/>
        </w:rPr>
        <w:t xml:space="preserve">, a sludge treatment </w:t>
      </w:r>
      <w:r w:rsidR="00C653B8">
        <w:rPr>
          <w:lang w:val="en-GB"/>
        </w:rPr>
        <w:t xml:space="preserve">plant </w:t>
      </w:r>
      <w:r w:rsidR="00D10130" w:rsidRPr="002268C6">
        <w:rPr>
          <w:lang w:val="en-GB"/>
        </w:rPr>
        <w:t xml:space="preserve">and a </w:t>
      </w:r>
      <w:r w:rsidR="00C653B8" w:rsidRPr="002268C6">
        <w:rPr>
          <w:lang w:val="en-GB"/>
        </w:rPr>
        <w:t>petrochemical plant</w:t>
      </w:r>
      <w:r w:rsidR="006A0643" w:rsidRPr="002268C6">
        <w:rPr>
          <w:lang w:val="en-GB"/>
        </w:rPr>
        <w:t xml:space="preserve"> by </w:t>
      </w:r>
      <w:r w:rsidRPr="002268C6">
        <w:rPr>
          <w:lang w:val="en-GB"/>
        </w:rPr>
        <w:t>accurately monitor</w:t>
      </w:r>
      <w:r w:rsidR="006A0643" w:rsidRPr="002268C6">
        <w:rPr>
          <w:lang w:val="en-GB"/>
        </w:rPr>
        <w:t>ing</w:t>
      </w:r>
      <w:r w:rsidRPr="002268C6">
        <w:rPr>
          <w:lang w:val="en-GB"/>
        </w:rPr>
        <w:t xml:space="preserve"> low concentrations of H</w:t>
      </w:r>
      <w:r w:rsidRPr="002268C6">
        <w:rPr>
          <w:vertAlign w:val="subscript"/>
          <w:lang w:val="en-GB"/>
        </w:rPr>
        <w:t>2</w:t>
      </w:r>
      <w:r w:rsidRPr="002268C6">
        <w:rPr>
          <w:lang w:val="en-GB"/>
        </w:rPr>
        <w:t>S, VOCs and NH</w:t>
      </w:r>
      <w:r w:rsidRPr="002268C6">
        <w:rPr>
          <w:vertAlign w:val="subscript"/>
          <w:lang w:val="en-GB"/>
        </w:rPr>
        <w:t>3</w:t>
      </w:r>
      <w:r w:rsidR="00C86504" w:rsidRPr="002268C6">
        <w:rPr>
          <w:lang w:val="en-GB"/>
        </w:rPr>
        <w:t xml:space="preserve">. During the </w:t>
      </w:r>
      <w:r w:rsidR="0053633E">
        <w:rPr>
          <w:lang w:val="en-GB"/>
        </w:rPr>
        <w:t>monitoring campaign at the WTTP</w:t>
      </w:r>
      <w:r w:rsidR="00C86504" w:rsidRPr="002268C6">
        <w:rPr>
          <w:lang w:val="en-GB"/>
        </w:rPr>
        <w:t xml:space="preserve">, the performance of this system was evaluated comparing </w:t>
      </w:r>
      <w:r w:rsidR="0053633E">
        <w:rPr>
          <w:lang w:val="en-GB"/>
        </w:rPr>
        <w:t>the</w:t>
      </w:r>
      <w:r w:rsidR="00C86504" w:rsidRPr="002268C6">
        <w:rPr>
          <w:lang w:val="en-GB"/>
        </w:rPr>
        <w:t xml:space="preserve"> measurements with </w:t>
      </w:r>
      <w:r w:rsidR="006739F3" w:rsidRPr="002268C6">
        <w:rPr>
          <w:lang w:val="en-GB"/>
        </w:rPr>
        <w:t>those obtained from an</w:t>
      </w:r>
      <w:r w:rsidR="00C86504" w:rsidRPr="002268C6">
        <w:rPr>
          <w:lang w:val="en-GB"/>
        </w:rPr>
        <w:t xml:space="preserve"> H</w:t>
      </w:r>
      <w:r w:rsidR="00C86504" w:rsidRPr="002268C6">
        <w:rPr>
          <w:vertAlign w:val="subscript"/>
          <w:lang w:val="en-GB"/>
        </w:rPr>
        <w:t>2</w:t>
      </w:r>
      <w:r w:rsidR="00C86504" w:rsidRPr="002268C6">
        <w:rPr>
          <w:lang w:val="en-GB"/>
        </w:rPr>
        <w:t xml:space="preserve">S </w:t>
      </w:r>
      <w:r w:rsidR="0053633E" w:rsidRPr="002268C6">
        <w:rPr>
          <w:lang w:val="en-GB"/>
        </w:rPr>
        <w:t>analyser</w:t>
      </w:r>
      <w:r w:rsidR="00C86504" w:rsidRPr="002268C6">
        <w:rPr>
          <w:lang w:val="en-GB"/>
        </w:rPr>
        <w:t xml:space="preserve">. </w:t>
      </w:r>
      <w:r w:rsidR="006A0643" w:rsidRPr="002268C6">
        <w:rPr>
          <w:lang w:val="en-GB"/>
        </w:rPr>
        <w:t>In this facility, a</w:t>
      </w:r>
      <w:r w:rsidR="006739F3" w:rsidRPr="002268C6">
        <w:rPr>
          <w:lang w:val="en-GB"/>
        </w:rPr>
        <w:t xml:space="preserve"> joint analysis of VOCs and H</w:t>
      </w:r>
      <w:r w:rsidR="006739F3" w:rsidRPr="002268C6">
        <w:rPr>
          <w:vertAlign w:val="subscript"/>
          <w:lang w:val="en-GB"/>
        </w:rPr>
        <w:t>2</w:t>
      </w:r>
      <w:r w:rsidR="006739F3" w:rsidRPr="002268C6">
        <w:rPr>
          <w:lang w:val="en-GB"/>
        </w:rPr>
        <w:t xml:space="preserve">S measurement data was also conducted to identify potential </w:t>
      </w:r>
      <w:r w:rsidR="006A0643" w:rsidRPr="002268C6">
        <w:rPr>
          <w:lang w:val="en-GB"/>
        </w:rPr>
        <w:t>odour</w:t>
      </w:r>
      <w:r w:rsidR="006739F3" w:rsidRPr="002268C6">
        <w:rPr>
          <w:lang w:val="en-GB"/>
        </w:rPr>
        <w:t xml:space="preserve"> emissions to get a more comprehensive understanding of the odorants present in the facility.</w:t>
      </w:r>
      <w:r w:rsidR="006A0643" w:rsidRPr="002268C6">
        <w:rPr>
          <w:lang w:val="en-GB"/>
        </w:rPr>
        <w:t xml:space="preserve"> At the sludge treatment plant and the petrochemical industry, a combined analysis of </w:t>
      </w:r>
      <w:r w:rsidR="0053633E" w:rsidRPr="002268C6">
        <w:rPr>
          <w:lang w:val="en-GB"/>
        </w:rPr>
        <w:t xml:space="preserve">odorant concentrations </w:t>
      </w:r>
      <w:r w:rsidR="0053633E">
        <w:rPr>
          <w:lang w:val="en-GB"/>
        </w:rPr>
        <w:t xml:space="preserve">and </w:t>
      </w:r>
      <w:r w:rsidR="006A0643" w:rsidRPr="002268C6">
        <w:rPr>
          <w:lang w:val="en-GB"/>
        </w:rPr>
        <w:t xml:space="preserve">wind speed and direction </w:t>
      </w:r>
      <w:r w:rsidR="0053633E">
        <w:rPr>
          <w:lang w:val="en-GB"/>
        </w:rPr>
        <w:t>was carried out to characterize</w:t>
      </w:r>
      <w:r w:rsidR="006A0643" w:rsidRPr="002268C6">
        <w:rPr>
          <w:lang w:val="en-GB"/>
        </w:rPr>
        <w:t xml:space="preserve"> emissions</w:t>
      </w:r>
      <w:r w:rsidR="0053633E">
        <w:rPr>
          <w:lang w:val="en-GB"/>
        </w:rPr>
        <w:t xml:space="preserve"> and identify their sources. </w:t>
      </w:r>
    </w:p>
    <w:p w14:paraId="5741900F" w14:textId="571D745F" w:rsidR="00453E24" w:rsidRPr="002268C6" w:rsidRDefault="005F6173" w:rsidP="00453E24">
      <w:pPr>
        <w:pStyle w:val="CETHeading1"/>
        <w:rPr>
          <w:lang w:val="en-GB"/>
        </w:rPr>
      </w:pPr>
      <w:r w:rsidRPr="002268C6">
        <w:rPr>
          <w:lang w:val="en-GB"/>
        </w:rPr>
        <w:t>M</w:t>
      </w:r>
      <w:r w:rsidR="0025106D" w:rsidRPr="002268C6">
        <w:rPr>
          <w:lang w:val="en-GB"/>
        </w:rPr>
        <w:t>aterials and m</w:t>
      </w:r>
      <w:r w:rsidRPr="002268C6">
        <w:rPr>
          <w:lang w:val="en-GB"/>
        </w:rPr>
        <w:t>ethods</w:t>
      </w:r>
    </w:p>
    <w:p w14:paraId="5571F3E3" w14:textId="0E075682" w:rsidR="00573DDE" w:rsidRDefault="00573DDE" w:rsidP="00696F2E">
      <w:pPr>
        <w:pStyle w:val="CETheadingx"/>
        <w:rPr>
          <w:lang w:val="en-GB"/>
        </w:rPr>
      </w:pPr>
      <w:r>
        <w:rPr>
          <w:lang w:val="en-GB"/>
        </w:rPr>
        <w:t>Kunak AIR Pro monitoring system</w:t>
      </w:r>
    </w:p>
    <w:p w14:paraId="655C69F4" w14:textId="024CE00A" w:rsidR="00902042" w:rsidRDefault="00902042" w:rsidP="00573DDE">
      <w:pPr>
        <w:pStyle w:val="CETBodytext"/>
        <w:rPr>
          <w:lang w:val="en-GB"/>
        </w:rPr>
      </w:pPr>
      <w:r w:rsidRPr="00902042">
        <w:rPr>
          <w:lang w:val="en-GB"/>
        </w:rPr>
        <w:t xml:space="preserve">The Kunak AIR Pro monitoring system </w:t>
      </w:r>
      <w:r w:rsidR="00463163">
        <w:rPr>
          <w:lang w:val="en-GB"/>
        </w:rPr>
        <w:t>(</w:t>
      </w:r>
      <w:r w:rsidR="00463163">
        <w:rPr>
          <w:lang w:val="en-GB"/>
        </w:rPr>
        <w:fldChar w:fldCharType="begin"/>
      </w:r>
      <w:r w:rsidR="00463163">
        <w:rPr>
          <w:lang w:val="en-GB"/>
        </w:rPr>
        <w:instrText xml:space="preserve"> REF _Ref161848708 \h </w:instrText>
      </w:r>
      <w:r w:rsidR="00463163">
        <w:rPr>
          <w:lang w:val="en-GB"/>
        </w:rPr>
      </w:r>
      <w:r w:rsidR="00463163">
        <w:rPr>
          <w:lang w:val="en-GB"/>
        </w:rPr>
        <w:fldChar w:fldCharType="separate"/>
      </w:r>
      <w:r w:rsidR="00463163" w:rsidRPr="002268C6">
        <w:rPr>
          <w:lang w:val="en-GB"/>
        </w:rPr>
        <w:t xml:space="preserve">Figure </w:t>
      </w:r>
      <w:r w:rsidR="00463163">
        <w:rPr>
          <w:noProof/>
        </w:rPr>
        <w:t>1</w:t>
      </w:r>
      <w:r w:rsidR="00463163">
        <w:rPr>
          <w:lang w:val="en-GB"/>
        </w:rPr>
        <w:fldChar w:fldCharType="end"/>
      </w:r>
      <w:r w:rsidR="00207DB7">
        <w:rPr>
          <w:lang w:val="en-GB"/>
        </w:rPr>
        <w:t>a and b</w:t>
      </w:r>
      <w:r w:rsidR="00463163">
        <w:rPr>
          <w:lang w:val="en-GB"/>
        </w:rPr>
        <w:t xml:space="preserve">) </w:t>
      </w:r>
      <w:r>
        <w:rPr>
          <w:lang w:val="en-GB"/>
        </w:rPr>
        <w:t>is</w:t>
      </w:r>
      <w:r w:rsidRPr="00902042">
        <w:rPr>
          <w:lang w:val="en-GB"/>
        </w:rPr>
        <w:t xml:space="preserve"> a multi-contaminant monitoring device, capable of simultaneously measuring up to five pollutants and particles, providing real-time data. Each pollutant is monitored by a </w:t>
      </w:r>
      <w:r>
        <w:rPr>
          <w:lang w:val="en-GB"/>
        </w:rPr>
        <w:t xml:space="preserve">different </w:t>
      </w:r>
      <w:r w:rsidRPr="00902042">
        <w:rPr>
          <w:lang w:val="en-GB"/>
        </w:rPr>
        <w:t xml:space="preserve">sensor, easily configurable through a plug-and-play cartridge system. In this study, multiple Kunak AIR Pro systems were utilized, equipped with electrochemical sensors for hydrogen </w:t>
      </w:r>
      <w:proofErr w:type="spellStart"/>
      <w:r w:rsidRPr="00902042">
        <w:rPr>
          <w:lang w:val="en-GB"/>
        </w:rPr>
        <w:t>sulfide</w:t>
      </w:r>
      <w:proofErr w:type="spellEnd"/>
      <w:r w:rsidRPr="00902042">
        <w:rPr>
          <w:lang w:val="en-GB"/>
        </w:rPr>
        <w:t xml:space="preserve"> </w:t>
      </w:r>
      <w:r w:rsidRPr="002268C6">
        <w:rPr>
          <w:lang w:val="en-GB"/>
        </w:rPr>
        <w:t>(H</w:t>
      </w:r>
      <w:r w:rsidRPr="002268C6">
        <w:rPr>
          <w:vertAlign w:val="subscript"/>
          <w:lang w:val="en-GB"/>
        </w:rPr>
        <w:t>2</w:t>
      </w:r>
      <w:r w:rsidRPr="002268C6">
        <w:rPr>
          <w:lang w:val="en-GB"/>
        </w:rPr>
        <w:t xml:space="preserve">S) </w:t>
      </w:r>
      <w:r>
        <w:rPr>
          <w:lang w:val="en-GB"/>
        </w:rPr>
        <w:t>and</w:t>
      </w:r>
      <w:r w:rsidRPr="00902042">
        <w:rPr>
          <w:lang w:val="en-GB"/>
        </w:rPr>
        <w:t xml:space="preserve"> ammonia </w:t>
      </w:r>
      <w:r w:rsidRPr="002268C6">
        <w:rPr>
          <w:lang w:val="en-GB"/>
        </w:rPr>
        <w:t>(NH</w:t>
      </w:r>
      <w:r w:rsidRPr="002268C6">
        <w:rPr>
          <w:vertAlign w:val="subscript"/>
          <w:lang w:val="en-GB"/>
        </w:rPr>
        <w:t>3</w:t>
      </w:r>
      <w:r w:rsidRPr="002268C6">
        <w:rPr>
          <w:lang w:val="en-GB"/>
        </w:rPr>
        <w:t xml:space="preserve">), </w:t>
      </w:r>
      <w:r w:rsidRPr="00902042">
        <w:rPr>
          <w:lang w:val="en-GB"/>
        </w:rPr>
        <w:t xml:space="preserve">and photoionization detectors (PID) for volatile organic compounds (VOCs). Additionally, integrated probes </w:t>
      </w:r>
      <w:r>
        <w:rPr>
          <w:lang w:val="en-GB"/>
        </w:rPr>
        <w:t>allow</w:t>
      </w:r>
      <w:r w:rsidRPr="00902042">
        <w:rPr>
          <w:lang w:val="en-GB"/>
        </w:rPr>
        <w:t>ed the monitoring of meteorological variables, including pressure, temperature, relative humidity, and wind speed and direction.</w:t>
      </w:r>
      <w:r w:rsidR="007B6EC3">
        <w:rPr>
          <w:lang w:val="en-GB"/>
        </w:rPr>
        <w:t xml:space="preserve"> The sensors were factory calibrated and a baseline correction was performed once the instrument was deployed before the monitoring campaigns started. </w:t>
      </w:r>
      <w:r w:rsidR="00207DB7">
        <w:rPr>
          <w:lang w:val="en-GB"/>
        </w:rPr>
        <w:t xml:space="preserve">A </w:t>
      </w:r>
      <w:r w:rsidR="00207DB7" w:rsidRPr="00207DB7">
        <w:rPr>
          <w:lang w:val="en-GB"/>
        </w:rPr>
        <w:t xml:space="preserve">built-in battery and </w:t>
      </w:r>
      <w:r w:rsidR="00207DB7">
        <w:rPr>
          <w:lang w:val="en-GB"/>
        </w:rPr>
        <w:t xml:space="preserve">a </w:t>
      </w:r>
      <w:r w:rsidR="00207DB7" w:rsidRPr="00207DB7">
        <w:rPr>
          <w:lang w:val="en-GB"/>
        </w:rPr>
        <w:t>solar panel</w:t>
      </w:r>
      <w:r w:rsidR="00207DB7">
        <w:rPr>
          <w:lang w:val="en-GB"/>
        </w:rPr>
        <w:t xml:space="preserve"> </w:t>
      </w:r>
      <w:r w:rsidR="00207DB7" w:rsidRPr="00207DB7">
        <w:rPr>
          <w:lang w:val="en-GB"/>
        </w:rPr>
        <w:t xml:space="preserve">make the device totally autonomous from the power grid, allowing the installation anywhere </w:t>
      </w:r>
      <w:r w:rsidR="00207DB7">
        <w:rPr>
          <w:lang w:val="en-GB"/>
        </w:rPr>
        <w:t>including</w:t>
      </w:r>
      <w:r w:rsidR="00207DB7" w:rsidRPr="00207DB7">
        <w:rPr>
          <w:lang w:val="en-GB"/>
        </w:rPr>
        <w:t xml:space="preserve"> remote locations</w:t>
      </w:r>
      <w:r w:rsidR="00207DB7">
        <w:rPr>
          <w:lang w:val="en-GB"/>
        </w:rPr>
        <w:t>.</w:t>
      </w:r>
    </w:p>
    <w:p w14:paraId="5ECAD5C0" w14:textId="77777777" w:rsidR="007B6EC3" w:rsidRDefault="007B6EC3" w:rsidP="00573DDE">
      <w:pPr>
        <w:pStyle w:val="CET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4836"/>
      </w:tblGrid>
      <w:tr w:rsidR="00087F40" w14:paraId="63EE83FF" w14:textId="64ADA92F" w:rsidTr="00595306">
        <w:tc>
          <w:tcPr>
            <w:tcW w:w="4388" w:type="dxa"/>
          </w:tcPr>
          <w:p w14:paraId="01127229" w14:textId="683A85E2" w:rsidR="00087F40" w:rsidRDefault="00844D4C" w:rsidP="00844D4C">
            <w:pPr>
              <w:tabs>
                <w:tab w:val="clear" w:pos="7100"/>
              </w:tabs>
              <w:spacing w:before="100" w:beforeAutospacing="1" w:after="100" w:afterAutospacing="1" w:line="240" w:lineRule="auto"/>
              <w:jc w:val="center"/>
              <w:rPr>
                <w:rFonts w:ascii="Times New Roman" w:hAnsi="Times New Roman"/>
                <w:sz w:val="24"/>
                <w:szCs w:val="24"/>
                <w:lang w:val="es-ES" w:eastAsia="es-ES"/>
              </w:rPr>
            </w:pPr>
            <w:r w:rsidRPr="00844D4C">
              <w:rPr>
                <w:rFonts w:ascii="Times New Roman" w:hAnsi="Times New Roman"/>
                <w:noProof/>
                <w:sz w:val="24"/>
                <w:szCs w:val="24"/>
                <w:lang w:val="es-ES" w:eastAsia="es-ES"/>
              </w:rPr>
              <w:drawing>
                <wp:inline distT="0" distB="0" distL="0" distR="0" wp14:anchorId="282F27AA" wp14:editId="34116233">
                  <wp:extent cx="1590675" cy="1428750"/>
                  <wp:effectExtent l="0" t="0" r="9525" b="0"/>
                  <wp:docPr id="62339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315" t="9392" r="4420" b="7735"/>
                          <a:stretch/>
                        </pic:blipFill>
                        <pic:spPr bwMode="auto">
                          <a:xfrm>
                            <a:off x="0" y="0"/>
                            <a:ext cx="159067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760AC394" w14:textId="3B31D1DC" w:rsidR="00207DB7" w:rsidRPr="00207DB7" w:rsidRDefault="00207DB7" w:rsidP="00207DB7">
            <w:pPr>
              <w:pStyle w:val="CETBodytext"/>
              <w:jc w:val="center"/>
              <w:rPr>
                <w:lang w:val="en-GB"/>
              </w:rPr>
            </w:pPr>
            <w:r w:rsidRPr="00207DB7">
              <w:rPr>
                <w:lang w:val="en-GB"/>
              </w:rPr>
              <w:t>(a)</w:t>
            </w:r>
          </w:p>
          <w:p w14:paraId="1C9F81A0" w14:textId="1D1A22FC" w:rsidR="00087F40" w:rsidRDefault="00087F40" w:rsidP="00573DDE">
            <w:pPr>
              <w:pStyle w:val="CETBodytext"/>
              <w:rPr>
                <w:lang w:val="en-GB"/>
              </w:rPr>
            </w:pPr>
          </w:p>
        </w:tc>
        <w:tc>
          <w:tcPr>
            <w:tcW w:w="4388" w:type="dxa"/>
          </w:tcPr>
          <w:p w14:paraId="5DAE7F87" w14:textId="643CE859" w:rsidR="00087F40" w:rsidRDefault="0061099C" w:rsidP="00207DB7">
            <w:pPr>
              <w:tabs>
                <w:tab w:val="clear" w:pos="7100"/>
              </w:tabs>
              <w:spacing w:before="100" w:beforeAutospacing="1" w:after="60" w:line="240" w:lineRule="auto"/>
              <w:jc w:val="left"/>
              <w:rPr>
                <w:rFonts w:ascii="Times New Roman" w:hAnsi="Times New Roman"/>
                <w:noProof/>
                <w:sz w:val="24"/>
                <w:szCs w:val="24"/>
                <w:lang w:val="es-ES" w:eastAsia="es-ES"/>
              </w:rPr>
            </w:pPr>
            <w:r>
              <w:rPr>
                <w:rFonts w:ascii="Times New Roman" w:hAnsi="Times New Roman"/>
                <w:noProof/>
                <w:sz w:val="24"/>
                <w:szCs w:val="24"/>
                <w:lang w:val="es-ES" w:eastAsia="es-ES"/>
              </w:rPr>
              <w:drawing>
                <wp:inline distT="0" distB="0" distL="0" distR="0" wp14:anchorId="0FAA85E3" wp14:editId="296F599F">
                  <wp:extent cx="2934109" cy="1648055"/>
                  <wp:effectExtent l="0" t="0" r="0" b="9525"/>
                  <wp:docPr id="1981631792" name="Picture 2" descr="A water body with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31792" name="Picture 2" descr="A water body with a solar panel&#10;&#10;Description automatically generated"/>
                          <pic:cNvPicPr/>
                        </pic:nvPicPr>
                        <pic:blipFill>
                          <a:blip r:embed="rId11"/>
                          <a:stretch>
                            <a:fillRect/>
                          </a:stretch>
                        </pic:blipFill>
                        <pic:spPr>
                          <a:xfrm>
                            <a:off x="0" y="0"/>
                            <a:ext cx="2934109" cy="1648055"/>
                          </a:xfrm>
                          <a:prstGeom prst="rect">
                            <a:avLst/>
                          </a:prstGeom>
                        </pic:spPr>
                      </pic:pic>
                    </a:graphicData>
                  </a:graphic>
                </wp:inline>
              </w:drawing>
            </w:r>
          </w:p>
          <w:p w14:paraId="7540572C" w14:textId="3E34D58F" w:rsidR="00207DB7" w:rsidRPr="00207DB7" w:rsidRDefault="00207DB7" w:rsidP="00207DB7">
            <w:pPr>
              <w:pStyle w:val="CETBodytext"/>
              <w:jc w:val="center"/>
              <w:rPr>
                <w:lang w:val="en-GB"/>
              </w:rPr>
            </w:pPr>
            <w:r w:rsidRPr="00207DB7">
              <w:rPr>
                <w:lang w:val="en-GB"/>
              </w:rPr>
              <w:t>(</w:t>
            </w:r>
            <w:r>
              <w:rPr>
                <w:lang w:val="en-GB"/>
              </w:rPr>
              <w:t>b</w:t>
            </w:r>
            <w:r w:rsidRPr="00207DB7">
              <w:rPr>
                <w:lang w:val="en-GB"/>
              </w:rPr>
              <w:t>)</w:t>
            </w:r>
          </w:p>
        </w:tc>
      </w:tr>
    </w:tbl>
    <w:p w14:paraId="662746ED" w14:textId="687F38AC" w:rsidR="007B6EC3" w:rsidRPr="00573DDE" w:rsidRDefault="00463163" w:rsidP="00463163">
      <w:pPr>
        <w:pStyle w:val="CETCaption"/>
      </w:pPr>
      <w:bookmarkStart w:id="1" w:name="_Ref161848708"/>
      <w:r w:rsidRPr="002268C6">
        <w:t xml:space="preserve">Figure </w:t>
      </w:r>
      <w:r w:rsidRPr="002268C6">
        <w:fldChar w:fldCharType="begin"/>
      </w:r>
      <w:r w:rsidRPr="002268C6">
        <w:instrText xml:space="preserve"> SEQ Figure \* ARABIC </w:instrText>
      </w:r>
      <w:r w:rsidRPr="002268C6">
        <w:fldChar w:fldCharType="separate"/>
      </w:r>
      <w:r>
        <w:rPr>
          <w:noProof/>
        </w:rPr>
        <w:t>1</w:t>
      </w:r>
      <w:r w:rsidRPr="002268C6">
        <w:fldChar w:fldCharType="end"/>
      </w:r>
      <w:bookmarkEnd w:id="1"/>
      <w:r w:rsidRPr="002268C6">
        <w:t xml:space="preserve">. </w:t>
      </w:r>
      <w:r w:rsidRPr="00902042">
        <w:t>Kunak AIR Pro monitoring system</w:t>
      </w:r>
      <w:r w:rsidR="00207DB7">
        <w:t xml:space="preserve"> (a) and the system installed in a WTTP (b)</w:t>
      </w:r>
    </w:p>
    <w:p w14:paraId="15B99282" w14:textId="1EBFD79A" w:rsidR="00696F2E" w:rsidRPr="002268C6" w:rsidRDefault="005F168E" w:rsidP="00696F2E">
      <w:pPr>
        <w:pStyle w:val="CETheadingx"/>
        <w:rPr>
          <w:lang w:val="en-GB"/>
        </w:rPr>
      </w:pPr>
      <w:r>
        <w:rPr>
          <w:lang w:val="en-GB"/>
        </w:rPr>
        <w:t>Monitoring sites</w:t>
      </w:r>
    </w:p>
    <w:p w14:paraId="12873E4A" w14:textId="2C09ED10" w:rsidR="00696F2E" w:rsidRPr="002268C6" w:rsidRDefault="00573DDE" w:rsidP="00617E6E">
      <w:pPr>
        <w:pStyle w:val="CETBodytext"/>
        <w:rPr>
          <w:lang w:val="en-GB"/>
        </w:rPr>
      </w:pPr>
      <w:r w:rsidRPr="002268C6">
        <w:rPr>
          <w:lang w:val="en-GB"/>
        </w:rPr>
        <w:t>A monitoring campaign was conducted at</w:t>
      </w:r>
      <w:r w:rsidR="00617E6E" w:rsidRPr="002268C6">
        <w:rPr>
          <w:lang w:val="en-GB"/>
        </w:rPr>
        <w:t xml:space="preserve"> a WWTP</w:t>
      </w:r>
      <w:r>
        <w:rPr>
          <w:lang w:val="en-GB"/>
        </w:rPr>
        <w:t xml:space="preserve"> </w:t>
      </w:r>
      <w:r w:rsidR="00617E6E" w:rsidRPr="002268C6">
        <w:rPr>
          <w:lang w:val="en-GB"/>
        </w:rPr>
        <w:t xml:space="preserve">located in </w:t>
      </w:r>
      <w:r w:rsidR="000F35A5" w:rsidRPr="002268C6">
        <w:rPr>
          <w:lang w:val="en-GB"/>
        </w:rPr>
        <w:t>Community of Madrid (Spain)</w:t>
      </w:r>
      <w:r w:rsidR="00617E6E" w:rsidRPr="002268C6">
        <w:rPr>
          <w:lang w:val="en-GB"/>
        </w:rPr>
        <w:t>, spanning from December 22</w:t>
      </w:r>
      <w:r w:rsidR="00617E6E" w:rsidRPr="002268C6">
        <w:rPr>
          <w:vertAlign w:val="superscript"/>
          <w:lang w:val="en-GB"/>
        </w:rPr>
        <w:t>nd</w:t>
      </w:r>
      <w:proofErr w:type="gramStart"/>
      <w:r w:rsidR="00617E6E" w:rsidRPr="002268C6">
        <w:rPr>
          <w:lang w:val="en-GB"/>
        </w:rPr>
        <w:t xml:space="preserve"> 2022</w:t>
      </w:r>
      <w:proofErr w:type="gramEnd"/>
      <w:r w:rsidR="00617E6E" w:rsidRPr="002268C6">
        <w:rPr>
          <w:lang w:val="en-GB"/>
        </w:rPr>
        <w:t>, to January 17</w:t>
      </w:r>
      <w:r w:rsidR="00617E6E" w:rsidRPr="002268C6">
        <w:rPr>
          <w:vertAlign w:val="superscript"/>
          <w:lang w:val="en-GB"/>
        </w:rPr>
        <w:t>th</w:t>
      </w:r>
      <w:r w:rsidR="00617E6E" w:rsidRPr="002268C6">
        <w:rPr>
          <w:lang w:val="en-GB"/>
        </w:rPr>
        <w:t xml:space="preserve"> 2023.</w:t>
      </w:r>
      <w:r w:rsidR="00F36F97" w:rsidRPr="002268C6">
        <w:rPr>
          <w:lang w:val="en-GB"/>
        </w:rPr>
        <w:t xml:space="preserve"> </w:t>
      </w:r>
      <w:r w:rsidR="00617E6E" w:rsidRPr="002268C6">
        <w:rPr>
          <w:lang w:val="en-GB"/>
        </w:rPr>
        <w:t>A Kunak AIR Pro monitoring system was employed to measure accurate low odorant concentrations</w:t>
      </w:r>
      <w:r>
        <w:rPr>
          <w:lang w:val="en-GB"/>
        </w:rPr>
        <w:t xml:space="preserve"> (</w:t>
      </w:r>
      <w:r w:rsidRPr="002268C6">
        <w:rPr>
          <w:lang w:val="en-GB"/>
        </w:rPr>
        <w:t>H</w:t>
      </w:r>
      <w:r w:rsidRPr="002268C6">
        <w:rPr>
          <w:vertAlign w:val="subscript"/>
          <w:lang w:val="en-GB"/>
        </w:rPr>
        <w:t>2</w:t>
      </w:r>
      <w:r w:rsidRPr="002268C6">
        <w:rPr>
          <w:lang w:val="en-GB"/>
        </w:rPr>
        <w:t>S, NH</w:t>
      </w:r>
      <w:r w:rsidRPr="002268C6">
        <w:rPr>
          <w:vertAlign w:val="subscript"/>
          <w:lang w:val="en-GB"/>
        </w:rPr>
        <w:t>3</w:t>
      </w:r>
      <w:r w:rsidRPr="002268C6">
        <w:rPr>
          <w:lang w:val="en-GB"/>
        </w:rPr>
        <w:t>, and</w:t>
      </w:r>
      <w:r>
        <w:rPr>
          <w:lang w:val="en-GB"/>
        </w:rPr>
        <w:t xml:space="preserve"> </w:t>
      </w:r>
      <w:r w:rsidRPr="002268C6">
        <w:rPr>
          <w:lang w:val="en-GB"/>
        </w:rPr>
        <w:t>VOCs)</w:t>
      </w:r>
      <w:r>
        <w:rPr>
          <w:lang w:val="en-GB"/>
        </w:rPr>
        <w:t xml:space="preserve"> as well as </w:t>
      </w:r>
      <w:r w:rsidRPr="002268C6">
        <w:rPr>
          <w:lang w:val="en-GB"/>
        </w:rPr>
        <w:t xml:space="preserve">meteorological variables </w:t>
      </w:r>
      <w:r w:rsidR="00617E6E" w:rsidRPr="002268C6">
        <w:rPr>
          <w:lang w:val="en-GB"/>
        </w:rPr>
        <w:t xml:space="preserve">throughout the study period. The </w:t>
      </w:r>
      <w:r>
        <w:rPr>
          <w:lang w:val="en-GB"/>
        </w:rPr>
        <w:t>system</w:t>
      </w:r>
      <w:r w:rsidR="00617E6E" w:rsidRPr="002268C6">
        <w:rPr>
          <w:lang w:val="en-GB"/>
        </w:rPr>
        <w:t xml:space="preserve"> was installed inside the WWTP, close to the pretreatment stage. In addition to this </w:t>
      </w:r>
      <w:r w:rsidR="00617E6E" w:rsidRPr="002268C6">
        <w:rPr>
          <w:lang w:val="en-GB"/>
        </w:rPr>
        <w:lastRenderedPageBreak/>
        <w:t>device, an H</w:t>
      </w:r>
      <w:r w:rsidR="00617E6E" w:rsidRPr="002268C6">
        <w:rPr>
          <w:vertAlign w:val="subscript"/>
          <w:lang w:val="en-GB"/>
        </w:rPr>
        <w:t>2</w:t>
      </w:r>
      <w:r w:rsidR="00617E6E" w:rsidRPr="002268C6">
        <w:rPr>
          <w:lang w:val="en-GB"/>
        </w:rPr>
        <w:t xml:space="preserve">S </w:t>
      </w:r>
      <w:r w:rsidR="00902042">
        <w:rPr>
          <w:lang w:val="en-GB"/>
        </w:rPr>
        <w:t>analyser</w:t>
      </w:r>
      <w:r w:rsidR="00617E6E" w:rsidRPr="002268C6">
        <w:rPr>
          <w:lang w:val="en-GB"/>
        </w:rPr>
        <w:t xml:space="preserve"> (</w:t>
      </w:r>
      <w:r w:rsidR="00D10130" w:rsidRPr="002268C6">
        <w:rPr>
          <w:lang w:val="en-GB"/>
        </w:rPr>
        <w:t xml:space="preserve">Medor, </w:t>
      </w:r>
      <w:proofErr w:type="spellStart"/>
      <w:r w:rsidR="00D10130" w:rsidRPr="002268C6">
        <w:rPr>
          <w:lang w:val="en-GB"/>
        </w:rPr>
        <w:t>Chromatotec</w:t>
      </w:r>
      <w:proofErr w:type="spellEnd"/>
      <w:r w:rsidR="00617E6E" w:rsidRPr="002268C6">
        <w:rPr>
          <w:lang w:val="en-GB"/>
        </w:rPr>
        <w:t>) was installed at the same location to serve as a reference instrument for comparative analysis. Data from the Kunak AIR Pro monitoring system was collected at 5-minute intervals throughout the study period and hourly averages were computed to align with the data collection frequency of the H</w:t>
      </w:r>
      <w:r w:rsidR="00617E6E" w:rsidRPr="002268C6">
        <w:rPr>
          <w:vertAlign w:val="subscript"/>
          <w:lang w:val="en-GB"/>
        </w:rPr>
        <w:t>2</w:t>
      </w:r>
      <w:r w:rsidR="00617E6E" w:rsidRPr="002268C6">
        <w:rPr>
          <w:lang w:val="en-GB"/>
        </w:rPr>
        <w:t xml:space="preserve">S </w:t>
      </w:r>
      <w:r w:rsidR="00902042">
        <w:rPr>
          <w:lang w:val="en-GB"/>
        </w:rPr>
        <w:t>analyser</w:t>
      </w:r>
      <w:r w:rsidR="00617E6E" w:rsidRPr="002268C6">
        <w:rPr>
          <w:lang w:val="en-GB"/>
        </w:rPr>
        <w:t>.</w:t>
      </w:r>
      <w:r w:rsidR="006728EA">
        <w:rPr>
          <w:lang w:val="en-GB"/>
        </w:rPr>
        <w:t xml:space="preserve"> </w:t>
      </w:r>
      <w:r w:rsidR="00696F2E" w:rsidRPr="002268C6">
        <w:rPr>
          <w:lang w:val="en-GB"/>
        </w:rPr>
        <w:t>A</w:t>
      </w:r>
      <w:r w:rsidR="000F35A5" w:rsidRPr="002268C6">
        <w:rPr>
          <w:lang w:val="en-GB"/>
        </w:rPr>
        <w:t xml:space="preserve"> </w:t>
      </w:r>
      <w:r w:rsidR="006728EA">
        <w:rPr>
          <w:lang w:val="en-GB"/>
        </w:rPr>
        <w:t xml:space="preserve">separate </w:t>
      </w:r>
      <w:r w:rsidR="000F35A5" w:rsidRPr="002268C6">
        <w:rPr>
          <w:lang w:val="en-GB"/>
        </w:rPr>
        <w:t>monitoring campaign was conducted a</w:t>
      </w:r>
      <w:r w:rsidR="00696F2E" w:rsidRPr="002268C6">
        <w:rPr>
          <w:lang w:val="en-GB"/>
        </w:rPr>
        <w:t>t</w:t>
      </w:r>
      <w:r w:rsidR="000F35A5" w:rsidRPr="002268C6">
        <w:rPr>
          <w:lang w:val="en-GB"/>
        </w:rPr>
        <w:t xml:space="preserve"> a</w:t>
      </w:r>
      <w:r w:rsidR="00696F2E" w:rsidRPr="002268C6">
        <w:rPr>
          <w:lang w:val="en-GB"/>
        </w:rPr>
        <w:t xml:space="preserve"> sludge treatment plant</w:t>
      </w:r>
      <w:r w:rsidR="000F35A5" w:rsidRPr="002268C6">
        <w:rPr>
          <w:lang w:val="en-GB"/>
        </w:rPr>
        <w:t xml:space="preserve"> located in Community of Madrid (Spain)</w:t>
      </w:r>
      <w:r w:rsidR="00696F2E" w:rsidRPr="002268C6">
        <w:rPr>
          <w:lang w:val="en-GB"/>
        </w:rPr>
        <w:t xml:space="preserve">, </w:t>
      </w:r>
      <w:r w:rsidR="006728EA">
        <w:rPr>
          <w:lang w:val="en-GB"/>
        </w:rPr>
        <w:t xml:space="preserve">in which </w:t>
      </w:r>
      <w:r w:rsidR="00696F2E" w:rsidRPr="002268C6">
        <w:rPr>
          <w:lang w:val="en-GB"/>
        </w:rPr>
        <w:t>two Kunak AIR Pro monitoring systems were used to monitor H</w:t>
      </w:r>
      <w:r w:rsidR="00696F2E" w:rsidRPr="002268C6">
        <w:rPr>
          <w:vertAlign w:val="subscript"/>
          <w:lang w:val="en-GB"/>
        </w:rPr>
        <w:t>2</w:t>
      </w:r>
      <w:r w:rsidR="00696F2E" w:rsidRPr="002268C6">
        <w:rPr>
          <w:lang w:val="en-GB"/>
        </w:rPr>
        <w:t>S, NH</w:t>
      </w:r>
      <w:r w:rsidR="00696F2E" w:rsidRPr="002268C6">
        <w:rPr>
          <w:vertAlign w:val="subscript"/>
          <w:lang w:val="en-GB"/>
        </w:rPr>
        <w:t>3</w:t>
      </w:r>
      <w:r w:rsidR="00696F2E" w:rsidRPr="002268C6">
        <w:rPr>
          <w:lang w:val="en-GB"/>
        </w:rPr>
        <w:t>, and VOCs from August 4</w:t>
      </w:r>
      <w:r w:rsidR="00696F2E" w:rsidRPr="002268C6">
        <w:rPr>
          <w:vertAlign w:val="superscript"/>
          <w:lang w:val="en-GB"/>
        </w:rPr>
        <w:t>th</w:t>
      </w:r>
      <w:proofErr w:type="gramStart"/>
      <w:r w:rsidR="00696F2E" w:rsidRPr="002268C6">
        <w:rPr>
          <w:lang w:val="en-GB"/>
        </w:rPr>
        <w:t xml:space="preserve"> 2023</w:t>
      </w:r>
      <w:proofErr w:type="gramEnd"/>
      <w:r w:rsidR="00696F2E" w:rsidRPr="002268C6">
        <w:rPr>
          <w:lang w:val="en-GB"/>
        </w:rPr>
        <w:t xml:space="preserve"> to 1</w:t>
      </w:r>
      <w:r w:rsidR="00696F2E" w:rsidRPr="002268C6">
        <w:rPr>
          <w:vertAlign w:val="superscript"/>
          <w:lang w:val="en-GB"/>
        </w:rPr>
        <w:t>st</w:t>
      </w:r>
      <w:r w:rsidR="00696F2E" w:rsidRPr="002268C6">
        <w:rPr>
          <w:lang w:val="en-GB"/>
        </w:rPr>
        <w:t xml:space="preserve"> February 2024. Additional</w:t>
      </w:r>
      <w:r w:rsidR="006728EA">
        <w:rPr>
          <w:lang w:val="en-GB"/>
        </w:rPr>
        <w:t>ly</w:t>
      </w:r>
      <w:r w:rsidR="00696F2E" w:rsidRPr="002268C6">
        <w:rPr>
          <w:lang w:val="en-GB"/>
        </w:rPr>
        <w:t xml:space="preserve">, meteorological variables including pressure, temperature, relative humidity, and wind speed and direction were also monitored. </w:t>
      </w:r>
      <w:r w:rsidR="000F35A5" w:rsidRPr="002268C6">
        <w:rPr>
          <w:lang w:val="en-GB"/>
        </w:rPr>
        <w:t xml:space="preserve">A </w:t>
      </w:r>
      <w:r w:rsidR="006728EA">
        <w:rPr>
          <w:lang w:val="en-GB"/>
        </w:rPr>
        <w:t xml:space="preserve">third </w:t>
      </w:r>
      <w:r w:rsidR="000F35A5" w:rsidRPr="002268C6">
        <w:rPr>
          <w:lang w:val="en-GB"/>
        </w:rPr>
        <w:t xml:space="preserve">monitoring campaign was conducted at a </w:t>
      </w:r>
      <w:r w:rsidR="002268C6" w:rsidRPr="002268C6">
        <w:rPr>
          <w:lang w:val="en-GB"/>
        </w:rPr>
        <w:t>petrochemical</w:t>
      </w:r>
      <w:r w:rsidR="000F35A5" w:rsidRPr="002268C6">
        <w:rPr>
          <w:lang w:val="en-GB"/>
        </w:rPr>
        <w:t xml:space="preserve"> plant located in Valparaíso Region (Chile)</w:t>
      </w:r>
      <w:r w:rsidR="000114E6" w:rsidRPr="002268C6">
        <w:rPr>
          <w:lang w:val="en-GB"/>
        </w:rPr>
        <w:t xml:space="preserve"> from </w:t>
      </w:r>
      <w:r w:rsidR="003F1E1A">
        <w:rPr>
          <w:lang w:val="en-GB"/>
        </w:rPr>
        <w:t>August</w:t>
      </w:r>
      <w:r w:rsidR="00CA330E">
        <w:rPr>
          <w:lang w:val="en-GB"/>
        </w:rPr>
        <w:t xml:space="preserve"> 1</w:t>
      </w:r>
      <w:r w:rsidR="003F1E1A">
        <w:rPr>
          <w:vertAlign w:val="superscript"/>
          <w:lang w:val="en-GB"/>
        </w:rPr>
        <w:t>st</w:t>
      </w:r>
      <w:r w:rsidR="002268C6" w:rsidRPr="002268C6">
        <w:rPr>
          <w:lang w:val="en-GB"/>
        </w:rPr>
        <w:t xml:space="preserve"> to </w:t>
      </w:r>
      <w:proofErr w:type="gramStart"/>
      <w:r w:rsidR="003F1E1A">
        <w:rPr>
          <w:lang w:val="en-GB"/>
        </w:rPr>
        <w:t>31</w:t>
      </w:r>
      <w:r w:rsidR="00CA330E" w:rsidRPr="00CA330E">
        <w:rPr>
          <w:vertAlign w:val="superscript"/>
          <w:lang w:val="en-GB"/>
        </w:rPr>
        <w:t>th</w:t>
      </w:r>
      <w:proofErr w:type="gramEnd"/>
      <w:r w:rsidR="002268C6" w:rsidRPr="002268C6">
        <w:rPr>
          <w:lang w:val="en-GB"/>
        </w:rPr>
        <w:t xml:space="preserve"> 2023. </w:t>
      </w:r>
      <w:r w:rsidR="00696F2E" w:rsidRPr="002268C6">
        <w:rPr>
          <w:lang w:val="en-GB"/>
        </w:rPr>
        <w:t xml:space="preserve">Three Kunak AIR Pro monitoring systems </w:t>
      </w:r>
      <w:r w:rsidR="002268C6" w:rsidRPr="002268C6">
        <w:rPr>
          <w:lang w:val="en-GB"/>
        </w:rPr>
        <w:t>were employed to monitor</w:t>
      </w:r>
      <w:r w:rsidR="00696F2E" w:rsidRPr="002268C6">
        <w:rPr>
          <w:lang w:val="en-GB"/>
        </w:rPr>
        <w:t xml:space="preserve"> VOCs </w:t>
      </w:r>
      <w:r w:rsidR="00874EB2">
        <w:rPr>
          <w:lang w:val="en-GB"/>
        </w:rPr>
        <w:t xml:space="preserve">as well as </w:t>
      </w:r>
      <w:r w:rsidR="00696F2E" w:rsidRPr="002268C6">
        <w:rPr>
          <w:lang w:val="en-GB"/>
        </w:rPr>
        <w:t>wind speed and direction</w:t>
      </w:r>
      <w:r w:rsidR="00874EB2">
        <w:rPr>
          <w:lang w:val="en-GB"/>
        </w:rPr>
        <w:t xml:space="preserve"> among other</w:t>
      </w:r>
      <w:r w:rsidR="00874EB2" w:rsidRPr="002268C6">
        <w:rPr>
          <w:lang w:val="en-GB"/>
        </w:rPr>
        <w:t xml:space="preserve"> meteorological variables</w:t>
      </w:r>
      <w:r w:rsidR="00696F2E" w:rsidRPr="002268C6">
        <w:rPr>
          <w:lang w:val="en-GB"/>
        </w:rPr>
        <w:t>.</w:t>
      </w:r>
    </w:p>
    <w:p w14:paraId="677EBFF0" w14:textId="1CC17B9A" w:rsidR="00600535" w:rsidRPr="002268C6" w:rsidRDefault="005F6173" w:rsidP="00600535">
      <w:pPr>
        <w:pStyle w:val="CETHeading1"/>
        <w:tabs>
          <w:tab w:val="clear" w:pos="360"/>
          <w:tab w:val="right" w:pos="7100"/>
        </w:tabs>
        <w:jc w:val="both"/>
        <w:rPr>
          <w:lang w:val="en-GB"/>
        </w:rPr>
      </w:pPr>
      <w:r w:rsidRPr="002268C6">
        <w:rPr>
          <w:lang w:val="en-GB"/>
        </w:rPr>
        <w:t>Results and discussion</w:t>
      </w:r>
    </w:p>
    <w:p w14:paraId="7382C781" w14:textId="10594CA7" w:rsidR="00600535" w:rsidRPr="002268C6" w:rsidRDefault="004A2F94" w:rsidP="00FA5F5F">
      <w:pPr>
        <w:pStyle w:val="CETheadingx"/>
        <w:rPr>
          <w:lang w:val="en-GB"/>
        </w:rPr>
      </w:pPr>
      <w:r w:rsidRPr="002268C6">
        <w:rPr>
          <w:lang w:val="en-GB"/>
        </w:rPr>
        <w:t>Water waste treatment plant</w:t>
      </w:r>
    </w:p>
    <w:p w14:paraId="2BD39838" w14:textId="72A4EC95" w:rsidR="00AC27C8" w:rsidRPr="002268C6" w:rsidRDefault="00A95C1F" w:rsidP="0089510C">
      <w:pPr>
        <w:pStyle w:val="CETBodytext"/>
        <w:rPr>
          <w:lang w:val="en-GB"/>
        </w:rPr>
      </w:pPr>
      <w:r w:rsidRPr="002268C6">
        <w:rPr>
          <w:lang w:val="en-GB"/>
        </w:rPr>
        <w:t xml:space="preserve">The </w:t>
      </w:r>
      <w:r w:rsidR="0089510C" w:rsidRPr="002268C6">
        <w:rPr>
          <w:lang w:val="en-GB"/>
        </w:rPr>
        <w:t xml:space="preserve">temporal variation of </w:t>
      </w:r>
      <w:r w:rsidR="00F80041" w:rsidRPr="002268C6">
        <w:rPr>
          <w:lang w:val="en-GB"/>
        </w:rPr>
        <w:t>H</w:t>
      </w:r>
      <w:r w:rsidR="00F80041" w:rsidRPr="002268C6">
        <w:rPr>
          <w:vertAlign w:val="subscript"/>
          <w:lang w:val="en-GB"/>
        </w:rPr>
        <w:t>2</w:t>
      </w:r>
      <w:r w:rsidR="00F80041" w:rsidRPr="002268C6">
        <w:rPr>
          <w:lang w:val="en-GB"/>
        </w:rPr>
        <w:t>S</w:t>
      </w:r>
      <w:r w:rsidR="0089510C" w:rsidRPr="002268C6">
        <w:rPr>
          <w:lang w:val="en-GB"/>
        </w:rPr>
        <w:t xml:space="preserve"> concentrations measured by both the Kunak AIR Pro (blue line) and the </w:t>
      </w:r>
      <w:r w:rsidR="00F80041" w:rsidRPr="002268C6">
        <w:rPr>
          <w:lang w:val="en-GB"/>
        </w:rPr>
        <w:t>H</w:t>
      </w:r>
      <w:r w:rsidR="00F80041" w:rsidRPr="002268C6">
        <w:rPr>
          <w:vertAlign w:val="subscript"/>
          <w:lang w:val="en-GB"/>
        </w:rPr>
        <w:t>2</w:t>
      </w:r>
      <w:r w:rsidR="00F80041" w:rsidRPr="002268C6">
        <w:rPr>
          <w:lang w:val="en-GB"/>
        </w:rPr>
        <w:t>S</w:t>
      </w:r>
      <w:r w:rsidR="0089510C" w:rsidRPr="002268C6">
        <w:rPr>
          <w:lang w:val="en-GB"/>
        </w:rPr>
        <w:t xml:space="preserve"> </w:t>
      </w:r>
      <w:r w:rsidR="00902042">
        <w:rPr>
          <w:lang w:val="en-GB"/>
        </w:rPr>
        <w:t>analyser</w:t>
      </w:r>
      <w:r w:rsidR="0089510C" w:rsidRPr="002268C6">
        <w:rPr>
          <w:lang w:val="en-GB"/>
        </w:rPr>
        <w:t xml:space="preserve"> (red line)</w:t>
      </w:r>
      <w:r w:rsidRPr="002268C6">
        <w:rPr>
          <w:lang w:val="en-GB"/>
        </w:rPr>
        <w:t xml:space="preserve"> are illustrated in</w:t>
      </w:r>
      <w:r w:rsidR="00D561CB">
        <w:rPr>
          <w:lang w:val="en-GB"/>
        </w:rPr>
        <w:t xml:space="preserve"> </w:t>
      </w:r>
      <w:r w:rsidR="00D561CB">
        <w:rPr>
          <w:lang w:val="en-GB"/>
        </w:rPr>
        <w:fldChar w:fldCharType="begin"/>
      </w:r>
      <w:r w:rsidR="00D561CB">
        <w:rPr>
          <w:lang w:val="en-GB"/>
        </w:rPr>
        <w:instrText xml:space="preserve"> REF _Ref161903767 \h </w:instrText>
      </w:r>
      <w:r w:rsidR="00D561CB">
        <w:rPr>
          <w:lang w:val="en-GB"/>
        </w:rPr>
      </w:r>
      <w:r w:rsidR="00D561CB">
        <w:rPr>
          <w:lang w:val="en-GB"/>
        </w:rPr>
        <w:fldChar w:fldCharType="separate"/>
      </w:r>
      <w:r w:rsidR="00D561CB" w:rsidRPr="002268C6">
        <w:t xml:space="preserve">Figure </w:t>
      </w:r>
      <w:r w:rsidR="00D561CB">
        <w:rPr>
          <w:noProof/>
        </w:rPr>
        <w:t>2</w:t>
      </w:r>
      <w:r w:rsidR="00D561CB">
        <w:rPr>
          <w:lang w:val="en-GB"/>
        </w:rPr>
        <w:fldChar w:fldCharType="end"/>
      </w:r>
      <w:r w:rsidR="0089510C" w:rsidRPr="002268C6">
        <w:rPr>
          <w:lang w:val="en-GB"/>
        </w:rPr>
        <w:t>. Overall, H</w:t>
      </w:r>
      <w:r w:rsidR="0089510C" w:rsidRPr="002268C6">
        <w:rPr>
          <w:vertAlign w:val="subscript"/>
          <w:lang w:val="en-GB"/>
        </w:rPr>
        <w:t>2</w:t>
      </w:r>
      <w:r w:rsidR="0089510C" w:rsidRPr="002268C6">
        <w:rPr>
          <w:lang w:val="en-GB"/>
        </w:rPr>
        <w:t xml:space="preserve">S levels remained below 100 ppb, </w:t>
      </w:r>
      <w:r w:rsidR="00723A8D">
        <w:rPr>
          <w:lang w:val="en-GB"/>
        </w:rPr>
        <w:t>with a</w:t>
      </w:r>
      <w:r w:rsidR="0089510C" w:rsidRPr="002268C6">
        <w:rPr>
          <w:lang w:val="en-GB"/>
        </w:rPr>
        <w:t xml:space="preserve"> mean </w:t>
      </w:r>
      <w:r w:rsidR="00723A8D">
        <w:rPr>
          <w:lang w:val="en-GB"/>
        </w:rPr>
        <w:t>concentration of</w:t>
      </w:r>
      <w:r w:rsidR="0089510C" w:rsidRPr="002268C6">
        <w:rPr>
          <w:lang w:val="en-GB"/>
        </w:rPr>
        <w:t xml:space="preserve"> 15 ppb</w:t>
      </w:r>
      <w:r w:rsidR="00723A8D">
        <w:rPr>
          <w:lang w:val="en-GB"/>
        </w:rPr>
        <w:t>. O</w:t>
      </w:r>
      <w:r w:rsidR="0089510C" w:rsidRPr="002268C6">
        <w:rPr>
          <w:lang w:val="en-GB"/>
        </w:rPr>
        <w:t>ccasional peaks</w:t>
      </w:r>
      <w:r w:rsidR="00723A8D">
        <w:rPr>
          <w:lang w:val="en-GB"/>
        </w:rPr>
        <w:t>,</w:t>
      </w:r>
      <w:r w:rsidR="0089510C" w:rsidRPr="002268C6">
        <w:rPr>
          <w:lang w:val="en-GB"/>
        </w:rPr>
        <w:t xml:space="preserve"> notably observed on January 4</w:t>
      </w:r>
      <w:r w:rsidR="0089510C" w:rsidRPr="00337A92">
        <w:rPr>
          <w:vertAlign w:val="superscript"/>
          <w:lang w:val="en-GB"/>
        </w:rPr>
        <w:t>th</w:t>
      </w:r>
      <w:r w:rsidR="0089510C" w:rsidRPr="002268C6">
        <w:rPr>
          <w:lang w:val="en-GB"/>
        </w:rPr>
        <w:t xml:space="preserve">, </w:t>
      </w:r>
      <w:r w:rsidR="00723A8D">
        <w:rPr>
          <w:lang w:val="en-GB"/>
        </w:rPr>
        <w:t>reached levels</w:t>
      </w:r>
      <w:r w:rsidR="0089510C" w:rsidRPr="002268C6">
        <w:rPr>
          <w:lang w:val="en-GB"/>
        </w:rPr>
        <w:t xml:space="preserve"> ranging between 200 and 956 ppb. </w:t>
      </w:r>
    </w:p>
    <w:p w14:paraId="54EAD088" w14:textId="77777777" w:rsidR="008E1C78" w:rsidRPr="002268C6" w:rsidRDefault="008E1C78" w:rsidP="0089510C">
      <w:pPr>
        <w:pStyle w:val="CETBodytext"/>
        <w:rPr>
          <w:lang w:val="en-GB"/>
        </w:rPr>
      </w:pPr>
    </w:p>
    <w:p w14:paraId="0B7F717E" w14:textId="77777777" w:rsidR="008E1C78" w:rsidRPr="002268C6" w:rsidRDefault="008E1C78" w:rsidP="0089510C">
      <w:pPr>
        <w:pStyle w:val="CETBodytext"/>
        <w:rPr>
          <w:lang w:val="en-GB"/>
        </w:rPr>
      </w:pPr>
    </w:p>
    <w:p w14:paraId="5BA93BD9" w14:textId="10D82FEC" w:rsidR="008E1C78" w:rsidRPr="002268C6" w:rsidRDefault="00337A92" w:rsidP="0089510C">
      <w:pPr>
        <w:pStyle w:val="CETBodytext"/>
        <w:rPr>
          <w:lang w:val="en-GB"/>
        </w:rPr>
      </w:pPr>
      <w:r>
        <w:rPr>
          <w:noProof/>
          <w:lang w:val="en-GB"/>
        </w:rPr>
        <w:drawing>
          <wp:inline distT="0" distB="0" distL="0" distR="0" wp14:anchorId="50B32C14" wp14:editId="6E4E41CF">
            <wp:extent cx="5579745" cy="1873250"/>
            <wp:effectExtent l="0" t="0" r="1905" b="0"/>
            <wp:docPr id="1372715114" name="Picture 2" descr="A graph with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15114" name="Picture 2" descr="A graph with a red and blue line&#10;&#10;Description automatically generated"/>
                    <pic:cNvPicPr/>
                  </pic:nvPicPr>
                  <pic:blipFill>
                    <a:blip r:embed="rId12"/>
                    <a:stretch>
                      <a:fillRect/>
                    </a:stretch>
                  </pic:blipFill>
                  <pic:spPr>
                    <a:xfrm>
                      <a:off x="0" y="0"/>
                      <a:ext cx="5579745" cy="1873250"/>
                    </a:xfrm>
                    <a:prstGeom prst="rect">
                      <a:avLst/>
                    </a:prstGeom>
                  </pic:spPr>
                </pic:pic>
              </a:graphicData>
            </a:graphic>
          </wp:inline>
        </w:drawing>
      </w:r>
    </w:p>
    <w:p w14:paraId="1C7C8F97" w14:textId="58D0C5AE" w:rsidR="004B3D84" w:rsidRPr="002268C6" w:rsidRDefault="004B3D84" w:rsidP="004B3D84">
      <w:pPr>
        <w:pStyle w:val="CETCaption"/>
      </w:pPr>
      <w:bookmarkStart w:id="2" w:name="_Ref161903767"/>
      <w:r w:rsidRPr="002268C6">
        <w:t xml:space="preserve">Figure </w:t>
      </w:r>
      <w:r w:rsidRPr="002268C6">
        <w:fldChar w:fldCharType="begin"/>
      </w:r>
      <w:r w:rsidRPr="002268C6">
        <w:instrText xml:space="preserve"> SEQ Figure \* ARABIC </w:instrText>
      </w:r>
      <w:r w:rsidRPr="002268C6">
        <w:fldChar w:fldCharType="separate"/>
      </w:r>
      <w:r w:rsidR="00463163">
        <w:rPr>
          <w:noProof/>
        </w:rPr>
        <w:t>2</w:t>
      </w:r>
      <w:r w:rsidRPr="002268C6">
        <w:fldChar w:fldCharType="end"/>
      </w:r>
      <w:bookmarkEnd w:id="2"/>
      <w:r w:rsidRPr="002268C6">
        <w:t>. H</w:t>
      </w:r>
      <w:r w:rsidRPr="002268C6">
        <w:rPr>
          <w:vertAlign w:val="subscript"/>
        </w:rPr>
        <w:t>2</w:t>
      </w:r>
      <w:r w:rsidRPr="002268C6">
        <w:t>S levels measured by the Kunak AIR Pro (blue line) and the H</w:t>
      </w:r>
      <w:r w:rsidRPr="002268C6">
        <w:rPr>
          <w:vertAlign w:val="subscript"/>
        </w:rPr>
        <w:t>2</w:t>
      </w:r>
      <w:r w:rsidRPr="002268C6">
        <w:t xml:space="preserve">S </w:t>
      </w:r>
      <w:r w:rsidR="00902042" w:rsidRPr="002268C6">
        <w:t>analyser</w:t>
      </w:r>
      <w:r w:rsidRPr="002268C6">
        <w:t xml:space="preserve"> (red line)</w:t>
      </w:r>
      <w:r w:rsidR="00FF3581">
        <w:t>.</w:t>
      </w:r>
      <w:r w:rsidR="00337A92">
        <w:t xml:space="preserve"> </w:t>
      </w:r>
      <w:r w:rsidR="00337A92" w:rsidRPr="00337A92">
        <w:t>A zoomed-in view of H</w:t>
      </w:r>
      <w:r w:rsidR="00337A92" w:rsidRPr="00337A92">
        <w:rPr>
          <w:vertAlign w:val="subscript"/>
        </w:rPr>
        <w:t>2</w:t>
      </w:r>
      <w:r w:rsidR="00337A92" w:rsidRPr="00337A92">
        <w:t>S levels measured on January 11</w:t>
      </w:r>
      <w:r w:rsidR="00337A92" w:rsidRPr="00DD16BD">
        <w:rPr>
          <w:vertAlign w:val="superscript"/>
        </w:rPr>
        <w:t>th</w:t>
      </w:r>
      <w:r w:rsidR="00337A92" w:rsidRPr="00337A92">
        <w:t xml:space="preserve"> and 12</w:t>
      </w:r>
      <w:r w:rsidR="00337A92" w:rsidRPr="00DD16BD">
        <w:rPr>
          <w:vertAlign w:val="superscript"/>
        </w:rPr>
        <w:t>th</w:t>
      </w:r>
      <w:r w:rsidR="00337A92" w:rsidRPr="00337A92">
        <w:t xml:space="preserve"> (yellow box)</w:t>
      </w:r>
    </w:p>
    <w:p w14:paraId="3AAC1CF5" w14:textId="5D795E27" w:rsidR="004A2F49" w:rsidRDefault="00F80041" w:rsidP="00253700">
      <w:pPr>
        <w:pStyle w:val="CETBodytext"/>
        <w:rPr>
          <w:lang w:val="en-GB"/>
        </w:rPr>
      </w:pPr>
      <w:r w:rsidRPr="002268C6">
        <w:rPr>
          <w:lang w:val="en-GB"/>
        </w:rPr>
        <w:t>H</w:t>
      </w:r>
      <w:r w:rsidRPr="002268C6">
        <w:rPr>
          <w:vertAlign w:val="subscript"/>
          <w:lang w:val="en-GB"/>
        </w:rPr>
        <w:t>2</w:t>
      </w:r>
      <w:r w:rsidRPr="002268C6">
        <w:rPr>
          <w:lang w:val="en-GB"/>
        </w:rPr>
        <w:t>S</w:t>
      </w:r>
      <w:r w:rsidR="0089510C" w:rsidRPr="002268C6">
        <w:rPr>
          <w:lang w:val="en-GB"/>
        </w:rPr>
        <w:t xml:space="preserve"> </w:t>
      </w:r>
      <w:r w:rsidR="002B3C7E" w:rsidRPr="002268C6">
        <w:rPr>
          <w:lang w:val="en-GB"/>
        </w:rPr>
        <w:t xml:space="preserve">levels measured by the Kunak device were very similar to those recorded by the </w:t>
      </w:r>
      <w:r w:rsidRPr="002268C6">
        <w:rPr>
          <w:lang w:val="en-GB"/>
        </w:rPr>
        <w:t>H</w:t>
      </w:r>
      <w:r w:rsidRPr="002268C6">
        <w:rPr>
          <w:vertAlign w:val="subscript"/>
          <w:lang w:val="en-GB"/>
        </w:rPr>
        <w:t>2</w:t>
      </w:r>
      <w:r w:rsidRPr="002268C6">
        <w:rPr>
          <w:lang w:val="en-GB"/>
        </w:rPr>
        <w:t>S</w:t>
      </w:r>
      <w:r w:rsidR="002B3C7E" w:rsidRPr="002268C6">
        <w:rPr>
          <w:lang w:val="en-GB"/>
        </w:rPr>
        <w:t xml:space="preserve"> </w:t>
      </w:r>
      <w:r w:rsidR="00902042">
        <w:rPr>
          <w:lang w:val="en-GB"/>
        </w:rPr>
        <w:t>analyser</w:t>
      </w:r>
      <w:r w:rsidR="00723A8D">
        <w:rPr>
          <w:lang w:val="en-GB"/>
        </w:rPr>
        <w:t xml:space="preserve">, </w:t>
      </w:r>
      <w:r w:rsidR="00723A8D" w:rsidRPr="00723A8D">
        <w:rPr>
          <w:lang w:val="en-GB"/>
        </w:rPr>
        <w:t>indicating a high degree of agreement between the two systems</w:t>
      </w:r>
      <w:r w:rsidR="0089510C" w:rsidRPr="002268C6">
        <w:rPr>
          <w:lang w:val="en-GB"/>
        </w:rPr>
        <w:t xml:space="preserve">. </w:t>
      </w:r>
      <w:r w:rsidR="002B3C7E" w:rsidRPr="002268C6">
        <w:rPr>
          <w:lang w:val="en-GB"/>
        </w:rPr>
        <w:t xml:space="preserve">The data obtained with this </w:t>
      </w:r>
      <w:r w:rsidR="00902042">
        <w:rPr>
          <w:lang w:val="en-GB"/>
        </w:rPr>
        <w:t>analyser</w:t>
      </w:r>
      <w:r w:rsidR="002B3C7E" w:rsidRPr="002268C6">
        <w:rPr>
          <w:lang w:val="en-GB"/>
        </w:rPr>
        <w:t xml:space="preserve"> was plotted against the Kunak device 1-hour average data (</w:t>
      </w:r>
      <w:r w:rsidR="00D561CB">
        <w:rPr>
          <w:lang w:val="en-GB"/>
        </w:rPr>
        <w:fldChar w:fldCharType="begin"/>
      </w:r>
      <w:r w:rsidR="00D561CB">
        <w:rPr>
          <w:lang w:val="en-GB"/>
        </w:rPr>
        <w:instrText xml:space="preserve"> REF _Ref161903781 \h </w:instrText>
      </w:r>
      <w:r w:rsidR="00D561CB">
        <w:rPr>
          <w:lang w:val="en-GB"/>
        </w:rPr>
      </w:r>
      <w:r w:rsidR="00D561CB">
        <w:rPr>
          <w:lang w:val="en-GB"/>
        </w:rPr>
        <w:fldChar w:fldCharType="separate"/>
      </w:r>
      <w:r w:rsidR="00D561CB" w:rsidRPr="002268C6">
        <w:t xml:space="preserve">Figure </w:t>
      </w:r>
      <w:r w:rsidR="00D561CB">
        <w:rPr>
          <w:noProof/>
        </w:rPr>
        <w:t>3</w:t>
      </w:r>
      <w:r w:rsidR="00D561CB">
        <w:rPr>
          <w:lang w:val="en-GB"/>
        </w:rPr>
        <w:fldChar w:fldCharType="end"/>
      </w:r>
      <w:r w:rsidR="002B3C7E" w:rsidRPr="002268C6">
        <w:rPr>
          <w:lang w:val="en-GB"/>
        </w:rPr>
        <w:t>) showing a high correlation (R</w:t>
      </w:r>
      <w:r w:rsidR="002B3C7E" w:rsidRPr="00D553B9">
        <w:rPr>
          <w:vertAlign w:val="superscript"/>
          <w:lang w:val="en-GB"/>
        </w:rPr>
        <w:t>2</w:t>
      </w:r>
      <w:r w:rsidR="002B3C7E" w:rsidRPr="002268C6">
        <w:rPr>
          <w:lang w:val="en-GB"/>
        </w:rPr>
        <w:t>: 0.77) despite the low concentrations measured through the study. Besides, the slope of the linear regression equation was close to 1 indicating</w:t>
      </w:r>
      <w:r w:rsidR="0089510C" w:rsidRPr="002268C6">
        <w:rPr>
          <w:lang w:val="en-GB"/>
        </w:rPr>
        <w:t xml:space="preserve"> a strong agreement between the two datasets</w:t>
      </w:r>
      <w:r w:rsidR="0089510C" w:rsidRPr="00D553B9">
        <w:rPr>
          <w:lang w:val="en-GB"/>
        </w:rPr>
        <w:t>.</w:t>
      </w:r>
      <w:r w:rsidR="00686BCA" w:rsidRPr="00D553B9">
        <w:rPr>
          <w:lang w:val="en-GB"/>
        </w:rPr>
        <w:t xml:space="preserve"> In addition, </w:t>
      </w:r>
      <w:r w:rsidR="004A2F49">
        <w:rPr>
          <w:lang w:val="en-GB"/>
        </w:rPr>
        <w:t>Mean Absolute Error (</w:t>
      </w:r>
      <w:r w:rsidR="00686BCA" w:rsidRPr="00D553B9">
        <w:rPr>
          <w:lang w:val="en-GB"/>
        </w:rPr>
        <w:t>MAE</w:t>
      </w:r>
      <w:r w:rsidR="004A2F49">
        <w:rPr>
          <w:lang w:val="en-GB"/>
        </w:rPr>
        <w:t>)</w:t>
      </w:r>
      <w:r w:rsidR="00686BCA" w:rsidRPr="00D553B9">
        <w:rPr>
          <w:lang w:val="en-GB"/>
        </w:rPr>
        <w:t xml:space="preserve"> </w:t>
      </w:r>
      <w:r w:rsidR="004A2F49">
        <w:rPr>
          <w:lang w:val="en-GB"/>
        </w:rPr>
        <w:t xml:space="preserve">and </w:t>
      </w:r>
      <w:r w:rsidR="004A2F49" w:rsidRPr="004A2F49">
        <w:rPr>
          <w:lang w:val="en-GB"/>
        </w:rPr>
        <w:t>Mean Absolute Percentage Error (MAPE)</w:t>
      </w:r>
      <w:r w:rsidR="004A2F49">
        <w:rPr>
          <w:lang w:val="en-GB"/>
        </w:rPr>
        <w:t xml:space="preserve"> </w:t>
      </w:r>
      <w:r w:rsidR="00686BCA" w:rsidRPr="00D553B9">
        <w:rPr>
          <w:lang w:val="en-GB"/>
        </w:rPr>
        <w:t>w</w:t>
      </w:r>
      <w:r w:rsidR="004A2F49">
        <w:rPr>
          <w:lang w:val="en-GB"/>
        </w:rPr>
        <w:t>ere</w:t>
      </w:r>
      <w:r w:rsidR="00686BCA" w:rsidRPr="00D553B9">
        <w:rPr>
          <w:lang w:val="en-GB"/>
        </w:rPr>
        <w:t xml:space="preserve"> calculated to be </w:t>
      </w:r>
      <w:r w:rsidR="003500B9">
        <w:rPr>
          <w:lang w:val="en-GB"/>
        </w:rPr>
        <w:t>6.9</w:t>
      </w:r>
      <w:r w:rsidR="00686BCA" w:rsidRPr="00D553B9">
        <w:rPr>
          <w:lang w:val="en-GB"/>
        </w:rPr>
        <w:t xml:space="preserve"> ppb</w:t>
      </w:r>
      <w:r w:rsidR="004A2F49">
        <w:rPr>
          <w:lang w:val="en-GB"/>
        </w:rPr>
        <w:t xml:space="preserve"> and 125%</w:t>
      </w:r>
      <w:r w:rsidR="00686BCA" w:rsidRPr="00D553B9">
        <w:rPr>
          <w:lang w:val="en-GB"/>
        </w:rPr>
        <w:t>,</w:t>
      </w:r>
      <w:r w:rsidR="004A2F49">
        <w:rPr>
          <w:lang w:val="en-GB"/>
        </w:rPr>
        <w:t xml:space="preserve"> respectively. Considering the low concentrations, it is not surprising since an error of 1 ppb in 1 ppb already represents a 100%. </w:t>
      </w:r>
      <w:r w:rsidR="00253700" w:rsidRPr="002268C6">
        <w:rPr>
          <w:lang w:val="en-GB"/>
        </w:rPr>
        <w:t>It is important to note that while the H</w:t>
      </w:r>
      <w:r w:rsidR="00253700" w:rsidRPr="002268C6">
        <w:rPr>
          <w:vertAlign w:val="subscript"/>
          <w:lang w:val="en-GB"/>
        </w:rPr>
        <w:t>2</w:t>
      </w:r>
      <w:r w:rsidR="00253700" w:rsidRPr="002268C6">
        <w:rPr>
          <w:lang w:val="en-GB"/>
        </w:rPr>
        <w:t>S sensor can detect low concentrations of H</w:t>
      </w:r>
      <w:r w:rsidR="00253700" w:rsidRPr="002268C6">
        <w:rPr>
          <w:vertAlign w:val="subscript"/>
          <w:lang w:val="en-GB"/>
        </w:rPr>
        <w:t>2</w:t>
      </w:r>
      <w:r w:rsidR="00253700" w:rsidRPr="002268C6">
        <w:rPr>
          <w:lang w:val="en-GB"/>
        </w:rPr>
        <w:t>S in ambient conditions, its accuracy can be affected by temperature and humidity variations. Although Kunak algorithms effectively mitigate these effects, it is not recommended to use this sensor to detect levels below 10 ppb.</w:t>
      </w:r>
      <w:r w:rsidR="00253700">
        <w:rPr>
          <w:lang w:val="en-GB"/>
        </w:rPr>
        <w:t xml:space="preserve"> </w:t>
      </w:r>
      <w:r w:rsidR="00253700" w:rsidRPr="002268C6">
        <w:rPr>
          <w:lang w:val="en-GB"/>
        </w:rPr>
        <w:t xml:space="preserve">During the study, temperature ranged from 0 to 18.3 ºC and relative humidity </w:t>
      </w:r>
      <w:r w:rsidR="00253700">
        <w:rPr>
          <w:lang w:val="en-GB"/>
        </w:rPr>
        <w:t xml:space="preserve">varied </w:t>
      </w:r>
      <w:r w:rsidR="00253700" w:rsidRPr="002268C6">
        <w:rPr>
          <w:lang w:val="en-GB"/>
        </w:rPr>
        <w:t xml:space="preserve">between 37 and 96 %. </w:t>
      </w:r>
      <w:r w:rsidR="00253700" w:rsidRPr="00D553B9">
        <w:rPr>
          <w:lang w:val="en-GB"/>
        </w:rPr>
        <w:t>If only H</w:t>
      </w:r>
      <w:r w:rsidR="00253700" w:rsidRPr="00D553B9">
        <w:rPr>
          <w:vertAlign w:val="subscript"/>
          <w:lang w:val="en-GB"/>
        </w:rPr>
        <w:t>2</w:t>
      </w:r>
      <w:r w:rsidR="00253700" w:rsidRPr="00D553B9">
        <w:rPr>
          <w:lang w:val="en-GB"/>
        </w:rPr>
        <w:t xml:space="preserve">S concentrations above 20 ppb are considered, the correlation coefficient increases to 0.81. </w:t>
      </w:r>
      <w:r w:rsidR="00D905C0">
        <w:rPr>
          <w:lang w:val="en-GB"/>
        </w:rPr>
        <w:t>Besides, it must be considered that t</w:t>
      </w:r>
      <w:r w:rsidR="00253700">
        <w:rPr>
          <w:lang w:val="en-GB"/>
        </w:rPr>
        <w:t>he differences observed between the sensor and the H</w:t>
      </w:r>
      <w:r w:rsidR="00253700" w:rsidRPr="00734074">
        <w:rPr>
          <w:vertAlign w:val="subscript"/>
          <w:lang w:val="en-GB"/>
        </w:rPr>
        <w:t>2</w:t>
      </w:r>
      <w:r w:rsidR="00253700">
        <w:rPr>
          <w:lang w:val="en-GB"/>
        </w:rPr>
        <w:t xml:space="preserve">S analyser might be </w:t>
      </w:r>
      <w:r w:rsidR="002E6D1F">
        <w:rPr>
          <w:lang w:val="en-GB"/>
        </w:rPr>
        <w:t xml:space="preserve">also </w:t>
      </w:r>
      <w:r w:rsidR="00253700">
        <w:rPr>
          <w:lang w:val="en-GB"/>
        </w:rPr>
        <w:t xml:space="preserve">due to </w:t>
      </w:r>
      <w:r w:rsidR="004A2F49">
        <w:rPr>
          <w:lang w:val="en-GB"/>
        </w:rPr>
        <w:t xml:space="preserve">the presence of organic </w:t>
      </w:r>
      <w:proofErr w:type="spellStart"/>
      <w:r w:rsidR="004A2F49">
        <w:rPr>
          <w:lang w:val="en-GB"/>
        </w:rPr>
        <w:t>sulfur</w:t>
      </w:r>
      <w:proofErr w:type="spellEnd"/>
      <w:r w:rsidR="004A2F49">
        <w:rPr>
          <w:lang w:val="en-GB"/>
        </w:rPr>
        <w:t xml:space="preserve"> compounds</w:t>
      </w:r>
      <w:r w:rsidR="00D905C0">
        <w:rPr>
          <w:lang w:val="en-GB"/>
        </w:rPr>
        <w:t>, such as methyl mercaptan,</w:t>
      </w:r>
      <w:r w:rsidR="004A2F49">
        <w:rPr>
          <w:lang w:val="en-GB"/>
        </w:rPr>
        <w:t xml:space="preserve"> </w:t>
      </w:r>
      <w:r w:rsidR="002E6D1F">
        <w:t>to which the H</w:t>
      </w:r>
      <w:r w:rsidR="002E6D1F" w:rsidRPr="00734074">
        <w:rPr>
          <w:vertAlign w:val="subscript"/>
        </w:rPr>
        <w:t>2</w:t>
      </w:r>
      <w:r w:rsidR="002E6D1F">
        <w:t>S sensor is also responsive</w:t>
      </w:r>
      <w:r w:rsidR="00253700">
        <w:rPr>
          <w:lang w:val="en-GB"/>
        </w:rPr>
        <w:t xml:space="preserve">. </w:t>
      </w:r>
      <w:r w:rsidR="002E6D1F" w:rsidRPr="002E6D1F">
        <w:rPr>
          <w:lang w:val="en-GB"/>
        </w:rPr>
        <w:t>These chemicals are usually present in WWTP</w:t>
      </w:r>
      <w:r w:rsidR="002E6D1F">
        <w:rPr>
          <w:lang w:val="en-GB"/>
        </w:rPr>
        <w:t>s</w:t>
      </w:r>
      <w:r w:rsidR="002E6D1F" w:rsidRPr="002E6D1F">
        <w:rPr>
          <w:lang w:val="en-GB"/>
        </w:rPr>
        <w:t>, and their response is discussed later in this paper.</w:t>
      </w:r>
    </w:p>
    <w:p w14:paraId="1AA561DA" w14:textId="77777777" w:rsidR="00253700" w:rsidRDefault="00253700" w:rsidP="00253700">
      <w:pPr>
        <w:pStyle w:val="CETBodytext"/>
        <w:rPr>
          <w:lang w:val="en-GB"/>
        </w:rPr>
      </w:pPr>
    </w:p>
    <w:p w14:paraId="0A9D9D1A" w14:textId="1EDB6FCF" w:rsidR="005E68B5" w:rsidRPr="002268C6" w:rsidRDefault="00723A8D" w:rsidP="0089510C">
      <w:pPr>
        <w:pStyle w:val="CETBodytext"/>
        <w:rPr>
          <w:color w:val="C00000"/>
          <w:lang w:val="en-GB"/>
        </w:rPr>
      </w:pPr>
      <w:r>
        <w:rPr>
          <w:lang w:val="en-GB"/>
        </w:rPr>
        <w:t xml:space="preserve">Given the </w:t>
      </w:r>
      <w:r w:rsidRPr="00D553B9">
        <w:rPr>
          <w:lang w:val="en-GB"/>
        </w:rPr>
        <w:t>H</w:t>
      </w:r>
      <w:r w:rsidRPr="00D553B9">
        <w:rPr>
          <w:vertAlign w:val="subscript"/>
          <w:lang w:val="en-GB"/>
        </w:rPr>
        <w:t>2</w:t>
      </w:r>
      <w:r w:rsidRPr="00D553B9">
        <w:rPr>
          <w:lang w:val="en-GB"/>
        </w:rPr>
        <w:t>S</w:t>
      </w:r>
      <w:r w:rsidRPr="002268C6">
        <w:rPr>
          <w:lang w:val="en-GB"/>
        </w:rPr>
        <w:t xml:space="preserve"> odour threshold </w:t>
      </w:r>
      <w:r>
        <w:rPr>
          <w:lang w:val="en-GB"/>
        </w:rPr>
        <w:t xml:space="preserve">starting </w:t>
      </w:r>
      <w:r w:rsidRPr="002268C6">
        <w:rPr>
          <w:lang w:val="en-GB"/>
        </w:rPr>
        <w:t>at 8 ppb</w:t>
      </w:r>
      <w:r>
        <w:rPr>
          <w:lang w:val="en-GB"/>
        </w:rPr>
        <w:t xml:space="preserve"> </w:t>
      </w:r>
      <w:r w:rsidRPr="002268C6">
        <w:rPr>
          <w:lang w:val="en-GB"/>
        </w:rPr>
        <w:fldChar w:fldCharType="begin"/>
      </w:r>
      <w:r w:rsidRPr="002268C6">
        <w:rPr>
          <w:lang w:val="en-GB"/>
        </w:rPr>
        <w:instrText xml:space="preserve"> ADDIN ZOTERO_ITEM CSL_CITATION {"citationID":"3web6nMn","properties":{"formattedCitation":"(Levels, 2010)","plainCitation":"(Levels, 2010)","noteIndex":0},"citationItems":[{"id":3,"uris":["http://zotero.org/users/local/Miykby6s/items/QMQ8SHY6"],"itemData":{"id":3,"type":"chapter","abstract":"Under the authority of the Federal Advisory Committee Act (FACA) P.L. 92-463 of 1972, the National Advisory Committee for Acute Exposure Guideline Levels for Hazardous Substances (NAC/AEGL Committee) has been established to identify, review, and interpret relevant toxicologic and other scientific data and develop AEGLs for high-priority, acutely toxic chemicals.","container-title":"Acute Exposure Guideline Levels for Selected Airborne Chemicals: Volume 9","language":"en","publisher":"National Academies Press (US)","source":"www.ncbi.nlm.nih.gov","title":"Hydrogen Sulfide Acute Exposure Guideline Levels","URL":"https://www.ncbi.nlm.nih.gov/books/NBK208170/","author":[{"family":"Levels","given":"National Research Council (US) Committee on Acute Exposure Guideline"}],"accessed":{"date-parts":[["2024",3,20]]},"issued":{"date-parts":[["2010"]]}}}],"schema":"https://github.com/citation-style-language/schema/raw/master/csl-citation.json"} </w:instrText>
      </w:r>
      <w:r w:rsidRPr="002268C6">
        <w:rPr>
          <w:lang w:val="en-GB"/>
        </w:rPr>
        <w:fldChar w:fldCharType="separate"/>
      </w:r>
      <w:r w:rsidRPr="002268C6">
        <w:rPr>
          <w:rFonts w:cs="Arial"/>
          <w:lang w:val="en-GB"/>
        </w:rPr>
        <w:t>(Levels, 2010)</w:t>
      </w:r>
      <w:r w:rsidRPr="002268C6">
        <w:rPr>
          <w:lang w:val="en-GB"/>
        </w:rPr>
        <w:fldChar w:fldCharType="end"/>
      </w:r>
      <w:r>
        <w:rPr>
          <w:lang w:val="en-GB"/>
        </w:rPr>
        <w:t xml:space="preserve">, </w:t>
      </w:r>
      <w:r w:rsidR="00253700">
        <w:rPr>
          <w:lang w:val="en-GB"/>
        </w:rPr>
        <w:t xml:space="preserve">it is crucial to evaluate the </w:t>
      </w:r>
      <w:r w:rsidR="00253700" w:rsidRPr="00253700">
        <w:rPr>
          <w:lang w:val="en-GB"/>
        </w:rPr>
        <w:t>binary classification performance</w:t>
      </w:r>
      <w:r w:rsidR="00253700">
        <w:rPr>
          <w:lang w:val="en-GB"/>
        </w:rPr>
        <w:t xml:space="preserve"> of the sensor</w:t>
      </w:r>
      <w:r w:rsidR="00253700" w:rsidRPr="00253700">
        <w:rPr>
          <w:lang w:val="en-GB"/>
        </w:rPr>
        <w:t xml:space="preserve"> (below/over the </w:t>
      </w:r>
      <w:r w:rsidR="00253700">
        <w:rPr>
          <w:lang w:val="en-GB"/>
        </w:rPr>
        <w:t xml:space="preserve">odour </w:t>
      </w:r>
      <w:r w:rsidR="00253700" w:rsidRPr="00253700">
        <w:rPr>
          <w:lang w:val="en-GB"/>
        </w:rPr>
        <w:t xml:space="preserve">threshold) </w:t>
      </w:r>
      <w:r w:rsidR="00253700">
        <w:rPr>
          <w:lang w:val="en-GB"/>
        </w:rPr>
        <w:t xml:space="preserve">to assess its suitability </w:t>
      </w:r>
      <w:r w:rsidR="002E6D1F">
        <w:rPr>
          <w:lang w:val="en-GB"/>
        </w:rPr>
        <w:t>for raising potential odour</w:t>
      </w:r>
      <w:r w:rsidR="00253700">
        <w:rPr>
          <w:lang w:val="en-GB"/>
        </w:rPr>
        <w:t xml:space="preserve"> alarms. To do that, </w:t>
      </w:r>
      <w:r w:rsidR="00253700">
        <w:t>True Positive Rate (TPR) and False Positive Rate (FPR) have been calculated</w:t>
      </w:r>
      <w:r w:rsidR="002E6D1F">
        <w:t>,</w:t>
      </w:r>
      <w:r w:rsidR="00253700">
        <w:t xml:space="preserve"> being 0.87 and 0.34, respectively. </w:t>
      </w:r>
      <w:r w:rsidR="002E6D1F">
        <w:rPr>
          <w:lang w:val="en-GB"/>
        </w:rPr>
        <w:t xml:space="preserve">The high TPR indicates </w:t>
      </w:r>
      <w:r w:rsidR="005F168E">
        <w:t>that</w:t>
      </w:r>
      <w:r w:rsidR="005F168E" w:rsidRPr="005F168E">
        <w:t xml:space="preserve"> </w:t>
      </w:r>
      <w:r w:rsidR="005F168E">
        <w:t>the sensor</w:t>
      </w:r>
      <w:r w:rsidR="005F168E" w:rsidRPr="005F168E">
        <w:t xml:space="preserve"> rarely misses true </w:t>
      </w:r>
      <w:r w:rsidR="005F168E">
        <w:t>exceedance</w:t>
      </w:r>
      <w:r w:rsidR="005F168E" w:rsidRPr="005F168E">
        <w:t xml:space="preserve"> events</w:t>
      </w:r>
      <w:r w:rsidR="005F168E">
        <w:t xml:space="preserve"> which is </w:t>
      </w:r>
      <w:r w:rsidR="005F168E" w:rsidRPr="00723A8D">
        <w:rPr>
          <w:lang w:val="en-GB"/>
        </w:rPr>
        <w:t>crucial for addressing odour complaints effectively</w:t>
      </w:r>
      <w:r w:rsidR="002E6D1F">
        <w:t>.</w:t>
      </w:r>
      <w:r w:rsidR="005F168E">
        <w:t xml:space="preserve"> </w:t>
      </w:r>
      <w:r w:rsidR="002E6D1F">
        <w:t>However, the moderate FPR suggests that</w:t>
      </w:r>
      <w:r w:rsidR="002E6D1F" w:rsidRPr="002E6D1F">
        <w:t xml:space="preserve"> </w:t>
      </w:r>
      <w:r w:rsidR="002E6D1F">
        <w:t>i</w:t>
      </w:r>
      <w:r w:rsidR="002E6D1F" w:rsidRPr="002E6D1F">
        <w:t xml:space="preserve">n 34% of the </w:t>
      </w:r>
      <w:r w:rsidR="002E6D1F" w:rsidRPr="002E6D1F">
        <w:lastRenderedPageBreak/>
        <w:t xml:space="preserve">cases where the actual concentration is below the threshold, the sensor incorrectly </w:t>
      </w:r>
      <w:r w:rsidR="003A7478">
        <w:t>measure</w:t>
      </w:r>
      <w:r w:rsidR="002E6D1F" w:rsidRPr="002E6D1F">
        <w:t xml:space="preserve">s that it is above the threshold. </w:t>
      </w:r>
      <w:r w:rsidR="00E770E8">
        <w:t>Part of t</w:t>
      </w:r>
      <w:r w:rsidR="00EF227A">
        <w:t>hese false positives could be explained by the response of the H</w:t>
      </w:r>
      <w:r w:rsidR="00EF227A" w:rsidRPr="00E770E8">
        <w:rPr>
          <w:vertAlign w:val="subscript"/>
        </w:rPr>
        <w:t>2</w:t>
      </w:r>
      <w:r w:rsidR="00EF227A">
        <w:t xml:space="preserve">S sensor to other </w:t>
      </w:r>
      <w:r w:rsidR="00EF227A">
        <w:rPr>
          <w:lang w:val="en-GB"/>
        </w:rPr>
        <w:t xml:space="preserve">organic </w:t>
      </w:r>
      <w:proofErr w:type="spellStart"/>
      <w:r w:rsidR="00EF227A">
        <w:rPr>
          <w:lang w:val="en-GB"/>
        </w:rPr>
        <w:t>sulfur</w:t>
      </w:r>
      <w:proofErr w:type="spellEnd"/>
      <w:r w:rsidR="00EF227A">
        <w:rPr>
          <w:lang w:val="en-GB"/>
        </w:rPr>
        <w:t xml:space="preserve"> compounds </w:t>
      </w:r>
      <w:r w:rsidR="00EF227A">
        <w:t>to which the H</w:t>
      </w:r>
      <w:r w:rsidR="00EF227A" w:rsidRPr="00C559FC">
        <w:rPr>
          <w:vertAlign w:val="subscript"/>
        </w:rPr>
        <w:t>2</w:t>
      </w:r>
      <w:r w:rsidR="00EF227A">
        <w:t xml:space="preserve">S </w:t>
      </w:r>
      <w:proofErr w:type="spellStart"/>
      <w:r w:rsidR="0002096A">
        <w:t>analyser</w:t>
      </w:r>
      <w:proofErr w:type="spellEnd"/>
      <w:r w:rsidR="0002096A">
        <w:t xml:space="preserve"> is not sensit</w:t>
      </w:r>
      <w:r w:rsidR="00EF227A">
        <w:t>ive</w:t>
      </w:r>
      <w:r w:rsidR="009F3481">
        <w:t>. A more conservative alarm threshold (20 ppb) would increase the TPR to 0.89 and reduce</w:t>
      </w:r>
      <w:r w:rsidR="00E21D40">
        <w:t xml:space="preserve"> significantly</w:t>
      </w:r>
      <w:r w:rsidR="009F3481">
        <w:t xml:space="preserve"> the FPR to 0.16.</w:t>
      </w:r>
    </w:p>
    <w:p w14:paraId="074EC32B" w14:textId="77777777" w:rsidR="008E1C78" w:rsidRPr="002268C6" w:rsidRDefault="008E1C78" w:rsidP="0089510C">
      <w:pPr>
        <w:pStyle w:val="CETBodytext"/>
        <w:rPr>
          <w:lang w:val="en-GB"/>
        </w:rPr>
      </w:pPr>
    </w:p>
    <w:p w14:paraId="109E849D" w14:textId="34AB3145" w:rsidR="004B3D84" w:rsidRPr="002268C6" w:rsidRDefault="00CE1980" w:rsidP="004B3D84">
      <w:pPr>
        <w:pStyle w:val="CETBodytext"/>
        <w:keepNext/>
        <w:rPr>
          <w:lang w:val="en-GB"/>
        </w:rPr>
      </w:pPr>
      <w:r>
        <w:rPr>
          <w:noProof/>
          <w:lang w:val="en-GB"/>
        </w:rPr>
        <w:drawing>
          <wp:inline distT="0" distB="0" distL="0" distR="0" wp14:anchorId="268DF045" wp14:editId="6BE8D959">
            <wp:extent cx="3879399" cy="1804946"/>
            <wp:effectExtent l="0" t="0" r="6985" b="5080"/>
            <wp:docPr id="1988920489"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20489" name="Picture 3" descr="A graph with numbers and a line&#10;&#10;Description automatically generated"/>
                    <pic:cNvPicPr/>
                  </pic:nvPicPr>
                  <pic:blipFill>
                    <a:blip r:embed="rId13"/>
                    <a:stretch>
                      <a:fillRect/>
                    </a:stretch>
                  </pic:blipFill>
                  <pic:spPr>
                    <a:xfrm>
                      <a:off x="0" y="0"/>
                      <a:ext cx="3890356" cy="1810044"/>
                    </a:xfrm>
                    <a:prstGeom prst="rect">
                      <a:avLst/>
                    </a:prstGeom>
                  </pic:spPr>
                </pic:pic>
              </a:graphicData>
            </a:graphic>
          </wp:inline>
        </w:drawing>
      </w:r>
    </w:p>
    <w:p w14:paraId="5421A022" w14:textId="5764DBE5" w:rsidR="0089510C" w:rsidRPr="002268C6" w:rsidRDefault="004B3D84" w:rsidP="00EF227A">
      <w:pPr>
        <w:pStyle w:val="CETCaption"/>
      </w:pPr>
      <w:bookmarkStart w:id="3" w:name="_Ref161903781"/>
      <w:r w:rsidRPr="002268C6">
        <w:t xml:space="preserve">Figure </w:t>
      </w:r>
      <w:r w:rsidRPr="002268C6">
        <w:fldChar w:fldCharType="begin"/>
      </w:r>
      <w:r w:rsidRPr="002268C6">
        <w:instrText xml:space="preserve"> SEQ Figure \* ARABIC </w:instrText>
      </w:r>
      <w:r w:rsidRPr="002268C6">
        <w:fldChar w:fldCharType="separate"/>
      </w:r>
      <w:r w:rsidR="00463163">
        <w:rPr>
          <w:noProof/>
        </w:rPr>
        <w:t>3</w:t>
      </w:r>
      <w:r w:rsidRPr="002268C6">
        <w:fldChar w:fldCharType="end"/>
      </w:r>
      <w:bookmarkEnd w:id="3"/>
      <w:r w:rsidRPr="002268C6">
        <w:t xml:space="preserve">. </w:t>
      </w:r>
      <w:r w:rsidR="00AB1FC1" w:rsidRPr="002268C6">
        <w:t>Correlation</w:t>
      </w:r>
      <w:r w:rsidRPr="002268C6">
        <w:t xml:space="preserve"> between H</w:t>
      </w:r>
      <w:r w:rsidRPr="002268C6">
        <w:rPr>
          <w:vertAlign w:val="subscript"/>
        </w:rPr>
        <w:t>2</w:t>
      </w:r>
      <w:r w:rsidRPr="002268C6">
        <w:t>S levels measured by the Kunak AIR Pro and the H</w:t>
      </w:r>
      <w:r w:rsidRPr="002268C6">
        <w:rPr>
          <w:vertAlign w:val="subscript"/>
        </w:rPr>
        <w:t>2</w:t>
      </w:r>
      <w:r w:rsidRPr="002268C6">
        <w:t xml:space="preserve">S </w:t>
      </w:r>
      <w:r w:rsidR="00902042">
        <w:t>analyser.</w:t>
      </w:r>
    </w:p>
    <w:p w14:paraId="32AAD791" w14:textId="4196D5BE" w:rsidR="00C6013B" w:rsidRPr="002268C6" w:rsidRDefault="00925879" w:rsidP="00C6013B">
      <w:pPr>
        <w:pStyle w:val="CETBodytext"/>
        <w:rPr>
          <w:lang w:val="en-GB"/>
        </w:rPr>
      </w:pPr>
      <w:r w:rsidRPr="002268C6">
        <w:rPr>
          <w:lang w:val="en-GB"/>
        </w:rPr>
        <w:t xml:space="preserve">It is particularly interesting </w:t>
      </w:r>
      <w:r w:rsidR="0089510C" w:rsidRPr="002268C6">
        <w:rPr>
          <w:lang w:val="en-GB"/>
        </w:rPr>
        <w:t>the</w:t>
      </w:r>
      <w:r w:rsidRPr="002268C6">
        <w:rPr>
          <w:lang w:val="en-GB"/>
        </w:rPr>
        <w:t xml:space="preserve"> </w:t>
      </w:r>
      <w:r w:rsidR="00F80041" w:rsidRPr="002268C6">
        <w:rPr>
          <w:lang w:val="en-GB"/>
        </w:rPr>
        <w:t>H</w:t>
      </w:r>
      <w:r w:rsidR="00F80041" w:rsidRPr="002268C6">
        <w:rPr>
          <w:vertAlign w:val="subscript"/>
          <w:lang w:val="en-GB"/>
        </w:rPr>
        <w:t>2</w:t>
      </w:r>
      <w:r w:rsidR="00F80041" w:rsidRPr="002268C6">
        <w:rPr>
          <w:lang w:val="en-GB"/>
        </w:rPr>
        <w:t>S</w:t>
      </w:r>
      <w:r w:rsidRPr="002268C6">
        <w:rPr>
          <w:lang w:val="en-GB"/>
        </w:rPr>
        <w:t xml:space="preserve"> levels observed during the </w:t>
      </w:r>
      <w:r w:rsidR="0089510C" w:rsidRPr="002268C6">
        <w:rPr>
          <w:lang w:val="en-GB"/>
        </w:rPr>
        <w:t>January 11</w:t>
      </w:r>
      <w:r w:rsidR="0089510C" w:rsidRPr="002268C6">
        <w:rPr>
          <w:vertAlign w:val="superscript"/>
          <w:lang w:val="en-GB"/>
        </w:rPr>
        <w:t>th</w:t>
      </w:r>
      <w:r w:rsidR="0089510C" w:rsidRPr="002268C6">
        <w:rPr>
          <w:lang w:val="en-GB"/>
        </w:rPr>
        <w:t xml:space="preserve"> and 12</w:t>
      </w:r>
      <w:r w:rsidR="0089510C" w:rsidRPr="002268C6">
        <w:rPr>
          <w:vertAlign w:val="superscript"/>
          <w:lang w:val="en-GB"/>
        </w:rPr>
        <w:t>th</w:t>
      </w:r>
      <w:r w:rsidR="0089510C" w:rsidRPr="002268C6">
        <w:rPr>
          <w:lang w:val="en-GB"/>
        </w:rPr>
        <w:t xml:space="preserve">, highlighted within the yellow box in </w:t>
      </w:r>
      <w:r w:rsidR="00D561CB">
        <w:rPr>
          <w:lang w:val="en-GB"/>
        </w:rPr>
        <w:fldChar w:fldCharType="begin"/>
      </w:r>
      <w:r w:rsidR="00D561CB">
        <w:rPr>
          <w:lang w:val="en-GB"/>
        </w:rPr>
        <w:instrText xml:space="preserve"> REF _Ref161903767 \h </w:instrText>
      </w:r>
      <w:r w:rsidR="00D561CB">
        <w:rPr>
          <w:lang w:val="en-GB"/>
        </w:rPr>
      </w:r>
      <w:r w:rsidR="00D561CB">
        <w:rPr>
          <w:lang w:val="en-GB"/>
        </w:rPr>
        <w:fldChar w:fldCharType="separate"/>
      </w:r>
      <w:r w:rsidR="00D561CB" w:rsidRPr="002268C6">
        <w:t xml:space="preserve">Figure </w:t>
      </w:r>
      <w:r w:rsidR="00D561CB">
        <w:rPr>
          <w:noProof/>
        </w:rPr>
        <w:t>2</w:t>
      </w:r>
      <w:r w:rsidR="00D561CB">
        <w:rPr>
          <w:lang w:val="en-GB"/>
        </w:rPr>
        <w:fldChar w:fldCharType="end"/>
      </w:r>
      <w:r w:rsidR="0089510C" w:rsidRPr="002268C6">
        <w:rPr>
          <w:lang w:val="en-GB"/>
        </w:rPr>
        <w:t xml:space="preserve">. During this period, the Kunak AIR Pro detected certain peaks that were not </w:t>
      </w:r>
      <w:r w:rsidRPr="002268C6">
        <w:rPr>
          <w:lang w:val="en-GB"/>
        </w:rPr>
        <w:t>measured</w:t>
      </w:r>
      <w:r w:rsidR="0089510C" w:rsidRPr="002268C6">
        <w:rPr>
          <w:lang w:val="en-GB"/>
        </w:rPr>
        <w:t xml:space="preserve"> by the </w:t>
      </w:r>
      <w:r w:rsidR="00F80041" w:rsidRPr="002268C6">
        <w:rPr>
          <w:lang w:val="en-GB"/>
        </w:rPr>
        <w:t>H</w:t>
      </w:r>
      <w:r w:rsidR="00F80041" w:rsidRPr="002268C6">
        <w:rPr>
          <w:vertAlign w:val="subscript"/>
          <w:lang w:val="en-GB"/>
        </w:rPr>
        <w:t>2</w:t>
      </w:r>
      <w:r w:rsidR="00F80041" w:rsidRPr="002268C6">
        <w:rPr>
          <w:lang w:val="en-GB"/>
        </w:rPr>
        <w:t>S</w:t>
      </w:r>
      <w:r w:rsidR="0089510C" w:rsidRPr="002268C6">
        <w:rPr>
          <w:lang w:val="en-GB"/>
        </w:rPr>
        <w:t xml:space="preserve"> </w:t>
      </w:r>
      <w:r w:rsidR="00902042">
        <w:rPr>
          <w:lang w:val="en-GB"/>
        </w:rPr>
        <w:t>analyser</w:t>
      </w:r>
      <w:r w:rsidR="0089510C" w:rsidRPr="002268C6">
        <w:rPr>
          <w:lang w:val="en-GB"/>
        </w:rPr>
        <w:t xml:space="preserve">. This discrepancy may be attributed to the cross-sensitivity of the </w:t>
      </w:r>
      <w:r w:rsidR="00F80041" w:rsidRPr="002268C6">
        <w:rPr>
          <w:lang w:val="en-GB"/>
        </w:rPr>
        <w:t>H</w:t>
      </w:r>
      <w:r w:rsidR="00F80041" w:rsidRPr="002268C6">
        <w:rPr>
          <w:vertAlign w:val="subscript"/>
          <w:lang w:val="en-GB"/>
        </w:rPr>
        <w:t>2</w:t>
      </w:r>
      <w:r w:rsidR="00F80041" w:rsidRPr="002268C6">
        <w:rPr>
          <w:lang w:val="en-GB"/>
        </w:rPr>
        <w:t>S</w:t>
      </w:r>
      <w:r w:rsidR="0089510C" w:rsidRPr="002268C6">
        <w:rPr>
          <w:lang w:val="en-GB"/>
        </w:rPr>
        <w:t xml:space="preserve"> sensor to organic compounds, such as Methyl mercaptan, </w:t>
      </w:r>
      <w:r w:rsidR="00C6013B" w:rsidRPr="002268C6">
        <w:rPr>
          <w:lang w:val="en-GB"/>
        </w:rPr>
        <w:t xml:space="preserve">one of the typical gases </w:t>
      </w:r>
      <w:r w:rsidR="0089510C" w:rsidRPr="002268C6">
        <w:rPr>
          <w:lang w:val="en-GB"/>
        </w:rPr>
        <w:t xml:space="preserve">commonly emitted within </w:t>
      </w:r>
      <w:r w:rsidR="00C6013B" w:rsidRPr="002268C6">
        <w:rPr>
          <w:lang w:val="en-GB"/>
        </w:rPr>
        <w:t>WWTP</w:t>
      </w:r>
      <w:r w:rsidR="0089510C" w:rsidRPr="002268C6">
        <w:rPr>
          <w:lang w:val="en-GB"/>
        </w:rPr>
        <w:t xml:space="preserve"> </w:t>
      </w:r>
      <w:r w:rsidR="00C6013B" w:rsidRPr="002268C6">
        <w:rPr>
          <w:lang w:val="en-GB"/>
        </w:rPr>
        <w:t xml:space="preserve">known to cause odour issues </w:t>
      </w:r>
      <w:r w:rsidR="00FD73BF">
        <w:rPr>
          <w:lang w:val="en-GB"/>
        </w:rPr>
        <w:fldChar w:fldCharType="begin"/>
      </w:r>
      <w:r w:rsidR="00FD73BF">
        <w:rPr>
          <w:lang w:val="en-GB"/>
        </w:rPr>
        <w:instrText xml:space="preserve"> ADDIN ZOTERO_ITEM CSL_CITATION {"citationID":"DN1ANOTN","properties":{"formattedCitation":"(Li et al., 2021)","plainCitation":"(Li et al., 2021)","noteIndex":0},"citationItems":[{"id":14,"uris":["http://zotero.org/users/local/Miykby6s/items/ZLV8MIC8"],"itemData":{"id":14,"type":"article-journal","abstract":"Volatile sulfur compounds (VSCs) generated and discharged as air pollutants from wastewater treatment plants (WWTPs) pose a threat to human health and the environment. This study characterized VSC emissions from a full-scale sequencing batch reactor (SBR) WWTP at the water-air interface for one year. Results demonstrated that higher ambient temperatures and aeration contributed significantly to VSC emissions as the highest emissions occurred over summer during the feeding synchronous aeration period. VSC emissions were related to chemical oxygen demand and sulfate concentrations in wastewater, and empirical formulas based on these values were proposed that can be used to model VSC emission fluxes from SBR WWTP. VSC emission factors (μg·ton−1 wastewater) throughout the SBR treatment process were: 361 ± 101 hydrogen sulfide (H2S), 82 ± 76 methyl mercaptan (MT), 61 ± 31 dimethyl sulfide, 17 ± 5 carbon disulfide, and 46 ± 24 dimethyl disulfide. H2S and MT were the dominant odors released. Findings from this study may be applicable for calculating VSC emissions during SBR wastewater treatment stages, and may be beneficial for determining methods and strategies to reduce VSCs.","container-title":"Science of The Total Environment","DOI":"10.1016/j.scitotenv.2021.145991","ISSN":"0048-9697","journalAbbreviation":"Science of The Total Environment","page":"145991","source":"ScienceDirect","title":"Emission characteristics of odorous volatile sulfur compound from a full-scale sequencing batch reactor wastewater treatment plant","volume":"776","author":[{"family":"Li","given":"Ruoyu"},{"family":"Han","given":"Zhangliang"},{"family":"Shen","given":"Hanzhang"},{"family":"Qi","given":"Fei"},{"family":"Ding","given":"Mengmeng"},{"family":"Song","given":"Cheng"},{"family":"Sun","given":"Dezhi"}],"issued":{"date-parts":[["2021",7,1]]}}}],"schema":"https://github.com/citation-style-language/schema/raw/master/csl-citation.json"} </w:instrText>
      </w:r>
      <w:r w:rsidR="00FD73BF">
        <w:rPr>
          <w:lang w:val="en-GB"/>
        </w:rPr>
        <w:fldChar w:fldCharType="separate"/>
      </w:r>
      <w:r w:rsidR="00FD73BF" w:rsidRPr="00FD73BF">
        <w:rPr>
          <w:rFonts w:cs="Arial"/>
        </w:rPr>
        <w:t>(Li et al., 2021)</w:t>
      </w:r>
      <w:r w:rsidR="00FD73BF">
        <w:rPr>
          <w:lang w:val="en-GB"/>
        </w:rPr>
        <w:fldChar w:fldCharType="end"/>
      </w:r>
      <w:r w:rsidR="0089510C" w:rsidRPr="002268C6">
        <w:rPr>
          <w:lang w:val="en-GB"/>
        </w:rPr>
        <w:t>.</w:t>
      </w:r>
      <w:r w:rsidR="00481A17">
        <w:rPr>
          <w:lang w:val="en-GB"/>
        </w:rPr>
        <w:t xml:space="preserve"> </w:t>
      </w:r>
      <w:r w:rsidR="00C6013B" w:rsidRPr="002268C6">
        <w:rPr>
          <w:lang w:val="en-GB"/>
        </w:rPr>
        <w:t>To further confirm this hypothesis, the VOC sensor data was plotted altogether with the H</w:t>
      </w:r>
      <w:r w:rsidR="00C6013B" w:rsidRPr="00D561CB">
        <w:rPr>
          <w:vertAlign w:val="subscript"/>
          <w:lang w:val="en-GB"/>
        </w:rPr>
        <w:t>2</w:t>
      </w:r>
      <w:r w:rsidR="00C6013B" w:rsidRPr="002268C6">
        <w:rPr>
          <w:lang w:val="en-GB"/>
        </w:rPr>
        <w:t xml:space="preserve">S data (see </w:t>
      </w:r>
      <w:r w:rsidR="00D561CB">
        <w:rPr>
          <w:lang w:val="en-GB"/>
        </w:rPr>
        <w:fldChar w:fldCharType="begin"/>
      </w:r>
      <w:r w:rsidR="00D561CB">
        <w:rPr>
          <w:lang w:val="en-GB"/>
        </w:rPr>
        <w:instrText xml:space="preserve"> REF _Ref161903830 \h </w:instrText>
      </w:r>
      <w:r w:rsidR="00D561CB">
        <w:rPr>
          <w:lang w:val="en-GB"/>
        </w:rPr>
      </w:r>
      <w:r w:rsidR="00D561CB">
        <w:rPr>
          <w:lang w:val="en-GB"/>
        </w:rPr>
        <w:fldChar w:fldCharType="separate"/>
      </w:r>
      <w:r w:rsidR="00D561CB" w:rsidRPr="002268C6">
        <w:t xml:space="preserve">Figure </w:t>
      </w:r>
      <w:r w:rsidR="00D561CB">
        <w:rPr>
          <w:noProof/>
        </w:rPr>
        <w:t>4</w:t>
      </w:r>
      <w:r w:rsidR="00D561CB">
        <w:rPr>
          <w:lang w:val="en-GB"/>
        </w:rPr>
        <w:fldChar w:fldCharType="end"/>
      </w:r>
      <w:r w:rsidR="00C6013B" w:rsidRPr="002268C6">
        <w:rPr>
          <w:lang w:val="en-GB"/>
        </w:rPr>
        <w:t xml:space="preserve">). As observed in the figure, when the </w:t>
      </w:r>
      <w:r w:rsidR="00F80041" w:rsidRPr="002268C6">
        <w:rPr>
          <w:lang w:val="en-GB"/>
        </w:rPr>
        <w:t>H</w:t>
      </w:r>
      <w:r w:rsidR="00F80041" w:rsidRPr="002268C6">
        <w:rPr>
          <w:vertAlign w:val="subscript"/>
          <w:lang w:val="en-GB"/>
        </w:rPr>
        <w:t>2</w:t>
      </w:r>
      <w:r w:rsidR="00F80041" w:rsidRPr="002268C6">
        <w:rPr>
          <w:lang w:val="en-GB"/>
        </w:rPr>
        <w:t>S</w:t>
      </w:r>
      <w:r w:rsidR="00C6013B" w:rsidRPr="002268C6">
        <w:rPr>
          <w:lang w:val="en-GB"/>
        </w:rPr>
        <w:t xml:space="preserve"> peaks are detected, VOCs peaks are also observed, and the response of both sensors coincides directly and perfectly in this period. This combination of </w:t>
      </w:r>
      <w:r w:rsidR="00F80041" w:rsidRPr="002268C6">
        <w:rPr>
          <w:lang w:val="en-GB"/>
        </w:rPr>
        <w:t>H</w:t>
      </w:r>
      <w:r w:rsidR="00F80041" w:rsidRPr="002268C6">
        <w:rPr>
          <w:vertAlign w:val="subscript"/>
          <w:lang w:val="en-GB"/>
        </w:rPr>
        <w:t>2</w:t>
      </w:r>
      <w:r w:rsidR="00F80041" w:rsidRPr="002268C6">
        <w:rPr>
          <w:lang w:val="en-GB"/>
        </w:rPr>
        <w:t>S</w:t>
      </w:r>
      <w:r w:rsidR="00C6013B" w:rsidRPr="002268C6">
        <w:rPr>
          <w:lang w:val="en-GB"/>
        </w:rPr>
        <w:t xml:space="preserve"> with VOC sensors within the same device can provide additional information on odour sources that can be useful for source identification. </w:t>
      </w:r>
    </w:p>
    <w:p w14:paraId="56829DAC" w14:textId="77777777" w:rsidR="00C6013B" w:rsidRPr="002268C6" w:rsidRDefault="00C6013B" w:rsidP="00821B73">
      <w:pPr>
        <w:pStyle w:val="CETBodytext"/>
        <w:rPr>
          <w:lang w:val="en-GB"/>
        </w:rPr>
      </w:pPr>
    </w:p>
    <w:p w14:paraId="6489A074" w14:textId="1416E7F5" w:rsidR="004B3D84" w:rsidRPr="002268C6" w:rsidRDefault="00CE1980" w:rsidP="004B3D84">
      <w:pPr>
        <w:pStyle w:val="CETBodytext"/>
        <w:keepNext/>
        <w:rPr>
          <w:lang w:val="en-GB"/>
        </w:rPr>
      </w:pPr>
      <w:r>
        <w:rPr>
          <w:noProof/>
          <w:lang w:val="en-GB"/>
        </w:rPr>
        <w:drawing>
          <wp:inline distT="0" distB="0" distL="0" distR="0" wp14:anchorId="4DCD5CE6" wp14:editId="2041A08D">
            <wp:extent cx="5579745" cy="2067560"/>
            <wp:effectExtent l="0" t="0" r="1905" b="8890"/>
            <wp:docPr id="366259123"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59123" name="Picture 4" descr="A graph of different colored lines&#10;&#10;Description automatically generated"/>
                    <pic:cNvPicPr/>
                  </pic:nvPicPr>
                  <pic:blipFill>
                    <a:blip r:embed="rId14"/>
                    <a:stretch>
                      <a:fillRect/>
                    </a:stretch>
                  </pic:blipFill>
                  <pic:spPr>
                    <a:xfrm>
                      <a:off x="0" y="0"/>
                      <a:ext cx="5579745" cy="2067560"/>
                    </a:xfrm>
                    <a:prstGeom prst="rect">
                      <a:avLst/>
                    </a:prstGeom>
                  </pic:spPr>
                </pic:pic>
              </a:graphicData>
            </a:graphic>
          </wp:inline>
        </w:drawing>
      </w:r>
    </w:p>
    <w:p w14:paraId="555B2B82" w14:textId="6EE0801F" w:rsidR="00C6013B" w:rsidRPr="002268C6" w:rsidRDefault="004B3D84" w:rsidP="005E68B5">
      <w:pPr>
        <w:pStyle w:val="CETCaption"/>
      </w:pPr>
      <w:bookmarkStart w:id="4" w:name="_Ref161903830"/>
      <w:r w:rsidRPr="002268C6">
        <w:t xml:space="preserve">Figure </w:t>
      </w:r>
      <w:r w:rsidRPr="002268C6">
        <w:fldChar w:fldCharType="begin"/>
      </w:r>
      <w:r w:rsidRPr="002268C6">
        <w:instrText xml:space="preserve"> SEQ Figure \* ARABIC </w:instrText>
      </w:r>
      <w:r w:rsidRPr="002268C6">
        <w:fldChar w:fldCharType="separate"/>
      </w:r>
      <w:r w:rsidR="00463163">
        <w:rPr>
          <w:noProof/>
        </w:rPr>
        <w:t>4</w:t>
      </w:r>
      <w:r w:rsidRPr="002268C6">
        <w:fldChar w:fldCharType="end"/>
      </w:r>
      <w:bookmarkEnd w:id="4"/>
      <w:r w:rsidRPr="002268C6">
        <w:t>. VOC levels (blue line) and H</w:t>
      </w:r>
      <w:r w:rsidRPr="002268C6">
        <w:rPr>
          <w:vertAlign w:val="subscript"/>
        </w:rPr>
        <w:t>2</w:t>
      </w:r>
      <w:r w:rsidRPr="002268C6">
        <w:t>S levels measured by the Kunak AIR Pro (red line) and the H</w:t>
      </w:r>
      <w:r w:rsidRPr="002268C6">
        <w:rPr>
          <w:vertAlign w:val="subscript"/>
        </w:rPr>
        <w:t>2</w:t>
      </w:r>
      <w:r w:rsidRPr="002268C6">
        <w:t xml:space="preserve">S </w:t>
      </w:r>
      <w:r w:rsidR="00FD73BF" w:rsidRPr="002268C6">
        <w:t>analyser</w:t>
      </w:r>
      <w:r w:rsidRPr="002268C6">
        <w:t xml:space="preserve"> (green line)</w:t>
      </w:r>
      <w:r w:rsidR="00FF3581">
        <w:t>.</w:t>
      </w:r>
    </w:p>
    <w:p w14:paraId="3A4E7529" w14:textId="60C1055E" w:rsidR="004656F6" w:rsidRDefault="004656F6" w:rsidP="004656F6">
      <w:pPr>
        <w:pStyle w:val="CETheadingx"/>
        <w:rPr>
          <w:lang w:val="en-GB"/>
        </w:rPr>
      </w:pPr>
      <w:r w:rsidRPr="002268C6">
        <w:rPr>
          <w:lang w:val="en-GB"/>
        </w:rPr>
        <w:t>Sludge treatment plant</w:t>
      </w:r>
    </w:p>
    <w:p w14:paraId="797E3FB5" w14:textId="33DAAC24" w:rsidR="005A2688" w:rsidRDefault="005A2688" w:rsidP="005A2688">
      <w:pPr>
        <w:pStyle w:val="CETBodytext"/>
        <w:rPr>
          <w:highlight w:val="yellow"/>
          <w:lang w:val="en-GB"/>
        </w:rPr>
      </w:pPr>
      <w:r>
        <w:rPr>
          <w:lang w:val="en-GB"/>
        </w:rPr>
        <w:t>Two monitoring systems were installed in a sludge treatment plant to monitor NH</w:t>
      </w:r>
      <w:r w:rsidRPr="00980F0B">
        <w:rPr>
          <w:vertAlign w:val="subscript"/>
          <w:lang w:val="en-GB"/>
        </w:rPr>
        <w:t>3</w:t>
      </w:r>
      <w:r>
        <w:rPr>
          <w:lang w:val="en-GB"/>
        </w:rPr>
        <w:t xml:space="preserve">. </w:t>
      </w:r>
      <w:r w:rsidR="00980F0B">
        <w:rPr>
          <w:lang w:val="en-GB"/>
        </w:rPr>
        <w:t xml:space="preserve">The temporal </w:t>
      </w:r>
      <w:r w:rsidR="002B0813">
        <w:rPr>
          <w:lang w:val="en-GB"/>
        </w:rPr>
        <w:t>trends</w:t>
      </w:r>
      <w:r w:rsidR="00980F0B">
        <w:rPr>
          <w:lang w:val="en-GB"/>
        </w:rPr>
        <w:t xml:space="preserve"> of NH</w:t>
      </w:r>
      <w:r w:rsidR="00980F0B" w:rsidRPr="00980F0B">
        <w:rPr>
          <w:vertAlign w:val="subscript"/>
          <w:lang w:val="en-GB"/>
        </w:rPr>
        <w:t>3</w:t>
      </w:r>
      <w:r w:rsidR="00980F0B" w:rsidRPr="00980F0B">
        <w:rPr>
          <w:lang w:val="en-GB"/>
        </w:rPr>
        <w:t xml:space="preserve"> </w:t>
      </w:r>
      <w:r w:rsidR="00980F0B">
        <w:rPr>
          <w:lang w:val="en-GB"/>
        </w:rPr>
        <w:t xml:space="preserve">levels during the </w:t>
      </w:r>
      <w:r w:rsidR="002B0813">
        <w:rPr>
          <w:lang w:val="en-GB"/>
        </w:rPr>
        <w:t>initial</w:t>
      </w:r>
      <w:r w:rsidR="00980F0B">
        <w:rPr>
          <w:lang w:val="en-GB"/>
        </w:rPr>
        <w:t xml:space="preserve"> months of the measurement campaign </w:t>
      </w:r>
      <w:r w:rsidR="002B0813">
        <w:rPr>
          <w:lang w:val="en-GB"/>
        </w:rPr>
        <w:t>are depicted</w:t>
      </w:r>
      <w:r w:rsidR="00980F0B">
        <w:rPr>
          <w:lang w:val="en-GB"/>
        </w:rPr>
        <w:t xml:space="preserve"> in </w:t>
      </w:r>
      <w:r w:rsidR="00D561CB">
        <w:rPr>
          <w:lang w:val="en-GB"/>
        </w:rPr>
        <w:fldChar w:fldCharType="begin"/>
      </w:r>
      <w:r w:rsidR="00D561CB">
        <w:rPr>
          <w:lang w:val="en-GB"/>
        </w:rPr>
        <w:instrText xml:space="preserve"> REF _Ref161903846 \h </w:instrText>
      </w:r>
      <w:r w:rsidR="00D561CB">
        <w:rPr>
          <w:lang w:val="en-GB"/>
        </w:rPr>
      </w:r>
      <w:r w:rsidR="00D561CB">
        <w:rPr>
          <w:lang w:val="en-GB"/>
        </w:rPr>
        <w:fldChar w:fldCharType="separate"/>
      </w:r>
      <w:r w:rsidR="00D561CB" w:rsidRPr="002268C6">
        <w:t xml:space="preserve">Figure </w:t>
      </w:r>
      <w:r w:rsidR="00D561CB">
        <w:rPr>
          <w:noProof/>
        </w:rPr>
        <w:t>5</w:t>
      </w:r>
      <w:r w:rsidR="00D561CB">
        <w:rPr>
          <w:lang w:val="en-GB"/>
        </w:rPr>
        <w:fldChar w:fldCharType="end"/>
      </w:r>
      <w:r w:rsidR="00980F0B">
        <w:rPr>
          <w:lang w:val="en-GB"/>
        </w:rPr>
        <w:t>a</w:t>
      </w:r>
      <w:r w:rsidR="002B0813">
        <w:rPr>
          <w:lang w:val="en-GB"/>
        </w:rPr>
        <w:t xml:space="preserve">, </w:t>
      </w:r>
      <w:r w:rsidR="002B0813" w:rsidRPr="002B0813">
        <w:rPr>
          <w:lang w:val="en-GB"/>
        </w:rPr>
        <w:t>revealing fluctuations</w:t>
      </w:r>
      <w:r w:rsidR="00CF5DAD">
        <w:rPr>
          <w:lang w:val="en-GB"/>
        </w:rPr>
        <w:t xml:space="preserve"> between</w:t>
      </w:r>
      <w:r w:rsidR="00E825B0">
        <w:rPr>
          <w:lang w:val="en-GB"/>
        </w:rPr>
        <w:t xml:space="preserve"> months</w:t>
      </w:r>
      <w:r w:rsidR="00CF5DAD">
        <w:rPr>
          <w:lang w:val="en-GB"/>
        </w:rPr>
        <w:t>.</w:t>
      </w:r>
      <w:r w:rsidR="002B0813" w:rsidRPr="002B0813">
        <w:rPr>
          <w:lang w:val="en-GB"/>
        </w:rPr>
        <w:t xml:space="preserve"> </w:t>
      </w:r>
      <w:r w:rsidR="00CF5DAD">
        <w:rPr>
          <w:lang w:val="en-GB"/>
        </w:rPr>
        <w:t>H</w:t>
      </w:r>
      <w:r w:rsidR="002B0813">
        <w:rPr>
          <w:lang w:val="en-GB"/>
        </w:rPr>
        <w:t xml:space="preserve">igher concentrations </w:t>
      </w:r>
      <w:r w:rsidR="00E825B0">
        <w:rPr>
          <w:lang w:val="en-GB"/>
        </w:rPr>
        <w:t xml:space="preserve">were recorded in August </w:t>
      </w:r>
      <w:r w:rsidR="002B0813">
        <w:rPr>
          <w:lang w:val="en-GB"/>
        </w:rPr>
        <w:t xml:space="preserve">are </w:t>
      </w:r>
      <w:r w:rsidR="002B0813" w:rsidRPr="002B0813">
        <w:rPr>
          <w:lang w:val="en-GB"/>
        </w:rPr>
        <w:t xml:space="preserve">likely attributed to </w:t>
      </w:r>
      <w:r w:rsidR="002B0813" w:rsidRPr="005E68B5">
        <w:rPr>
          <w:lang w:val="en-GB"/>
        </w:rPr>
        <w:t>increasing ambient temperature</w:t>
      </w:r>
      <w:r w:rsidR="002B0813">
        <w:rPr>
          <w:lang w:val="en-GB"/>
        </w:rPr>
        <w:t xml:space="preserve"> during </w:t>
      </w:r>
      <w:r w:rsidR="00E825B0">
        <w:rPr>
          <w:lang w:val="en-GB"/>
        </w:rPr>
        <w:t>this month</w:t>
      </w:r>
      <w:r w:rsidR="002B0813" w:rsidRPr="002B0813">
        <w:rPr>
          <w:lang w:val="en-GB"/>
        </w:rPr>
        <w:t>, consistent with prior findings</w:t>
      </w:r>
      <w:r w:rsidR="005E68B5">
        <w:rPr>
          <w:lang w:val="en-GB"/>
        </w:rPr>
        <w:t xml:space="preserve"> </w:t>
      </w:r>
      <w:r w:rsidR="005E68B5">
        <w:rPr>
          <w:lang w:val="en-GB"/>
        </w:rPr>
        <w:fldChar w:fldCharType="begin"/>
      </w:r>
      <w:r w:rsidR="005E68B5">
        <w:rPr>
          <w:lang w:val="en-GB"/>
        </w:rPr>
        <w:instrText xml:space="preserve"> ADDIN ZOTERO_ITEM CSL_CITATION {"citationID":"oTcYoaXv","properties":{"formattedCitation":"(Han et al., 2018)","plainCitation":"(Han et al., 2018)","noteIndex":0},"citationItems":[{"id":12,"uris":["http://zotero.org/users/local/Miykby6s/items/4MGEPIYF"],"itemData":{"id":12,"type":"article-journal","abstract":"The emission of volatile sulfur compounds (VSCs) causing strong odors is a major problem in municipal sewage sludge composting plants (MSSACPs). Improving the knowledge on characteristics of VSCs emission in MSAACPs is of particular significance to elimate odors, but the studies conducted on-site to identify them are scarce. To this purpose, characteristics of VSCs emission were studied on-site from a MSSACP during different ambient temperatures corresponding with seasonal variations. Results reveal that (1) the total emission of VSCs which included methyl disulfide (DMDS), methyl sulfide (DMS), carbon disulfide, methyl mercaptan, and hydrogen sulfide (H2S) was 561.89 mg/dry kg in summer, 358.45 mg/dry kg in spring, and 215.52 mg/dry kg in winter, and the greatest amounts of VSCs were emitted during the mesophilic and pre-thermophilic phases; (2) although DMDS and DMS contributed the most towards total VSCs emissions during winter (81.93%), spring (82.55%), and summer (83.90%), their odor contributions were less than that of H2S; (3) in summer, the odor nuisance of total VSCs was higher than that in winter and spring; (4) sulfur loss in the form of VSCs emissions and total sulfur loss both increased with rising ambient temperatures during the sewage sludge aerobic composting. Results obtained in this study will be beneficial towards the elimation of odors released from MSSACPs.","container-title":"Waste Management","DOI":"10.1016/j.wasman.2018.05.049","ISSN":"0956-053X","journalAbbreviation":"Waste Management","page":"593-602","source":"ScienceDirect","title":"Emission characteristics of volatile sulfur compounds (VSCs) from a municipal sewage sludge aerobic composting plant","volume":"77","author":[{"family":"Han","given":"Zhangliang"},{"family":"Qi","given":"Fei"},{"family":"Wang","given":"Hui"},{"family":"Liu","given":"Baoxian"},{"family":"Shen","given":"Xiue"},{"family":"Song","given":"Cheng"},{"family":"Bao","given":"Zhiyuan"},{"family":"Zhao","given":"Xufeng"},{"family":"Xu","given":"Yangjie"},{"family":"Sun","given":"Dezhi"}],"issued":{"date-parts":[["2018",7,1]]}}}],"schema":"https://github.com/citation-style-language/schema/raw/master/csl-citation.json"} </w:instrText>
      </w:r>
      <w:r w:rsidR="005E68B5">
        <w:rPr>
          <w:lang w:val="en-GB"/>
        </w:rPr>
        <w:fldChar w:fldCharType="separate"/>
      </w:r>
      <w:r w:rsidR="005E68B5" w:rsidRPr="005E68B5">
        <w:rPr>
          <w:rFonts w:cs="Arial"/>
        </w:rPr>
        <w:t>(Han et al., 2018)</w:t>
      </w:r>
      <w:r w:rsidR="005E68B5">
        <w:rPr>
          <w:lang w:val="en-GB"/>
        </w:rPr>
        <w:fldChar w:fldCharType="end"/>
      </w:r>
      <w:r w:rsidR="00980F0B">
        <w:rPr>
          <w:lang w:val="en-GB"/>
        </w:rPr>
        <w:t xml:space="preserve">. </w:t>
      </w:r>
      <w:r w:rsidR="005E68B5">
        <w:rPr>
          <w:lang w:val="en-GB"/>
        </w:rPr>
        <w:t xml:space="preserve">Overall, NH3-1 device </w:t>
      </w:r>
      <w:r w:rsidR="002B0813">
        <w:rPr>
          <w:lang w:val="en-GB"/>
        </w:rPr>
        <w:t xml:space="preserve">consistently </w:t>
      </w:r>
      <w:r w:rsidR="005E68B5">
        <w:rPr>
          <w:lang w:val="en-GB"/>
        </w:rPr>
        <w:t>measured higher NH</w:t>
      </w:r>
      <w:r w:rsidR="005E68B5" w:rsidRPr="00980F0B">
        <w:rPr>
          <w:vertAlign w:val="subscript"/>
          <w:lang w:val="en-GB"/>
        </w:rPr>
        <w:t>3</w:t>
      </w:r>
      <w:r w:rsidR="005E68B5" w:rsidRPr="005E68B5">
        <w:rPr>
          <w:lang w:val="en-GB"/>
        </w:rPr>
        <w:t xml:space="preserve"> </w:t>
      </w:r>
      <w:r w:rsidR="005E68B5">
        <w:rPr>
          <w:lang w:val="en-GB"/>
        </w:rPr>
        <w:t xml:space="preserve">concentrations (&gt;30 ppm) </w:t>
      </w:r>
      <w:r w:rsidR="002B0813">
        <w:rPr>
          <w:lang w:val="en-GB"/>
        </w:rPr>
        <w:t>compared to</w:t>
      </w:r>
      <w:r w:rsidR="005E68B5">
        <w:rPr>
          <w:lang w:val="en-GB"/>
        </w:rPr>
        <w:t xml:space="preserve"> NH3-2. </w:t>
      </w:r>
      <w:r w:rsidR="002B0813">
        <w:rPr>
          <w:lang w:val="en-GB"/>
        </w:rPr>
        <w:t xml:space="preserve">Considering that </w:t>
      </w:r>
      <w:r w:rsidR="00980F0B">
        <w:rPr>
          <w:lang w:val="en-GB"/>
        </w:rPr>
        <w:t>NH</w:t>
      </w:r>
      <w:r w:rsidR="00980F0B" w:rsidRPr="002B0813">
        <w:rPr>
          <w:vertAlign w:val="subscript"/>
          <w:lang w:val="en-GB"/>
        </w:rPr>
        <w:t>3</w:t>
      </w:r>
      <w:r w:rsidR="00980F0B">
        <w:rPr>
          <w:lang w:val="en-GB"/>
        </w:rPr>
        <w:t xml:space="preserve"> </w:t>
      </w:r>
      <w:r w:rsidR="001869FA">
        <w:rPr>
          <w:lang w:val="en-GB"/>
        </w:rPr>
        <w:t>is a known odorant whose odour threshold ranges from</w:t>
      </w:r>
      <w:r w:rsidR="001869FA" w:rsidRPr="001869FA">
        <w:rPr>
          <w:lang w:val="en-GB"/>
        </w:rPr>
        <w:t xml:space="preserve"> 5 to 53 ppm</w:t>
      </w:r>
      <w:r w:rsidR="001869FA">
        <w:rPr>
          <w:lang w:val="en-GB"/>
        </w:rPr>
        <w:t xml:space="preserve"> </w:t>
      </w:r>
      <w:r w:rsidR="001869FA">
        <w:rPr>
          <w:lang w:val="en-GB"/>
        </w:rPr>
        <w:fldChar w:fldCharType="begin"/>
      </w:r>
      <w:r w:rsidR="001869FA">
        <w:rPr>
          <w:lang w:val="en-GB"/>
        </w:rPr>
        <w:instrText xml:space="preserve"> ADDIN ZOTERO_ITEM CSL_CITATION {"citationID":"ZcqZ26XX","properties":{"formattedCitation":"(Levels, 2008)","plainCitation":"(Levels, 2008)","noteIndex":0},"citationItems":[{"id":1,"uris":["http://zotero.org/users/local/Miykby6s/items/U2MLMPE5"],"itemData":{"id":1,"type":"chapter","abstract":"Under the authority of the Federal Advisory Committee Act (P.L. 92-463) of 1972, the National Advisory Committee for Acute Exposure Guideline Levels for Hazardous Substances has been established to identify, review, and interpret relevant toxicological and other scientific data and develop acute exposure guideline levels (AEGLs) for high-priority, acutely toxic chemicals.","container-title":"Acute Exposure Guideline Levels for Selected Airborne Chemicals: Volume 6","language":"en","publisher":"National Academies Press (US)","source":"www.ncbi.nlm.nih.gov","title":"Ammonia Acute Exposure Guideline Levels","URL":"https://www.ncbi.nlm.nih.gov/books/NBK207883/","author":[{"family":"Levels","given":"National Research Council (US) Committee on Acute Exposure Guideline"}],"accessed":{"date-parts":[["2024",3,20]]},"issued":{"date-parts":[["2008"]]}}}],"schema":"https://github.com/citation-style-language/schema/raw/master/csl-citation.json"} </w:instrText>
      </w:r>
      <w:r w:rsidR="001869FA">
        <w:rPr>
          <w:lang w:val="en-GB"/>
        </w:rPr>
        <w:fldChar w:fldCharType="separate"/>
      </w:r>
      <w:r w:rsidR="001869FA" w:rsidRPr="001869FA">
        <w:rPr>
          <w:rFonts w:cs="Arial"/>
        </w:rPr>
        <w:t>(Levels, 2008)</w:t>
      </w:r>
      <w:r w:rsidR="001869FA">
        <w:rPr>
          <w:lang w:val="en-GB"/>
        </w:rPr>
        <w:fldChar w:fldCharType="end"/>
      </w:r>
      <w:r w:rsidR="005E68B5">
        <w:rPr>
          <w:lang w:val="en-GB"/>
        </w:rPr>
        <w:t>,</w:t>
      </w:r>
      <w:r w:rsidR="002B0813" w:rsidRPr="002B0813">
        <w:rPr>
          <w:lang w:val="en-GB"/>
        </w:rPr>
        <w:t xml:space="preserve"> the detected concentrations </w:t>
      </w:r>
      <w:r w:rsidR="002B0813">
        <w:rPr>
          <w:lang w:val="en-GB"/>
        </w:rPr>
        <w:t>may</w:t>
      </w:r>
      <w:r w:rsidR="002B0813" w:rsidRPr="002B0813">
        <w:rPr>
          <w:lang w:val="en-GB"/>
        </w:rPr>
        <w:t xml:space="preserve"> trigger odour complaints in the vicinity of the plant. </w:t>
      </w:r>
      <w:r w:rsidR="005E68B5">
        <w:rPr>
          <w:lang w:val="en-GB"/>
        </w:rPr>
        <w:t xml:space="preserve">Pollution roses were used to </w:t>
      </w:r>
      <w:r w:rsidR="005E68B5" w:rsidRPr="0041741C">
        <w:rPr>
          <w:lang w:val="en-GB"/>
        </w:rPr>
        <w:t>illustrat</w:t>
      </w:r>
      <w:r w:rsidR="005E68B5">
        <w:rPr>
          <w:lang w:val="en-GB"/>
        </w:rPr>
        <w:t>e</w:t>
      </w:r>
      <w:r w:rsidR="005E68B5" w:rsidRPr="0041741C">
        <w:rPr>
          <w:lang w:val="en-GB"/>
        </w:rPr>
        <w:t xml:space="preserve"> the frequency distribution of </w:t>
      </w:r>
      <w:r w:rsidR="005E68B5">
        <w:rPr>
          <w:lang w:val="en-GB"/>
        </w:rPr>
        <w:t>NH</w:t>
      </w:r>
      <w:r w:rsidR="005E68B5" w:rsidRPr="00980F0B">
        <w:rPr>
          <w:vertAlign w:val="subscript"/>
          <w:lang w:val="en-GB"/>
        </w:rPr>
        <w:t>3</w:t>
      </w:r>
      <w:r w:rsidR="005E68B5">
        <w:rPr>
          <w:lang w:val="en-GB"/>
        </w:rPr>
        <w:t xml:space="preserve"> concentration </w:t>
      </w:r>
      <w:r w:rsidR="002B0813">
        <w:rPr>
          <w:lang w:val="en-GB"/>
        </w:rPr>
        <w:t>relative to</w:t>
      </w:r>
      <w:r w:rsidR="005E68B5">
        <w:rPr>
          <w:lang w:val="en-GB"/>
        </w:rPr>
        <w:t xml:space="preserve"> </w:t>
      </w:r>
      <w:r w:rsidR="005E68B5" w:rsidRPr="0041741C">
        <w:rPr>
          <w:lang w:val="en-GB"/>
        </w:rPr>
        <w:t>wind direction</w:t>
      </w:r>
      <w:r w:rsidR="005E68B5">
        <w:rPr>
          <w:lang w:val="en-GB"/>
        </w:rPr>
        <w:t xml:space="preserve"> (see </w:t>
      </w:r>
      <w:r w:rsidR="00D561CB">
        <w:rPr>
          <w:lang w:val="en-GB"/>
        </w:rPr>
        <w:fldChar w:fldCharType="begin"/>
      </w:r>
      <w:r w:rsidR="00D561CB">
        <w:rPr>
          <w:lang w:val="en-GB"/>
        </w:rPr>
        <w:instrText xml:space="preserve"> REF _Ref161903846 \h </w:instrText>
      </w:r>
      <w:r w:rsidR="00D561CB">
        <w:rPr>
          <w:lang w:val="en-GB"/>
        </w:rPr>
      </w:r>
      <w:r w:rsidR="00D561CB">
        <w:rPr>
          <w:lang w:val="en-GB"/>
        </w:rPr>
        <w:fldChar w:fldCharType="separate"/>
      </w:r>
      <w:r w:rsidR="00D561CB" w:rsidRPr="002268C6">
        <w:t xml:space="preserve">Figure </w:t>
      </w:r>
      <w:r w:rsidR="00D561CB">
        <w:rPr>
          <w:noProof/>
        </w:rPr>
        <w:t>5</w:t>
      </w:r>
      <w:r w:rsidR="00D561CB">
        <w:rPr>
          <w:lang w:val="en-GB"/>
        </w:rPr>
        <w:fldChar w:fldCharType="end"/>
      </w:r>
      <w:r w:rsidR="005E68B5">
        <w:rPr>
          <w:lang w:val="en-GB"/>
        </w:rPr>
        <w:t>b)</w:t>
      </w:r>
      <w:r w:rsidR="005E68B5" w:rsidRPr="0041741C">
        <w:rPr>
          <w:lang w:val="en-GB"/>
        </w:rPr>
        <w:t>.</w:t>
      </w:r>
      <w:r w:rsidR="005E68B5">
        <w:rPr>
          <w:lang w:val="en-GB"/>
        </w:rPr>
        <w:t xml:space="preserve"> As can be observed, i</w:t>
      </w:r>
      <w:r w:rsidR="0041741C">
        <w:rPr>
          <w:lang w:val="en-GB"/>
        </w:rPr>
        <w:t xml:space="preserve">n NH3-1 device, </w:t>
      </w:r>
      <w:r w:rsidR="0041741C">
        <w:rPr>
          <w:lang w:val="en-GB"/>
        </w:rPr>
        <w:lastRenderedPageBreak/>
        <w:t>high concentrations of NH</w:t>
      </w:r>
      <w:r w:rsidR="00980F0B">
        <w:rPr>
          <w:lang w:val="en-GB"/>
        </w:rPr>
        <w:t xml:space="preserve">3 (&gt;8 ppm) </w:t>
      </w:r>
      <w:r w:rsidR="002B0813" w:rsidRPr="002B0813">
        <w:rPr>
          <w:lang w:val="en-GB"/>
        </w:rPr>
        <w:t xml:space="preserve">were frequently detected from the </w:t>
      </w:r>
      <w:r w:rsidR="002B0813">
        <w:rPr>
          <w:lang w:val="en-GB"/>
        </w:rPr>
        <w:t>south</w:t>
      </w:r>
      <w:r w:rsidR="002B0813" w:rsidRPr="002B0813">
        <w:rPr>
          <w:lang w:val="en-GB"/>
        </w:rPr>
        <w:t>west direction</w:t>
      </w:r>
      <w:r w:rsidR="00C81489">
        <w:rPr>
          <w:lang w:val="en-GB"/>
        </w:rPr>
        <w:t xml:space="preserve"> more than 25% of the period </w:t>
      </w:r>
      <w:r w:rsidR="00087F40">
        <w:rPr>
          <w:lang w:val="en-GB"/>
        </w:rPr>
        <w:t xml:space="preserve">in which </w:t>
      </w:r>
      <w:r w:rsidR="00C81489">
        <w:rPr>
          <w:lang w:val="en-GB"/>
        </w:rPr>
        <w:t>the device was installed</w:t>
      </w:r>
      <w:r w:rsidR="002B0813">
        <w:rPr>
          <w:lang w:val="en-GB"/>
        </w:rPr>
        <w:t xml:space="preserve">. In contrast, </w:t>
      </w:r>
      <w:r w:rsidR="002B0813" w:rsidRPr="002B0813">
        <w:rPr>
          <w:lang w:val="en-GB"/>
        </w:rPr>
        <w:t xml:space="preserve">NH3-2 exhibited </w:t>
      </w:r>
      <w:r w:rsidR="002B0813">
        <w:rPr>
          <w:lang w:val="en-GB"/>
        </w:rPr>
        <w:t>few</w:t>
      </w:r>
      <w:r w:rsidR="002B0813" w:rsidRPr="002B0813">
        <w:rPr>
          <w:lang w:val="en-GB"/>
        </w:rPr>
        <w:t xml:space="preserve"> NH</w:t>
      </w:r>
      <w:r w:rsidR="002B0813" w:rsidRPr="002B0813">
        <w:rPr>
          <w:vertAlign w:val="subscript"/>
          <w:lang w:val="en-GB"/>
        </w:rPr>
        <w:t>3</w:t>
      </w:r>
      <w:r w:rsidR="002B0813" w:rsidRPr="002B0813">
        <w:rPr>
          <w:lang w:val="en-GB"/>
        </w:rPr>
        <w:t xml:space="preserve"> concentrations </w:t>
      </w:r>
      <w:r w:rsidR="002B0813">
        <w:rPr>
          <w:lang w:val="en-GB"/>
        </w:rPr>
        <w:t>above</w:t>
      </w:r>
      <w:r w:rsidR="002B0813" w:rsidRPr="002B0813">
        <w:rPr>
          <w:lang w:val="en-GB"/>
        </w:rPr>
        <w:t xml:space="preserve"> 4 ppm</w:t>
      </w:r>
      <w:r w:rsidR="002B0813">
        <w:rPr>
          <w:lang w:val="en-GB"/>
        </w:rPr>
        <w:t xml:space="preserve">, all of them coming from the </w:t>
      </w:r>
      <w:r w:rsidR="002B0813" w:rsidRPr="002B0813">
        <w:rPr>
          <w:lang w:val="en-GB"/>
        </w:rPr>
        <w:t>northeast direction</w:t>
      </w:r>
      <w:r w:rsidR="00C81489">
        <w:rPr>
          <w:lang w:val="en-GB"/>
        </w:rPr>
        <w:t xml:space="preserve"> with a frequency </w:t>
      </w:r>
      <w:r w:rsidR="008E6547">
        <w:rPr>
          <w:lang w:val="en-GB"/>
        </w:rPr>
        <w:t>of 20%</w:t>
      </w:r>
      <w:r w:rsidR="002B0813">
        <w:rPr>
          <w:lang w:val="en-GB"/>
        </w:rPr>
        <w:t>.</w:t>
      </w:r>
      <w:r w:rsidR="008E6547">
        <w:rPr>
          <w:lang w:val="en-GB"/>
        </w:rPr>
        <w:t xml:space="preserve"> The average period of the NH3-1 device of the whole period is 3.6 ppm, while the average concentration monitored by the NH3-2 device is lower (1.2 ppm).</w:t>
      </w:r>
    </w:p>
    <w:p w14:paraId="21839D1D" w14:textId="77777777" w:rsidR="00087F40" w:rsidRPr="00087F40" w:rsidRDefault="00087F40" w:rsidP="005A2688">
      <w:pPr>
        <w:pStyle w:val="CETBodytext"/>
        <w:rPr>
          <w:highlight w:val="yellow"/>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3981"/>
      </w:tblGrid>
      <w:tr w:rsidR="00573DDE" w:rsidRPr="002268C6" w14:paraId="6FEF5D2F" w14:textId="77777777" w:rsidTr="009E07CE">
        <w:tc>
          <w:tcPr>
            <w:tcW w:w="4388" w:type="dxa"/>
          </w:tcPr>
          <w:p w14:paraId="68A18EE7" w14:textId="77777777" w:rsidR="00573DDE" w:rsidRDefault="00573DDE" w:rsidP="009E07CE">
            <w:pPr>
              <w:pStyle w:val="CETBodytext"/>
              <w:spacing w:line="240" w:lineRule="auto"/>
              <w:rPr>
                <w:noProof/>
                <w:lang w:val="en-GB"/>
              </w:rPr>
            </w:pPr>
          </w:p>
          <w:p w14:paraId="25B3285A" w14:textId="77777777" w:rsidR="00B94D21" w:rsidRDefault="00B94D21" w:rsidP="009E07CE">
            <w:pPr>
              <w:pStyle w:val="CETBodytext"/>
              <w:spacing w:line="240" w:lineRule="auto"/>
              <w:rPr>
                <w:noProof/>
                <w:lang w:val="en-GB"/>
              </w:rPr>
            </w:pPr>
          </w:p>
          <w:p w14:paraId="7D381176" w14:textId="77777777" w:rsidR="00B94D21" w:rsidRDefault="00B94D21" w:rsidP="009E07CE">
            <w:pPr>
              <w:pStyle w:val="CETBodytext"/>
              <w:spacing w:line="240" w:lineRule="auto"/>
              <w:rPr>
                <w:lang w:val="en-GB"/>
              </w:rPr>
            </w:pPr>
            <w:r>
              <w:rPr>
                <w:noProof/>
                <w:lang w:val="en-GB"/>
              </w:rPr>
              <w:drawing>
                <wp:inline distT="0" distB="0" distL="0" distR="0" wp14:anchorId="0FEE7EDF" wp14:editId="5BD68578">
                  <wp:extent cx="2912046" cy="2115682"/>
                  <wp:effectExtent l="0" t="0" r="3175" b="0"/>
                  <wp:docPr id="96933918" name="Picture 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3918" name="Picture 7" descr="A graph of a graph&#10;&#10;Description automatically generated with medium confidence"/>
                          <pic:cNvPicPr/>
                        </pic:nvPicPr>
                        <pic:blipFill>
                          <a:blip r:embed="rId15"/>
                          <a:stretch>
                            <a:fillRect/>
                          </a:stretch>
                        </pic:blipFill>
                        <pic:spPr>
                          <a:xfrm>
                            <a:off x="0" y="0"/>
                            <a:ext cx="2937517" cy="2134187"/>
                          </a:xfrm>
                          <a:prstGeom prst="rect">
                            <a:avLst/>
                          </a:prstGeom>
                        </pic:spPr>
                      </pic:pic>
                    </a:graphicData>
                  </a:graphic>
                </wp:inline>
              </w:drawing>
            </w:r>
          </w:p>
          <w:p w14:paraId="041DC513" w14:textId="2F132724" w:rsidR="006A7BB7" w:rsidRPr="002268C6" w:rsidRDefault="006A7BB7" w:rsidP="006A7BB7">
            <w:pPr>
              <w:pStyle w:val="CETBodytext"/>
              <w:spacing w:line="240" w:lineRule="auto"/>
              <w:jc w:val="center"/>
              <w:rPr>
                <w:lang w:val="en-GB"/>
              </w:rPr>
            </w:pPr>
            <w:r>
              <w:rPr>
                <w:lang w:val="en-GB"/>
              </w:rPr>
              <w:t>(a)</w:t>
            </w:r>
          </w:p>
        </w:tc>
        <w:tc>
          <w:tcPr>
            <w:tcW w:w="4389" w:type="dxa"/>
          </w:tcPr>
          <w:p w14:paraId="56132DFC" w14:textId="27BF5B56" w:rsidR="00573DDE" w:rsidRPr="006A7BB7" w:rsidRDefault="00047414" w:rsidP="00047414">
            <w:pPr>
              <w:pStyle w:val="CETBodytext"/>
              <w:spacing w:after="60" w:line="240" w:lineRule="auto"/>
              <w:jc w:val="center"/>
              <w:rPr>
                <w:lang w:val="en-GB"/>
              </w:rPr>
            </w:pPr>
            <w:r>
              <w:rPr>
                <w:noProof/>
                <w:lang w:val="en-GB"/>
              </w:rPr>
              <w:drawing>
                <wp:inline distT="0" distB="0" distL="0" distR="0" wp14:anchorId="731FC004" wp14:editId="51ED8CB6">
                  <wp:extent cx="2310961" cy="2380234"/>
                  <wp:effectExtent l="0" t="0" r="0" b="1270"/>
                  <wp:docPr id="41773532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35324" name="Picture 3" descr="A screenshot of a computer&#10;&#10;Description automatically generated"/>
                          <pic:cNvPicPr/>
                        </pic:nvPicPr>
                        <pic:blipFill>
                          <a:blip r:embed="rId16"/>
                          <a:stretch>
                            <a:fillRect/>
                          </a:stretch>
                        </pic:blipFill>
                        <pic:spPr>
                          <a:xfrm>
                            <a:off x="0" y="0"/>
                            <a:ext cx="2310961" cy="2380234"/>
                          </a:xfrm>
                          <a:prstGeom prst="rect">
                            <a:avLst/>
                          </a:prstGeom>
                        </pic:spPr>
                      </pic:pic>
                    </a:graphicData>
                  </a:graphic>
                </wp:inline>
              </w:drawing>
            </w:r>
          </w:p>
          <w:p w14:paraId="051E2147" w14:textId="2E99886A" w:rsidR="006A7BB7" w:rsidRPr="006A7BB7" w:rsidRDefault="006A7BB7" w:rsidP="006A7BB7">
            <w:pPr>
              <w:pStyle w:val="CETBodytext"/>
              <w:spacing w:line="240" w:lineRule="auto"/>
              <w:jc w:val="center"/>
              <w:rPr>
                <w:lang w:val="en-GB"/>
              </w:rPr>
            </w:pPr>
            <w:r w:rsidRPr="006A7BB7">
              <w:rPr>
                <w:lang w:val="en-GB"/>
              </w:rPr>
              <w:t>(b)</w:t>
            </w:r>
          </w:p>
        </w:tc>
      </w:tr>
    </w:tbl>
    <w:p w14:paraId="05C38EEB" w14:textId="77777777" w:rsidR="004656F6" w:rsidRDefault="004656F6" w:rsidP="00821B73">
      <w:pPr>
        <w:pStyle w:val="CETBodytext"/>
        <w:rPr>
          <w:lang w:val="en-GB"/>
        </w:rPr>
      </w:pPr>
    </w:p>
    <w:p w14:paraId="0E9BB1A7" w14:textId="569A0C8E" w:rsidR="005C081F" w:rsidRPr="002268C6" w:rsidRDefault="005C081F" w:rsidP="00B94D21">
      <w:pPr>
        <w:pStyle w:val="CETCaption"/>
      </w:pPr>
      <w:bookmarkStart w:id="5" w:name="_Ref161903846"/>
      <w:r w:rsidRPr="002268C6">
        <w:t xml:space="preserve">Figure </w:t>
      </w:r>
      <w:r w:rsidRPr="002268C6">
        <w:fldChar w:fldCharType="begin"/>
      </w:r>
      <w:r w:rsidRPr="002268C6">
        <w:instrText xml:space="preserve"> SEQ Figure \* ARABIC </w:instrText>
      </w:r>
      <w:r w:rsidRPr="002268C6">
        <w:fldChar w:fldCharType="separate"/>
      </w:r>
      <w:r w:rsidR="00463163">
        <w:rPr>
          <w:noProof/>
        </w:rPr>
        <w:t>5</w:t>
      </w:r>
      <w:r w:rsidRPr="002268C6">
        <w:fldChar w:fldCharType="end"/>
      </w:r>
      <w:bookmarkEnd w:id="5"/>
      <w:r w:rsidRPr="002268C6">
        <w:t xml:space="preserve">. </w:t>
      </w:r>
      <w:r w:rsidR="00B94D21">
        <w:t>Time variation of NH</w:t>
      </w:r>
      <w:r w:rsidR="00B94D21" w:rsidRPr="00B94D21">
        <w:rPr>
          <w:vertAlign w:val="subscript"/>
        </w:rPr>
        <w:t>3</w:t>
      </w:r>
      <w:r w:rsidR="00B94D21" w:rsidRPr="002268C6">
        <w:t xml:space="preserve"> </w:t>
      </w:r>
      <w:r w:rsidR="00B94D21">
        <w:t>levels (a) and pollution rose</w:t>
      </w:r>
      <w:r w:rsidR="00B94D21" w:rsidRPr="002268C6">
        <w:t xml:space="preserve"> plot </w:t>
      </w:r>
      <w:r w:rsidR="00B94D21">
        <w:t xml:space="preserve">(b) </w:t>
      </w:r>
      <w:r w:rsidR="00B94D21" w:rsidRPr="002268C6">
        <w:t>in a sludge treatment plant</w:t>
      </w:r>
      <w:r w:rsidR="00FF3581">
        <w:t>.</w:t>
      </w:r>
    </w:p>
    <w:p w14:paraId="0AC95B96" w14:textId="0F12478A" w:rsidR="004656F6" w:rsidRPr="002268C6" w:rsidRDefault="004656F6" w:rsidP="004656F6">
      <w:pPr>
        <w:pStyle w:val="CETheadingx"/>
        <w:rPr>
          <w:lang w:val="en-GB"/>
        </w:rPr>
      </w:pPr>
      <w:r w:rsidRPr="002268C6">
        <w:rPr>
          <w:lang w:val="en-GB"/>
        </w:rPr>
        <w:t>Petrochemical plant</w:t>
      </w:r>
    </w:p>
    <w:p w14:paraId="46688142" w14:textId="66D19C92" w:rsidR="00E825B0" w:rsidRDefault="00CA330E" w:rsidP="004656F6">
      <w:pPr>
        <w:pStyle w:val="CETBodytext"/>
        <w:rPr>
          <w:lang w:val="en-GB"/>
        </w:rPr>
      </w:pPr>
      <w:r>
        <w:rPr>
          <w:lang w:val="en-GB"/>
        </w:rPr>
        <w:t xml:space="preserve">Three monitoring systems were used to monitor VOC at the </w:t>
      </w:r>
      <w:r w:rsidR="00E825B0">
        <w:rPr>
          <w:lang w:val="en-GB"/>
        </w:rPr>
        <w:t xml:space="preserve">perimeter of a </w:t>
      </w:r>
      <w:r>
        <w:rPr>
          <w:lang w:val="en-GB"/>
        </w:rPr>
        <w:t xml:space="preserve">petrochemical plant. The temporal variations </w:t>
      </w:r>
      <w:r w:rsidR="00E825B0">
        <w:rPr>
          <w:lang w:val="en-GB"/>
        </w:rPr>
        <w:t>in</w:t>
      </w:r>
      <w:r>
        <w:rPr>
          <w:lang w:val="en-GB"/>
        </w:rPr>
        <w:t xml:space="preserve"> VOC levels </w:t>
      </w:r>
      <w:r w:rsidR="00E825B0">
        <w:rPr>
          <w:lang w:val="en-GB"/>
        </w:rPr>
        <w:t>during</w:t>
      </w:r>
      <w:r>
        <w:rPr>
          <w:lang w:val="en-GB"/>
        </w:rPr>
        <w:t xml:space="preserve"> the </w:t>
      </w:r>
      <w:r w:rsidR="003F1E1A">
        <w:rPr>
          <w:lang w:val="en-GB"/>
        </w:rPr>
        <w:t>third</w:t>
      </w:r>
      <w:r>
        <w:rPr>
          <w:lang w:val="en-GB"/>
        </w:rPr>
        <w:t xml:space="preserve"> week of the monitoring campaign are shown in </w:t>
      </w:r>
      <w:r w:rsidR="00D561CB">
        <w:rPr>
          <w:lang w:val="en-GB"/>
        </w:rPr>
        <w:fldChar w:fldCharType="begin"/>
      </w:r>
      <w:r w:rsidR="00D561CB">
        <w:rPr>
          <w:lang w:val="en-GB"/>
        </w:rPr>
        <w:instrText xml:space="preserve"> REF _Ref161903890 \h </w:instrText>
      </w:r>
      <w:r w:rsidR="00D561CB">
        <w:rPr>
          <w:lang w:val="en-GB"/>
        </w:rPr>
      </w:r>
      <w:r w:rsidR="00D561CB">
        <w:rPr>
          <w:lang w:val="en-GB"/>
        </w:rPr>
        <w:fldChar w:fldCharType="separate"/>
      </w:r>
      <w:r w:rsidR="00D561CB" w:rsidRPr="002268C6">
        <w:t xml:space="preserve">Figure </w:t>
      </w:r>
      <w:r w:rsidR="00D561CB">
        <w:rPr>
          <w:noProof/>
        </w:rPr>
        <w:t>6</w:t>
      </w:r>
      <w:r w:rsidR="00D561CB">
        <w:rPr>
          <w:lang w:val="en-GB"/>
        </w:rPr>
        <w:fldChar w:fldCharType="end"/>
      </w:r>
      <w:r>
        <w:rPr>
          <w:lang w:val="en-GB"/>
        </w:rPr>
        <w:t xml:space="preserve">a. VOC levels exhibit a repetitive pattern probably </w:t>
      </w:r>
      <w:r w:rsidR="00E825B0">
        <w:rPr>
          <w:lang w:val="en-GB"/>
        </w:rPr>
        <w:t>associated with the plant’s operational</w:t>
      </w:r>
      <w:r>
        <w:rPr>
          <w:lang w:val="en-GB"/>
        </w:rPr>
        <w:t xml:space="preserve"> processes</w:t>
      </w:r>
      <w:r w:rsidR="00E825B0">
        <w:rPr>
          <w:lang w:val="en-GB"/>
        </w:rPr>
        <w:t xml:space="preserve">. </w:t>
      </w:r>
      <w:r w:rsidR="00E825B0" w:rsidRPr="00E825B0">
        <w:rPr>
          <w:lang w:val="en-GB"/>
        </w:rPr>
        <w:t xml:space="preserve">VOC </w:t>
      </w:r>
      <w:r w:rsidR="00E825B0">
        <w:rPr>
          <w:lang w:val="en-GB"/>
        </w:rPr>
        <w:t>concentration</w:t>
      </w:r>
      <w:r w:rsidR="00E825B0" w:rsidRPr="00E825B0">
        <w:rPr>
          <w:lang w:val="en-GB"/>
        </w:rPr>
        <w:t xml:space="preserve"> </w:t>
      </w:r>
      <w:r w:rsidR="00E825B0">
        <w:rPr>
          <w:lang w:val="en-GB"/>
        </w:rPr>
        <w:t>reached</w:t>
      </w:r>
      <w:r w:rsidR="00E825B0" w:rsidRPr="00E825B0">
        <w:rPr>
          <w:lang w:val="en-GB"/>
        </w:rPr>
        <w:t xml:space="preserve"> 2500 ppb in one location, highlighting significant emissions within the facility.</w:t>
      </w:r>
      <w:r w:rsidR="00E825B0">
        <w:rPr>
          <w:lang w:val="en-GB"/>
        </w:rPr>
        <w:t xml:space="preserve"> </w:t>
      </w:r>
      <w:r>
        <w:rPr>
          <w:lang w:val="en-GB"/>
        </w:rPr>
        <w:t xml:space="preserve"> </w:t>
      </w:r>
    </w:p>
    <w:p w14:paraId="6680D1F0" w14:textId="77777777" w:rsidR="0074038F" w:rsidRDefault="0074038F" w:rsidP="0074038F">
      <w:pPr>
        <w:pStyle w:val="CETBodytext"/>
        <w:spacing w:after="12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3611"/>
      </w:tblGrid>
      <w:tr w:rsidR="0074038F" w:rsidRPr="002268C6" w14:paraId="23EE84EC" w14:textId="77777777" w:rsidTr="00DD21B5">
        <w:tc>
          <w:tcPr>
            <w:tcW w:w="4388" w:type="dxa"/>
          </w:tcPr>
          <w:p w14:paraId="3E9690C8" w14:textId="77777777" w:rsidR="0074038F" w:rsidRDefault="0074038F" w:rsidP="00DD21B5">
            <w:pPr>
              <w:pStyle w:val="CETBodytext"/>
              <w:spacing w:line="240" w:lineRule="auto"/>
              <w:jc w:val="center"/>
              <w:rPr>
                <w:noProof/>
                <w:lang w:val="en-GB"/>
              </w:rPr>
            </w:pPr>
          </w:p>
          <w:p w14:paraId="313D306F" w14:textId="77777777" w:rsidR="0074038F" w:rsidRDefault="0074038F" w:rsidP="00DD21B5">
            <w:pPr>
              <w:pStyle w:val="CETBodytext"/>
              <w:spacing w:line="240" w:lineRule="auto"/>
              <w:jc w:val="center"/>
              <w:rPr>
                <w:noProof/>
                <w:lang w:val="en-GB"/>
              </w:rPr>
            </w:pPr>
          </w:p>
          <w:p w14:paraId="1377DBC2" w14:textId="77777777" w:rsidR="0074038F" w:rsidRDefault="0074038F" w:rsidP="00DD21B5">
            <w:pPr>
              <w:pStyle w:val="CETBodytext"/>
              <w:spacing w:line="240" w:lineRule="auto"/>
              <w:jc w:val="center"/>
              <w:rPr>
                <w:lang w:val="en-GB"/>
              </w:rPr>
            </w:pPr>
            <w:r>
              <w:rPr>
                <w:noProof/>
                <w:lang w:val="en-GB"/>
              </w:rPr>
              <w:drawing>
                <wp:inline distT="0" distB="0" distL="0" distR="0" wp14:anchorId="106E0729" wp14:editId="681576ED">
                  <wp:extent cx="3199386" cy="1717482"/>
                  <wp:effectExtent l="0" t="0" r="1270" b="0"/>
                  <wp:docPr id="1240488584"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88584" name="Picture 5" descr="A graph of different colored lines&#10;&#10;Description automatically generated"/>
                          <pic:cNvPicPr/>
                        </pic:nvPicPr>
                        <pic:blipFill>
                          <a:blip r:embed="rId17"/>
                          <a:stretch>
                            <a:fillRect/>
                          </a:stretch>
                        </pic:blipFill>
                        <pic:spPr>
                          <a:xfrm>
                            <a:off x="0" y="0"/>
                            <a:ext cx="3219346" cy="1728197"/>
                          </a:xfrm>
                          <a:prstGeom prst="rect">
                            <a:avLst/>
                          </a:prstGeom>
                        </pic:spPr>
                      </pic:pic>
                    </a:graphicData>
                  </a:graphic>
                </wp:inline>
              </w:drawing>
            </w:r>
          </w:p>
          <w:p w14:paraId="78365540" w14:textId="77777777" w:rsidR="0074038F" w:rsidRPr="002268C6" w:rsidRDefault="0074038F" w:rsidP="00DD21B5">
            <w:pPr>
              <w:pStyle w:val="CETBodytext"/>
              <w:spacing w:before="200" w:line="240" w:lineRule="auto"/>
              <w:jc w:val="center"/>
              <w:rPr>
                <w:lang w:val="en-GB"/>
              </w:rPr>
            </w:pPr>
            <w:r>
              <w:rPr>
                <w:lang w:val="en-GB"/>
              </w:rPr>
              <w:t>(a)</w:t>
            </w:r>
          </w:p>
        </w:tc>
        <w:tc>
          <w:tcPr>
            <w:tcW w:w="4389" w:type="dxa"/>
          </w:tcPr>
          <w:p w14:paraId="577165CB" w14:textId="04F849B6" w:rsidR="0074038F" w:rsidRDefault="00047414" w:rsidP="00047414">
            <w:pPr>
              <w:tabs>
                <w:tab w:val="clear" w:pos="7100"/>
              </w:tabs>
              <w:spacing w:before="100" w:beforeAutospacing="1" w:after="60" w:line="240" w:lineRule="auto"/>
              <w:jc w:val="left"/>
              <w:rPr>
                <w:rFonts w:ascii="Times New Roman" w:hAnsi="Times New Roman"/>
                <w:sz w:val="24"/>
                <w:szCs w:val="24"/>
                <w:lang w:eastAsia="es-ES"/>
              </w:rPr>
            </w:pPr>
            <w:r>
              <w:rPr>
                <w:rFonts w:ascii="Times New Roman" w:hAnsi="Times New Roman"/>
                <w:noProof/>
                <w:sz w:val="24"/>
                <w:szCs w:val="24"/>
                <w:lang w:eastAsia="es-ES"/>
              </w:rPr>
              <w:drawing>
                <wp:inline distT="0" distB="0" distL="0" distR="0" wp14:anchorId="443088DC" wp14:editId="7D4295E7">
                  <wp:extent cx="2183498" cy="2103140"/>
                  <wp:effectExtent l="0" t="0" r="7620" b="0"/>
                  <wp:docPr id="1627157247" name="Picture 4" descr="A aerial view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57247" name="Picture 4" descr="A aerial view of a factory&#10;&#10;Description automatically generated"/>
                          <pic:cNvPicPr/>
                        </pic:nvPicPr>
                        <pic:blipFill>
                          <a:blip r:embed="rId18"/>
                          <a:stretch>
                            <a:fillRect/>
                          </a:stretch>
                        </pic:blipFill>
                        <pic:spPr>
                          <a:xfrm>
                            <a:off x="0" y="0"/>
                            <a:ext cx="2183498" cy="2103140"/>
                          </a:xfrm>
                          <a:prstGeom prst="rect">
                            <a:avLst/>
                          </a:prstGeom>
                        </pic:spPr>
                      </pic:pic>
                    </a:graphicData>
                  </a:graphic>
                </wp:inline>
              </w:drawing>
            </w:r>
          </w:p>
          <w:p w14:paraId="345B0C2A" w14:textId="77777777" w:rsidR="0074038F" w:rsidRPr="002268C6" w:rsidRDefault="0074038F" w:rsidP="00DD21B5">
            <w:pPr>
              <w:pStyle w:val="CETBodytext"/>
              <w:spacing w:before="40" w:line="240" w:lineRule="auto"/>
              <w:jc w:val="center"/>
              <w:rPr>
                <w:rFonts w:ascii="Times New Roman" w:hAnsi="Times New Roman"/>
                <w:sz w:val="24"/>
                <w:szCs w:val="24"/>
                <w:lang w:eastAsia="es-ES"/>
              </w:rPr>
            </w:pPr>
            <w:r>
              <w:rPr>
                <w:lang w:val="en-GB"/>
              </w:rPr>
              <w:t>(</w:t>
            </w:r>
            <w:r w:rsidRPr="006A7BB7">
              <w:rPr>
                <w:lang w:val="en-GB"/>
              </w:rPr>
              <w:t>b</w:t>
            </w:r>
            <w:r>
              <w:rPr>
                <w:lang w:val="en-GB"/>
              </w:rPr>
              <w:t>)</w:t>
            </w:r>
          </w:p>
        </w:tc>
      </w:tr>
    </w:tbl>
    <w:p w14:paraId="034818C3" w14:textId="0729D4EA" w:rsidR="00E825B0" w:rsidRDefault="0074038F" w:rsidP="0074038F">
      <w:pPr>
        <w:pStyle w:val="CETCaption"/>
      </w:pPr>
      <w:bookmarkStart w:id="6" w:name="_Ref161903890"/>
      <w:r w:rsidRPr="002268C6">
        <w:t xml:space="preserve">Figure </w:t>
      </w:r>
      <w:r w:rsidRPr="002268C6">
        <w:fldChar w:fldCharType="begin"/>
      </w:r>
      <w:r w:rsidRPr="002268C6">
        <w:instrText xml:space="preserve"> SEQ Figure \* ARABIC </w:instrText>
      </w:r>
      <w:r w:rsidRPr="002268C6">
        <w:fldChar w:fldCharType="separate"/>
      </w:r>
      <w:r>
        <w:rPr>
          <w:noProof/>
        </w:rPr>
        <w:t>6</w:t>
      </w:r>
      <w:r w:rsidRPr="002268C6">
        <w:fldChar w:fldCharType="end"/>
      </w:r>
      <w:bookmarkEnd w:id="6"/>
      <w:r w:rsidRPr="002268C6">
        <w:t xml:space="preserve">. </w:t>
      </w:r>
      <w:r>
        <w:t xml:space="preserve">Time variation of </w:t>
      </w:r>
      <w:r w:rsidRPr="002268C6">
        <w:t xml:space="preserve">VOCs </w:t>
      </w:r>
      <w:r>
        <w:t xml:space="preserve">levels (a) and </w:t>
      </w:r>
      <w:r w:rsidRPr="002268C6">
        <w:t xml:space="preserve">polar plot </w:t>
      </w:r>
      <w:r>
        <w:t xml:space="preserve">(b) </w:t>
      </w:r>
      <w:r w:rsidRPr="002268C6">
        <w:t xml:space="preserve">from a petrochemical industry. </w:t>
      </w:r>
    </w:p>
    <w:p w14:paraId="44BA9E35" w14:textId="22764829" w:rsidR="00D61624" w:rsidRPr="002268C6" w:rsidRDefault="00C968CD" w:rsidP="00821B73">
      <w:pPr>
        <w:pStyle w:val="CETBodytext"/>
        <w:rPr>
          <w:lang w:val="en-GB"/>
        </w:rPr>
      </w:pPr>
      <w:r>
        <w:rPr>
          <w:lang w:val="en-GB"/>
        </w:rPr>
        <w:t>Mean VOC concentrations were very similar in the three locations ranging from 53 to 87 ppb. A polar plot was used to investigate</w:t>
      </w:r>
      <w:r w:rsidRPr="00C968CD">
        <w:rPr>
          <w:lang w:val="en-GB"/>
        </w:rPr>
        <w:t xml:space="preserve"> </w:t>
      </w:r>
      <w:r w:rsidR="005A2688">
        <w:rPr>
          <w:lang w:val="en-GB"/>
        </w:rPr>
        <w:t xml:space="preserve">the </w:t>
      </w:r>
      <w:r w:rsidR="00E825B0">
        <w:rPr>
          <w:lang w:val="en-GB"/>
        </w:rPr>
        <w:t>spatial distribution</w:t>
      </w:r>
      <w:r w:rsidR="005A2688">
        <w:rPr>
          <w:lang w:val="en-GB"/>
        </w:rPr>
        <w:t xml:space="preserve"> of main </w:t>
      </w:r>
      <w:r w:rsidR="00E825B0">
        <w:rPr>
          <w:lang w:val="en-GB"/>
        </w:rPr>
        <w:t xml:space="preserve">VOC </w:t>
      </w:r>
      <w:r w:rsidRPr="00C968CD">
        <w:rPr>
          <w:lang w:val="en-GB"/>
        </w:rPr>
        <w:t xml:space="preserve">emission sources </w:t>
      </w:r>
      <w:r>
        <w:rPr>
          <w:lang w:val="en-GB"/>
        </w:rPr>
        <w:t xml:space="preserve">(see </w:t>
      </w:r>
      <w:r w:rsidR="00D561CB">
        <w:rPr>
          <w:lang w:val="en-GB"/>
        </w:rPr>
        <w:fldChar w:fldCharType="begin"/>
      </w:r>
      <w:r w:rsidR="00D561CB">
        <w:rPr>
          <w:lang w:val="en-GB"/>
        </w:rPr>
        <w:instrText xml:space="preserve"> REF _Ref161903890 \h </w:instrText>
      </w:r>
      <w:r w:rsidR="00D561CB">
        <w:rPr>
          <w:lang w:val="en-GB"/>
        </w:rPr>
      </w:r>
      <w:r w:rsidR="00D561CB">
        <w:rPr>
          <w:lang w:val="en-GB"/>
        </w:rPr>
        <w:fldChar w:fldCharType="separate"/>
      </w:r>
      <w:r w:rsidR="00D561CB" w:rsidRPr="002268C6">
        <w:t xml:space="preserve">Figure </w:t>
      </w:r>
      <w:r w:rsidR="00D561CB">
        <w:rPr>
          <w:noProof/>
        </w:rPr>
        <w:t>6</w:t>
      </w:r>
      <w:r w:rsidR="00D561CB">
        <w:rPr>
          <w:lang w:val="en-GB"/>
        </w:rPr>
        <w:fldChar w:fldCharType="end"/>
      </w:r>
      <w:r w:rsidR="0074038F">
        <w:rPr>
          <w:lang w:val="en-GB"/>
        </w:rPr>
        <w:t>b</w:t>
      </w:r>
      <w:r>
        <w:rPr>
          <w:lang w:val="en-GB"/>
        </w:rPr>
        <w:t xml:space="preserve">). </w:t>
      </w:r>
      <w:r w:rsidR="00E825B0" w:rsidRPr="00E825B0">
        <w:rPr>
          <w:lang w:val="en-GB"/>
        </w:rPr>
        <w:t>The plot aggregates VOC concentrations by wind speed categories and direction, revealing distinct emission patterns associated with each monitoring device.</w:t>
      </w:r>
      <w:r w:rsidR="00E825B0">
        <w:rPr>
          <w:lang w:val="en-GB"/>
        </w:rPr>
        <w:t xml:space="preserve"> </w:t>
      </w:r>
      <w:r w:rsidR="00E825B0" w:rsidRPr="00E825B0">
        <w:rPr>
          <w:lang w:val="en-GB"/>
        </w:rPr>
        <w:t xml:space="preserve">VOC-1 consistently registered </w:t>
      </w:r>
      <w:r w:rsidR="00E825B0">
        <w:rPr>
          <w:lang w:val="en-GB"/>
        </w:rPr>
        <w:t>high</w:t>
      </w:r>
      <w:r w:rsidR="00E825B0" w:rsidRPr="00E825B0">
        <w:rPr>
          <w:lang w:val="en-GB"/>
        </w:rPr>
        <w:t xml:space="preserve"> VOC levels when winds originated from the northwest, </w:t>
      </w:r>
      <w:r w:rsidR="00E825B0">
        <w:rPr>
          <w:lang w:val="en-GB"/>
        </w:rPr>
        <w:t>at almost any wind speed</w:t>
      </w:r>
      <w:r w:rsidR="00E825B0" w:rsidRPr="00E825B0">
        <w:rPr>
          <w:lang w:val="en-GB"/>
        </w:rPr>
        <w:t xml:space="preserve">, indicating proximity to a localized emission source. Conversely, VOC-2 </w:t>
      </w:r>
      <w:r w:rsidR="00E825B0" w:rsidRPr="00E825B0">
        <w:rPr>
          <w:lang w:val="en-GB"/>
        </w:rPr>
        <w:lastRenderedPageBreak/>
        <w:t xml:space="preserve">detected </w:t>
      </w:r>
      <w:r w:rsidR="00E825B0">
        <w:rPr>
          <w:lang w:val="en-GB"/>
        </w:rPr>
        <w:t>elevated</w:t>
      </w:r>
      <w:r w:rsidR="00E825B0" w:rsidRPr="00E825B0">
        <w:rPr>
          <w:lang w:val="en-GB"/>
        </w:rPr>
        <w:t xml:space="preserve"> VOC concentrations from the east during low wind speeds, suggesting another nearby emission point. Interestingly, VOC-3 recorded lower concentrations consistently from northwest and southwest directions across all wind speed ranges, </w:t>
      </w:r>
      <w:r w:rsidR="00E825B0">
        <w:rPr>
          <w:lang w:val="en-GB"/>
        </w:rPr>
        <w:t xml:space="preserve">suggesting </w:t>
      </w:r>
      <w:r w:rsidR="00E825B0" w:rsidRPr="00E825B0">
        <w:rPr>
          <w:lang w:val="en-GB"/>
        </w:rPr>
        <w:t>a more distant emission source from this monitoring location.</w:t>
      </w:r>
      <w:r w:rsidR="00E825B0">
        <w:rPr>
          <w:lang w:val="en-GB"/>
        </w:rPr>
        <w:t xml:space="preserve"> </w:t>
      </w:r>
      <w:r w:rsidR="00010C1F">
        <w:rPr>
          <w:lang w:val="en-GB"/>
        </w:rPr>
        <w:t xml:space="preserve">These observations indicate that VOC levels measured are due to the emissions </w:t>
      </w:r>
      <w:r w:rsidR="00E825B0">
        <w:rPr>
          <w:lang w:val="en-GB"/>
        </w:rPr>
        <w:t>originated within</w:t>
      </w:r>
      <w:r w:rsidR="00010C1F">
        <w:rPr>
          <w:lang w:val="en-GB"/>
        </w:rPr>
        <w:t xml:space="preserve"> the petrochemical plant, </w:t>
      </w:r>
      <w:r w:rsidR="00E825B0" w:rsidRPr="00E825B0">
        <w:rPr>
          <w:lang w:val="en-GB"/>
        </w:rPr>
        <w:t>with a concentration gradient evident between VOC-1 and VOC-2 locations</w:t>
      </w:r>
      <w:r w:rsidR="00010C1F">
        <w:rPr>
          <w:lang w:val="en-GB"/>
        </w:rPr>
        <w:t>.</w:t>
      </w:r>
      <w:r w:rsidR="00E825B0">
        <w:rPr>
          <w:lang w:val="en-GB"/>
        </w:rPr>
        <w:t xml:space="preserve"> </w:t>
      </w:r>
      <w:r w:rsidR="003005D4">
        <w:rPr>
          <w:lang w:val="en-GB"/>
        </w:rPr>
        <w:t xml:space="preserve">These emissions could be due to the chemical processes carried out in the plant as well as </w:t>
      </w:r>
      <w:r w:rsidR="003005D4" w:rsidRPr="002268C6">
        <w:rPr>
          <w:lang w:val="en-GB"/>
        </w:rPr>
        <w:t>operational issues</w:t>
      </w:r>
      <w:r w:rsidR="003005D4">
        <w:rPr>
          <w:lang w:val="en-GB"/>
        </w:rPr>
        <w:t xml:space="preserve"> </w:t>
      </w:r>
      <w:r w:rsidR="003005D4" w:rsidRPr="002268C6">
        <w:rPr>
          <w:lang w:val="en-GB"/>
        </w:rPr>
        <w:t>such as inefficiencies</w:t>
      </w:r>
      <w:r w:rsidR="003005D4">
        <w:rPr>
          <w:lang w:val="en-GB"/>
        </w:rPr>
        <w:t xml:space="preserve"> and</w:t>
      </w:r>
      <w:r w:rsidR="003005D4" w:rsidRPr="002268C6">
        <w:rPr>
          <w:lang w:val="en-GB"/>
        </w:rPr>
        <w:t xml:space="preserve"> leakages</w:t>
      </w:r>
      <w:r w:rsidR="003005D4">
        <w:rPr>
          <w:lang w:val="en-GB"/>
        </w:rPr>
        <w:t xml:space="preserve">. </w:t>
      </w:r>
      <w:r w:rsidR="003005D4" w:rsidRPr="003005D4">
        <w:rPr>
          <w:lang w:val="en-GB"/>
        </w:rPr>
        <w:t xml:space="preserve">The </w:t>
      </w:r>
      <w:r w:rsidR="003005D4">
        <w:rPr>
          <w:lang w:val="en-GB"/>
        </w:rPr>
        <w:t>use</w:t>
      </w:r>
      <w:r w:rsidR="003005D4" w:rsidRPr="003005D4">
        <w:rPr>
          <w:lang w:val="en-GB"/>
        </w:rPr>
        <w:t xml:space="preserve"> of sensor-based monitoring instruments offers a valuable tool for identifying emission sources and mitigating odour-related issues promptly. This enables informed decision-making to address operational challenges, ultimately reducing associated costs and enhancing </w:t>
      </w:r>
      <w:r w:rsidR="003005D4">
        <w:rPr>
          <w:lang w:val="en-GB"/>
        </w:rPr>
        <w:t>air pollution</w:t>
      </w:r>
      <w:r w:rsidR="003005D4" w:rsidRPr="003005D4">
        <w:rPr>
          <w:lang w:val="en-GB"/>
        </w:rPr>
        <w:t xml:space="preserve"> </w:t>
      </w:r>
      <w:r w:rsidR="003005D4">
        <w:rPr>
          <w:lang w:val="en-GB"/>
        </w:rPr>
        <w:t>management</w:t>
      </w:r>
      <w:r w:rsidR="003005D4" w:rsidRPr="003005D4">
        <w:rPr>
          <w:lang w:val="en-GB"/>
        </w:rPr>
        <w:t xml:space="preserve"> within industrial settings.</w:t>
      </w:r>
    </w:p>
    <w:p w14:paraId="68D26B83" w14:textId="77777777" w:rsidR="00600535" w:rsidRPr="002268C6" w:rsidRDefault="00600535" w:rsidP="00600535">
      <w:pPr>
        <w:pStyle w:val="CETHeading1"/>
        <w:rPr>
          <w:lang w:val="en-GB"/>
        </w:rPr>
      </w:pPr>
      <w:r w:rsidRPr="002268C6">
        <w:rPr>
          <w:lang w:val="en-GB"/>
        </w:rPr>
        <w:t>Conclusions</w:t>
      </w:r>
    </w:p>
    <w:p w14:paraId="5248A547" w14:textId="6A59E6CD" w:rsidR="003500B9" w:rsidRPr="00FD73BF" w:rsidRDefault="00EC7E7B" w:rsidP="003500B9">
      <w:pPr>
        <w:pStyle w:val="CETBodytext"/>
        <w:rPr>
          <w:lang w:val="en-GB"/>
        </w:rPr>
      </w:pPr>
      <w:r>
        <w:rPr>
          <w:lang w:val="en-GB"/>
        </w:rPr>
        <w:t>This</w:t>
      </w:r>
      <w:r w:rsidR="00FD73BF" w:rsidRPr="00FD73BF">
        <w:rPr>
          <w:lang w:val="en-GB"/>
        </w:rPr>
        <w:t xml:space="preserve"> </w:t>
      </w:r>
      <w:r>
        <w:rPr>
          <w:lang w:val="en-GB"/>
        </w:rPr>
        <w:t>work</w:t>
      </w:r>
      <w:r w:rsidR="00FD73BF" w:rsidRPr="00FD73BF">
        <w:rPr>
          <w:lang w:val="en-GB"/>
        </w:rPr>
        <w:t xml:space="preserve"> underscores the </w:t>
      </w:r>
      <w:r w:rsidR="00B80037">
        <w:rPr>
          <w:lang w:val="en-GB"/>
        </w:rPr>
        <w:t>performance</w:t>
      </w:r>
      <w:r w:rsidR="00FD73BF" w:rsidRPr="00FD73BF">
        <w:rPr>
          <w:lang w:val="en-GB"/>
        </w:rPr>
        <w:t xml:space="preserve"> of sensor-based </w:t>
      </w:r>
      <w:r w:rsidR="00766AF0" w:rsidRPr="002268C6">
        <w:rPr>
          <w:lang w:val="en-GB"/>
        </w:rPr>
        <w:t>Kunak AIR Pro</w:t>
      </w:r>
      <w:r w:rsidR="00766AF0">
        <w:rPr>
          <w:lang w:val="en-GB"/>
        </w:rPr>
        <w:t xml:space="preserve"> </w:t>
      </w:r>
      <w:r w:rsidR="00766AF0" w:rsidRPr="002268C6">
        <w:rPr>
          <w:lang w:val="en-GB"/>
        </w:rPr>
        <w:t xml:space="preserve">system </w:t>
      </w:r>
      <w:r w:rsidR="00FD73BF" w:rsidRPr="00FD73BF">
        <w:rPr>
          <w:lang w:val="en-GB"/>
        </w:rPr>
        <w:t xml:space="preserve">in monitoring and characterizing the </w:t>
      </w:r>
      <w:r w:rsidR="00FD73BF">
        <w:rPr>
          <w:lang w:val="en-GB"/>
        </w:rPr>
        <w:t xml:space="preserve">low concentrations </w:t>
      </w:r>
      <w:r w:rsidR="00FD73BF" w:rsidRPr="00FD73BF">
        <w:rPr>
          <w:lang w:val="en-GB"/>
        </w:rPr>
        <w:t xml:space="preserve">of </w:t>
      </w:r>
      <w:r w:rsidR="00FD73BF">
        <w:rPr>
          <w:lang w:val="en-GB"/>
        </w:rPr>
        <w:t xml:space="preserve">odorous </w:t>
      </w:r>
      <w:r w:rsidR="00FD73BF" w:rsidRPr="00FD73BF">
        <w:rPr>
          <w:lang w:val="en-GB"/>
        </w:rPr>
        <w:t xml:space="preserve">compounds within </w:t>
      </w:r>
      <w:r w:rsidR="00766AF0">
        <w:rPr>
          <w:lang w:val="en-GB"/>
        </w:rPr>
        <w:t>different applications (WWTP, sludge treatment and petrochemical plants)</w:t>
      </w:r>
      <w:r w:rsidR="00FD73BF" w:rsidRPr="00FD73BF">
        <w:rPr>
          <w:lang w:val="en-GB"/>
        </w:rPr>
        <w:t xml:space="preserve">. </w:t>
      </w:r>
      <w:r w:rsidR="003500B9">
        <w:rPr>
          <w:lang w:val="en-GB"/>
        </w:rPr>
        <w:t>In the WWTP, the performance of the system to monitor H</w:t>
      </w:r>
      <w:r w:rsidR="003500B9" w:rsidRPr="00AF1442">
        <w:rPr>
          <w:vertAlign w:val="subscript"/>
          <w:lang w:val="en-GB"/>
        </w:rPr>
        <w:t>2</w:t>
      </w:r>
      <w:r w:rsidR="003500B9">
        <w:rPr>
          <w:lang w:val="en-GB"/>
        </w:rPr>
        <w:t>S was evaluated against a H</w:t>
      </w:r>
      <w:r w:rsidR="003500B9" w:rsidRPr="00AF1442">
        <w:rPr>
          <w:vertAlign w:val="subscript"/>
          <w:lang w:val="en-GB"/>
        </w:rPr>
        <w:t>2</w:t>
      </w:r>
      <w:r w:rsidR="003500B9">
        <w:rPr>
          <w:lang w:val="en-GB"/>
        </w:rPr>
        <w:t xml:space="preserve">S </w:t>
      </w:r>
      <w:r w:rsidR="00B80037">
        <w:rPr>
          <w:lang w:val="en-GB"/>
        </w:rPr>
        <w:t>analyser</w:t>
      </w:r>
      <w:r w:rsidR="003500B9">
        <w:rPr>
          <w:lang w:val="en-GB"/>
        </w:rPr>
        <w:t xml:space="preserve"> showing a high </w:t>
      </w:r>
      <w:r w:rsidR="003500B9" w:rsidRPr="002268C6">
        <w:rPr>
          <w:lang w:val="en-GB"/>
        </w:rPr>
        <w:t>correlation coefficient of 0.77</w:t>
      </w:r>
      <w:r w:rsidR="003500B9">
        <w:rPr>
          <w:lang w:val="en-GB"/>
        </w:rPr>
        <w:t xml:space="preserve"> and a MAE of 6.9 ppb </w:t>
      </w:r>
      <w:r w:rsidR="003500B9" w:rsidRPr="00FD73BF">
        <w:rPr>
          <w:lang w:val="en-GB"/>
        </w:rPr>
        <w:t>demonstrat</w:t>
      </w:r>
      <w:r w:rsidR="003500B9">
        <w:rPr>
          <w:lang w:val="en-GB"/>
        </w:rPr>
        <w:t>ing</w:t>
      </w:r>
      <w:r w:rsidR="003500B9" w:rsidRPr="00FD73BF">
        <w:rPr>
          <w:lang w:val="en-GB"/>
        </w:rPr>
        <w:t xml:space="preserve"> the reliability and accuracy</w:t>
      </w:r>
      <w:r w:rsidR="003500B9">
        <w:rPr>
          <w:lang w:val="en-GB"/>
        </w:rPr>
        <w:t xml:space="preserve"> of this </w:t>
      </w:r>
      <w:r w:rsidR="003500B9" w:rsidRPr="00B80037">
        <w:rPr>
          <w:lang w:val="en-GB"/>
        </w:rPr>
        <w:t>system</w:t>
      </w:r>
      <w:r w:rsidR="00B80037" w:rsidRPr="00B80037">
        <w:rPr>
          <w:lang w:val="en-GB"/>
        </w:rPr>
        <w:t xml:space="preserve"> for H</w:t>
      </w:r>
      <w:r w:rsidR="00B80037" w:rsidRPr="00B80037">
        <w:rPr>
          <w:vertAlign w:val="subscript"/>
          <w:lang w:val="en-GB"/>
        </w:rPr>
        <w:t>2</w:t>
      </w:r>
      <w:r w:rsidR="00B80037" w:rsidRPr="00B80037">
        <w:rPr>
          <w:lang w:val="en-GB"/>
        </w:rPr>
        <w:t>S monitoring</w:t>
      </w:r>
      <w:r w:rsidR="003500B9" w:rsidRPr="00B80037">
        <w:rPr>
          <w:lang w:val="en-GB"/>
        </w:rPr>
        <w:t>.</w:t>
      </w:r>
      <w:r w:rsidR="00AF1442" w:rsidRPr="00B80037">
        <w:rPr>
          <w:lang w:val="en-GB"/>
        </w:rPr>
        <w:t xml:space="preserve"> </w:t>
      </w:r>
      <w:bookmarkStart w:id="7" w:name="_Hlk171664965"/>
      <w:r w:rsidR="004900EC">
        <w:rPr>
          <w:lang w:val="en-GB"/>
        </w:rPr>
        <w:t>Considering an H</w:t>
      </w:r>
      <w:r w:rsidR="004900EC" w:rsidRPr="00C94E59">
        <w:rPr>
          <w:vertAlign w:val="subscript"/>
          <w:lang w:val="en-GB"/>
        </w:rPr>
        <w:t>2</w:t>
      </w:r>
      <w:r w:rsidR="004900EC">
        <w:rPr>
          <w:lang w:val="en-GB"/>
        </w:rPr>
        <w:t xml:space="preserve">S odour </w:t>
      </w:r>
      <w:r w:rsidR="004900EC" w:rsidRPr="004900EC">
        <w:rPr>
          <w:lang w:val="en-GB"/>
        </w:rPr>
        <w:t xml:space="preserve">threshold </w:t>
      </w:r>
      <w:r w:rsidR="004900EC">
        <w:rPr>
          <w:lang w:val="en-GB"/>
        </w:rPr>
        <w:t>of 8</w:t>
      </w:r>
      <w:r w:rsidR="001F128C">
        <w:rPr>
          <w:lang w:val="en-GB"/>
        </w:rPr>
        <w:t xml:space="preserve"> </w:t>
      </w:r>
      <w:r w:rsidR="004900EC" w:rsidRPr="004900EC">
        <w:rPr>
          <w:lang w:val="en-GB"/>
        </w:rPr>
        <w:t>ppb</w:t>
      </w:r>
      <w:r w:rsidR="00446B58">
        <w:rPr>
          <w:lang w:val="en-GB"/>
        </w:rPr>
        <w:t>,</w:t>
      </w:r>
      <w:r w:rsidR="004900EC" w:rsidRPr="004900EC">
        <w:rPr>
          <w:lang w:val="en-GB"/>
        </w:rPr>
        <w:t xml:space="preserve"> the TPR </w:t>
      </w:r>
      <w:r w:rsidR="004900EC">
        <w:rPr>
          <w:lang w:val="en-GB"/>
        </w:rPr>
        <w:t xml:space="preserve">and FPR were calculated to be </w:t>
      </w:r>
      <w:r w:rsidR="004900EC" w:rsidRPr="004900EC">
        <w:rPr>
          <w:lang w:val="en-GB"/>
        </w:rPr>
        <w:t>0.8</w:t>
      </w:r>
      <w:r w:rsidR="004900EC">
        <w:rPr>
          <w:lang w:val="en-GB"/>
        </w:rPr>
        <w:t>7</w:t>
      </w:r>
      <w:r w:rsidR="004900EC" w:rsidRPr="004900EC">
        <w:rPr>
          <w:lang w:val="en-GB"/>
        </w:rPr>
        <w:t xml:space="preserve"> and </w:t>
      </w:r>
      <w:r w:rsidR="004900EC">
        <w:rPr>
          <w:lang w:val="en-GB"/>
        </w:rPr>
        <w:t>0. 3</w:t>
      </w:r>
      <w:r w:rsidR="00446B58">
        <w:rPr>
          <w:lang w:val="en-GB"/>
        </w:rPr>
        <w:t xml:space="preserve">4. </w:t>
      </w:r>
      <w:bookmarkEnd w:id="7"/>
      <w:r w:rsidR="007D4FBD">
        <w:rPr>
          <w:lang w:val="en-GB"/>
        </w:rPr>
        <w:t xml:space="preserve">These rates suggest that </w:t>
      </w:r>
      <w:r w:rsidR="007D4FBD">
        <w:t>the sensor</w:t>
      </w:r>
      <w:r w:rsidR="007D4FBD" w:rsidRPr="005F168E">
        <w:t xml:space="preserve"> rarely misses true </w:t>
      </w:r>
      <w:r w:rsidR="007D4FBD">
        <w:t>exceedance</w:t>
      </w:r>
      <w:r w:rsidR="007D4FBD" w:rsidRPr="005F168E">
        <w:t xml:space="preserve"> events</w:t>
      </w:r>
      <w:r w:rsidR="007D4FBD">
        <w:t xml:space="preserve">, however, </w:t>
      </w:r>
      <w:r w:rsidR="007D4FBD" w:rsidRPr="00820EE7">
        <w:t>it has a relatively high rate of false positives</w:t>
      </w:r>
      <w:r w:rsidR="004352E6">
        <w:t xml:space="preserve"> </w:t>
      </w:r>
      <w:proofErr w:type="gramStart"/>
      <w:r w:rsidR="004352E6">
        <w:t>due to the effects</w:t>
      </w:r>
      <w:proofErr w:type="gramEnd"/>
      <w:r w:rsidR="004352E6">
        <w:t xml:space="preserve"> of ambient conditions in sensors and the presence of other compounds that interfere with the H</w:t>
      </w:r>
      <w:r w:rsidR="004352E6" w:rsidRPr="00C94E59">
        <w:rPr>
          <w:vertAlign w:val="subscript"/>
        </w:rPr>
        <w:t>2</w:t>
      </w:r>
      <w:r w:rsidR="004352E6">
        <w:t>S sensor</w:t>
      </w:r>
      <w:r w:rsidR="007D4FBD">
        <w:t>. S</w:t>
      </w:r>
      <w:r w:rsidR="007D4FBD" w:rsidRPr="007D4FBD">
        <w:t>etting a more conservative alarm threshold (20 ppb)</w:t>
      </w:r>
      <w:r w:rsidR="007D4FBD">
        <w:t xml:space="preserve"> could avoid </w:t>
      </w:r>
      <w:r w:rsidR="007D4FBD" w:rsidRPr="002E6D1F">
        <w:t>unnecessary alarms</w:t>
      </w:r>
      <w:r w:rsidR="007D4FBD" w:rsidRPr="007D4FBD">
        <w:t xml:space="preserve">, </w:t>
      </w:r>
      <w:r w:rsidR="007D4FBD">
        <w:t xml:space="preserve">improving the </w:t>
      </w:r>
      <w:r w:rsidR="007D4FBD" w:rsidRPr="007D4FBD">
        <w:t xml:space="preserve">TPR and FPR to 0.89 and 0.16, respectively. </w:t>
      </w:r>
      <w:r w:rsidR="003500B9" w:rsidRPr="00B80037">
        <w:rPr>
          <w:lang w:val="en-GB"/>
        </w:rPr>
        <w:t>Moreover, the observed correlation between H</w:t>
      </w:r>
      <w:r w:rsidR="003500B9" w:rsidRPr="00B80037">
        <w:rPr>
          <w:vertAlign w:val="subscript"/>
          <w:lang w:val="en-GB"/>
        </w:rPr>
        <w:t>2</w:t>
      </w:r>
      <w:r w:rsidR="003500B9" w:rsidRPr="00B80037">
        <w:rPr>
          <w:lang w:val="en-GB"/>
        </w:rPr>
        <w:t xml:space="preserve">S and VOC levels highlights the potential </w:t>
      </w:r>
      <w:r w:rsidR="00B80037" w:rsidRPr="00B80037">
        <w:rPr>
          <w:lang w:val="en-GB"/>
        </w:rPr>
        <w:t>of this type of systems</w:t>
      </w:r>
      <w:r w:rsidR="003500B9" w:rsidRPr="00B80037">
        <w:rPr>
          <w:lang w:val="en-GB"/>
        </w:rPr>
        <w:t xml:space="preserve"> to provide comprehensive </w:t>
      </w:r>
      <w:r w:rsidR="00B80037" w:rsidRPr="00B80037">
        <w:rPr>
          <w:lang w:val="en-GB"/>
        </w:rPr>
        <w:t>odour</w:t>
      </w:r>
      <w:r w:rsidR="003500B9" w:rsidRPr="00B80037">
        <w:rPr>
          <w:lang w:val="en-GB"/>
        </w:rPr>
        <w:t xml:space="preserve"> monitoring solutions. By leveraging the complementary responses of different sensors, such as those for H</w:t>
      </w:r>
      <w:r w:rsidR="003500B9" w:rsidRPr="00B80037">
        <w:rPr>
          <w:vertAlign w:val="subscript"/>
          <w:lang w:val="en-GB"/>
        </w:rPr>
        <w:t>2</w:t>
      </w:r>
      <w:r w:rsidR="003500B9" w:rsidRPr="00B80037">
        <w:rPr>
          <w:lang w:val="en-GB"/>
        </w:rPr>
        <w:t xml:space="preserve">S and VOCs, facilities can enhance their capacity for identifying and mitigating </w:t>
      </w:r>
      <w:r w:rsidR="00B80037" w:rsidRPr="00B80037">
        <w:rPr>
          <w:lang w:val="en-GB"/>
        </w:rPr>
        <w:t>odour</w:t>
      </w:r>
      <w:r w:rsidR="003500B9" w:rsidRPr="00B80037">
        <w:rPr>
          <w:lang w:val="en-GB"/>
        </w:rPr>
        <w:t xml:space="preserve"> sources effectively.</w:t>
      </w:r>
    </w:p>
    <w:p w14:paraId="5D50776E" w14:textId="77777777" w:rsidR="00B80037" w:rsidRDefault="00B80037" w:rsidP="00FD73BF">
      <w:pPr>
        <w:pStyle w:val="CETBodytext"/>
        <w:rPr>
          <w:lang w:val="en-GB"/>
        </w:rPr>
      </w:pPr>
    </w:p>
    <w:p w14:paraId="59B06FA9" w14:textId="2FEEB9ED" w:rsidR="00A25FEB" w:rsidRDefault="001C54CB" w:rsidP="00A25FEB">
      <w:pPr>
        <w:pStyle w:val="CETBodytext"/>
        <w:rPr>
          <w:lang w:val="en-GB"/>
        </w:rPr>
      </w:pPr>
      <w:r>
        <w:rPr>
          <w:lang w:val="en-GB"/>
        </w:rPr>
        <w:t>In a sludge treatment and a petrochemical plant, i</w:t>
      </w:r>
      <w:r w:rsidR="00B80037">
        <w:rPr>
          <w:lang w:val="en-GB"/>
        </w:rPr>
        <w:t>t was shown how t</w:t>
      </w:r>
      <w:r w:rsidR="00FD73BF" w:rsidRPr="00FD73BF">
        <w:rPr>
          <w:lang w:val="en-GB"/>
        </w:rPr>
        <w:t>he deployment of monitoring devices for VOCs, H</w:t>
      </w:r>
      <w:r w:rsidR="00FD73BF" w:rsidRPr="00766AF0">
        <w:rPr>
          <w:vertAlign w:val="subscript"/>
          <w:lang w:val="en-GB"/>
        </w:rPr>
        <w:t>2</w:t>
      </w:r>
      <w:r w:rsidR="00FD73BF" w:rsidRPr="00FD73BF">
        <w:rPr>
          <w:lang w:val="en-GB"/>
        </w:rPr>
        <w:t>S, and NH</w:t>
      </w:r>
      <w:r w:rsidR="00FD73BF" w:rsidRPr="00766AF0">
        <w:rPr>
          <w:vertAlign w:val="subscript"/>
          <w:lang w:val="en-GB"/>
        </w:rPr>
        <w:t>3</w:t>
      </w:r>
      <w:r w:rsidR="00FD73BF" w:rsidRPr="00FD73BF">
        <w:rPr>
          <w:lang w:val="en-GB"/>
        </w:rPr>
        <w:t xml:space="preserve"> </w:t>
      </w:r>
      <w:r>
        <w:rPr>
          <w:lang w:val="en-GB"/>
        </w:rPr>
        <w:t xml:space="preserve">and meteorological data </w:t>
      </w:r>
      <w:r w:rsidR="00FD73BF" w:rsidRPr="00FD73BF">
        <w:rPr>
          <w:lang w:val="en-GB"/>
        </w:rPr>
        <w:t>provided valuable insights into the temporal variations and spatial distribution of these compounds within the studied facilities</w:t>
      </w:r>
      <w:r>
        <w:rPr>
          <w:lang w:val="en-GB"/>
        </w:rPr>
        <w:t xml:space="preserve"> as well as into the potential </w:t>
      </w:r>
      <w:r w:rsidRPr="00FD73BF">
        <w:rPr>
          <w:lang w:val="en-GB"/>
        </w:rPr>
        <w:t>identification of emission sources</w:t>
      </w:r>
      <w:r w:rsidR="00FD73BF" w:rsidRPr="00FD73BF">
        <w:rPr>
          <w:lang w:val="en-GB"/>
        </w:rPr>
        <w:t>.</w:t>
      </w:r>
      <w:r w:rsidR="00766AF0">
        <w:rPr>
          <w:lang w:val="en-GB"/>
        </w:rPr>
        <w:t xml:space="preserve"> </w:t>
      </w:r>
      <w:r w:rsidR="00FD73BF" w:rsidRPr="00FD73BF">
        <w:rPr>
          <w:lang w:val="en-GB"/>
        </w:rPr>
        <w:t>Th</w:t>
      </w:r>
      <w:r w:rsidR="00766AF0">
        <w:rPr>
          <w:lang w:val="en-GB"/>
        </w:rPr>
        <w:t xml:space="preserve">is information </w:t>
      </w:r>
      <w:r>
        <w:rPr>
          <w:lang w:val="en-GB"/>
        </w:rPr>
        <w:t>is</w:t>
      </w:r>
      <w:r w:rsidR="00FD73BF" w:rsidRPr="00FD73BF">
        <w:rPr>
          <w:lang w:val="en-GB"/>
        </w:rPr>
        <w:t xml:space="preserve"> crucial for implementing proactive measures to minimize environmental impact and address potential </w:t>
      </w:r>
      <w:r w:rsidR="00766AF0" w:rsidRPr="00FD73BF">
        <w:rPr>
          <w:lang w:val="en-GB"/>
        </w:rPr>
        <w:t>odour</w:t>
      </w:r>
      <w:r w:rsidR="00FD73BF" w:rsidRPr="00FD73BF">
        <w:rPr>
          <w:lang w:val="en-GB"/>
        </w:rPr>
        <w:t xml:space="preserve"> issues.</w:t>
      </w:r>
      <w:r w:rsidR="00B80037">
        <w:rPr>
          <w:lang w:val="en-GB"/>
        </w:rPr>
        <w:t xml:space="preserve"> </w:t>
      </w:r>
      <w:r>
        <w:rPr>
          <w:lang w:val="en-GB"/>
        </w:rPr>
        <w:t>This</w:t>
      </w:r>
      <w:r w:rsidR="00FD73BF" w:rsidRPr="00FD73BF">
        <w:rPr>
          <w:lang w:val="en-GB"/>
        </w:rPr>
        <w:t xml:space="preserve"> study demonstrates </w:t>
      </w:r>
      <w:r w:rsidR="00A25FEB">
        <w:rPr>
          <w:lang w:val="en-GB"/>
        </w:rPr>
        <w:t>that s</w:t>
      </w:r>
      <w:r w:rsidR="00A25FEB" w:rsidRPr="00A25FEB">
        <w:rPr>
          <w:lang w:val="en-GB"/>
        </w:rPr>
        <w:t xml:space="preserve">ensor-based </w:t>
      </w:r>
      <w:r w:rsidR="00A25FEB">
        <w:rPr>
          <w:lang w:val="en-GB"/>
        </w:rPr>
        <w:t>monitoring</w:t>
      </w:r>
      <w:r w:rsidR="00A25FEB" w:rsidRPr="00A25FEB">
        <w:rPr>
          <w:lang w:val="en-GB"/>
        </w:rPr>
        <w:t xml:space="preserve"> systems</w:t>
      </w:r>
      <w:r w:rsidR="00A25FEB">
        <w:rPr>
          <w:lang w:val="en-GB"/>
        </w:rPr>
        <w:t xml:space="preserve"> can</w:t>
      </w:r>
      <w:r w:rsidR="00A25FEB" w:rsidRPr="00A25FEB">
        <w:rPr>
          <w:lang w:val="en-GB"/>
        </w:rPr>
        <w:t xml:space="preserve"> provide a useful solution</w:t>
      </w:r>
      <w:r w:rsidR="00A25FEB">
        <w:rPr>
          <w:lang w:val="en-GB"/>
        </w:rPr>
        <w:t xml:space="preserve"> </w:t>
      </w:r>
      <w:r w:rsidR="00A25FEB" w:rsidRPr="00A25FEB">
        <w:rPr>
          <w:lang w:val="en-GB"/>
        </w:rPr>
        <w:t>for continuous monitoring, offering real-time data on various</w:t>
      </w:r>
      <w:r w:rsidR="00A25FEB">
        <w:rPr>
          <w:lang w:val="en-GB"/>
        </w:rPr>
        <w:t xml:space="preserve"> </w:t>
      </w:r>
      <w:r w:rsidR="00A25FEB" w:rsidRPr="00A25FEB">
        <w:rPr>
          <w:lang w:val="en-GB"/>
        </w:rPr>
        <w:t>pollutants, which helps reduce the environmental impact of the</w:t>
      </w:r>
      <w:r w:rsidR="00A25FEB">
        <w:rPr>
          <w:lang w:val="en-GB"/>
        </w:rPr>
        <w:t xml:space="preserve"> </w:t>
      </w:r>
      <w:r w:rsidR="00A25FEB" w:rsidRPr="00A25FEB">
        <w:rPr>
          <w:lang w:val="en-GB"/>
        </w:rPr>
        <w:t>operations and contributes protection of the health of workers</w:t>
      </w:r>
      <w:r w:rsidR="00A25FEB">
        <w:rPr>
          <w:lang w:val="en-GB"/>
        </w:rPr>
        <w:t xml:space="preserve"> </w:t>
      </w:r>
      <w:r w:rsidR="00A25FEB" w:rsidRPr="00A25FEB">
        <w:rPr>
          <w:lang w:val="en-GB"/>
        </w:rPr>
        <w:t>and nearby populations. Additionally, the use of sensor-based</w:t>
      </w:r>
      <w:r w:rsidR="00A25FEB">
        <w:rPr>
          <w:lang w:val="en-GB"/>
        </w:rPr>
        <w:t xml:space="preserve"> </w:t>
      </w:r>
      <w:r w:rsidR="00A25FEB" w:rsidRPr="00A25FEB">
        <w:rPr>
          <w:lang w:val="en-GB"/>
        </w:rPr>
        <w:t>instruments results in cost savings by quickly identifying</w:t>
      </w:r>
      <w:r w:rsidR="00A25FEB">
        <w:rPr>
          <w:lang w:val="en-GB"/>
        </w:rPr>
        <w:t xml:space="preserve"> </w:t>
      </w:r>
      <w:r w:rsidR="00A25FEB" w:rsidRPr="00A25FEB">
        <w:rPr>
          <w:lang w:val="en-GB"/>
        </w:rPr>
        <w:t>inefficiencies or malfunctions in the industrial processes,</w:t>
      </w:r>
      <w:r w:rsidR="00A25FEB">
        <w:rPr>
          <w:lang w:val="en-GB"/>
        </w:rPr>
        <w:t xml:space="preserve"> </w:t>
      </w:r>
      <w:r w:rsidR="00A25FEB" w:rsidRPr="00A25FEB">
        <w:rPr>
          <w:lang w:val="en-GB"/>
        </w:rPr>
        <w:t>allowing for immediate interventions to solve them, and avoiding</w:t>
      </w:r>
      <w:r w:rsidR="00A25FEB">
        <w:rPr>
          <w:lang w:val="en-GB"/>
        </w:rPr>
        <w:t xml:space="preserve"> </w:t>
      </w:r>
      <w:r w:rsidR="00A25FEB" w:rsidRPr="00A25FEB">
        <w:rPr>
          <w:lang w:val="en-GB"/>
        </w:rPr>
        <w:t>any economic losses.</w:t>
      </w:r>
    </w:p>
    <w:p w14:paraId="4F1327F8" w14:textId="77777777" w:rsidR="00600535" w:rsidRPr="003D54E5" w:rsidRDefault="00600535" w:rsidP="00600535">
      <w:pPr>
        <w:pStyle w:val="CETReference"/>
        <w:rPr>
          <w:lang w:val="es-ES"/>
        </w:rPr>
      </w:pPr>
      <w:proofErr w:type="spellStart"/>
      <w:r w:rsidRPr="003D54E5">
        <w:rPr>
          <w:lang w:val="es-ES"/>
        </w:rPr>
        <w:t>References</w:t>
      </w:r>
      <w:proofErr w:type="spellEnd"/>
    </w:p>
    <w:p w14:paraId="5F82AC94" w14:textId="77777777" w:rsidR="00AE587B" w:rsidRPr="00AE587B" w:rsidRDefault="00AC27C8" w:rsidP="00AE587B">
      <w:pPr>
        <w:pStyle w:val="Bibliography"/>
        <w:rPr>
          <w:rFonts w:cs="Arial"/>
        </w:rPr>
      </w:pPr>
      <w:r w:rsidRPr="002268C6">
        <w:fldChar w:fldCharType="begin"/>
      </w:r>
      <w:r w:rsidR="00353481" w:rsidRPr="001869FA">
        <w:rPr>
          <w:lang w:val="es-ES"/>
        </w:rPr>
        <w:instrText xml:space="preserve"> ADDIN ZOTERO_BIBL {"uncited":[],"omitted":[],"custom":[]} CSL_BIBLIOGRAPHY </w:instrText>
      </w:r>
      <w:r w:rsidRPr="002268C6">
        <w:fldChar w:fldCharType="separate"/>
      </w:r>
      <w:r w:rsidR="00AE587B" w:rsidRPr="00AE587B">
        <w:rPr>
          <w:rFonts w:cs="Arial"/>
          <w:lang w:val="es-ES"/>
        </w:rPr>
        <w:t xml:space="preserve">Burgués, J., Doñate, S., Esclapez, M.D., Saúco, L., Marco, S., 2022. </w:t>
      </w:r>
      <w:r w:rsidR="00AE587B" w:rsidRPr="00AE587B">
        <w:rPr>
          <w:rFonts w:cs="Arial"/>
        </w:rPr>
        <w:t>Characterization of odour emissions in a wastewater treatment plant using a drone-based chemical sensor system. Science of The Total Environment 846, 157290. https://doi.org/10.1016/j.scitotenv.2022.157290</w:t>
      </w:r>
    </w:p>
    <w:p w14:paraId="33239C2F" w14:textId="77777777" w:rsidR="00AE587B" w:rsidRPr="00AE587B" w:rsidRDefault="00AE587B" w:rsidP="00AE587B">
      <w:pPr>
        <w:pStyle w:val="Bibliography"/>
        <w:rPr>
          <w:rFonts w:cs="Arial"/>
        </w:rPr>
      </w:pPr>
      <w:r w:rsidRPr="00AE587B">
        <w:rPr>
          <w:rFonts w:cs="Arial"/>
        </w:rPr>
        <w:t>Han, Z., Qi, F., Wang, H., Liu, B., Shen, X., Song, C., Bao, Z., Zhao, X., Xu, Y., Sun, D., 2018. Emission characteristics of volatile sulfur compounds (VSCs) from a municipal sewage sludge aerobic composting plant. Waste Management 77, 593–602. https://doi.org/10.1016/j.wasman.2018.05.049</w:t>
      </w:r>
    </w:p>
    <w:p w14:paraId="782B788F" w14:textId="77777777" w:rsidR="00AE587B" w:rsidRPr="00AE587B" w:rsidRDefault="00AE587B" w:rsidP="00AE587B">
      <w:pPr>
        <w:pStyle w:val="Bibliography"/>
        <w:rPr>
          <w:rFonts w:cs="Arial"/>
        </w:rPr>
      </w:pPr>
      <w:r w:rsidRPr="00AE587B">
        <w:rPr>
          <w:rFonts w:cs="Arial"/>
        </w:rPr>
        <w:t>Leonardos, G., Kendall, D., Barnard, N., 1974. Odor threshold determination of 53 odorant chemicals. Journal of Environmental Conservation Engineering 3, 579–585.</w:t>
      </w:r>
    </w:p>
    <w:p w14:paraId="36BCFCB6" w14:textId="77777777" w:rsidR="00AE587B" w:rsidRPr="00AE587B" w:rsidRDefault="00AE587B" w:rsidP="00AE587B">
      <w:pPr>
        <w:pStyle w:val="Bibliography"/>
        <w:rPr>
          <w:rFonts w:cs="Arial"/>
        </w:rPr>
      </w:pPr>
      <w:r w:rsidRPr="00AE587B">
        <w:rPr>
          <w:rFonts w:cs="Arial"/>
        </w:rPr>
        <w:t>Levels, N.R.C. (US) C. on A.E.G., 2010. Hydrogen Sulfide Acute Exposure Guideline Levels, in: Acute Exposure Guideline Levels for Selected Airborne Chemicals: Volume 9. National Academies Press (US).</w:t>
      </w:r>
    </w:p>
    <w:p w14:paraId="0B37A837" w14:textId="77777777" w:rsidR="00AE587B" w:rsidRPr="00AE587B" w:rsidRDefault="00AE587B" w:rsidP="00AE587B">
      <w:pPr>
        <w:pStyle w:val="Bibliography"/>
        <w:rPr>
          <w:rFonts w:cs="Arial"/>
        </w:rPr>
      </w:pPr>
      <w:r w:rsidRPr="00AE587B">
        <w:rPr>
          <w:rFonts w:cs="Arial"/>
        </w:rPr>
        <w:t>Levels, N.R.C. (US) C. on A.E.G., 2008. Ammonia Acute Exposure Guideline Levels, in: Acute Exposure Guideline Levels for Selected Airborne Chemicals: Volume 6. National Academies Press (US).</w:t>
      </w:r>
    </w:p>
    <w:p w14:paraId="713CEE24" w14:textId="77777777" w:rsidR="00AE587B" w:rsidRPr="00AE587B" w:rsidRDefault="00AE587B" w:rsidP="00AE587B">
      <w:pPr>
        <w:pStyle w:val="Bibliography"/>
        <w:rPr>
          <w:rFonts w:cs="Arial"/>
        </w:rPr>
      </w:pPr>
      <w:r w:rsidRPr="00AE587B">
        <w:rPr>
          <w:rFonts w:cs="Arial"/>
        </w:rPr>
        <w:t>Li, R., Han, Z., Shen, H., Qi, F., Ding, M., Song, C., Sun, D., 2021. Emission characteristics of odorous volatile sulfur compound from a full-scale sequencing batch reactor wastewater treatment plant. Science of The Total Environment 776, 145991. https://doi.org/10.1016/j.scitotenv.2021.145991</w:t>
      </w:r>
    </w:p>
    <w:p w14:paraId="4988C2B4" w14:textId="77777777" w:rsidR="00AE587B" w:rsidRPr="00AE587B" w:rsidRDefault="00AE587B" w:rsidP="00AE587B">
      <w:pPr>
        <w:pStyle w:val="Bibliography"/>
        <w:rPr>
          <w:rFonts w:cs="Arial"/>
        </w:rPr>
      </w:pPr>
      <w:r w:rsidRPr="00AE587B">
        <w:rPr>
          <w:rFonts w:cs="Arial"/>
        </w:rPr>
        <w:t>McKercher, G.R., Salmond, J.A., Vanos, J.K., 2017. Characteristics and applications of small, portable gaseous air pollution monitors. Environmental Pollution 223, 102–110.</w:t>
      </w:r>
    </w:p>
    <w:p w14:paraId="1EA25553" w14:textId="77777777" w:rsidR="00AE587B" w:rsidRPr="00AE587B" w:rsidRDefault="00AE587B" w:rsidP="00AE587B">
      <w:pPr>
        <w:pStyle w:val="Bibliography"/>
        <w:rPr>
          <w:rFonts w:cs="Arial"/>
        </w:rPr>
      </w:pPr>
      <w:r w:rsidRPr="00AE587B">
        <w:rPr>
          <w:rFonts w:cs="Arial"/>
        </w:rPr>
        <w:t>Naddeo, V., Belgiorno, V., Zarra, T., 2012. Odour Characterization and Exposure Effects, in: Odour Impact Assessment Handbook. John Wiley &amp; Sons, Ltd, pp. 7–29. https://doi.org/10.1002/9781118481264.ch2</w:t>
      </w:r>
    </w:p>
    <w:p w14:paraId="19C4FC68" w14:textId="7B95F263" w:rsidR="004628D2" w:rsidRDefault="00AE587B" w:rsidP="00D86996">
      <w:pPr>
        <w:pStyle w:val="Bibliography"/>
      </w:pPr>
      <w:r w:rsidRPr="00AE587B">
        <w:rPr>
          <w:rFonts w:cs="Arial"/>
        </w:rPr>
        <w:t xml:space="preserve">Prudenza, S., Bax, C., Capelli, L., 2023. Implementation of an electronic nose for real-time identification of odour emission peaks at a wastewater treatment plant. </w:t>
      </w:r>
      <w:proofErr w:type="spellStart"/>
      <w:r w:rsidRPr="00AE587B">
        <w:rPr>
          <w:rFonts w:cs="Arial"/>
        </w:rPr>
        <w:t>Heliyon</w:t>
      </w:r>
      <w:proofErr w:type="spellEnd"/>
      <w:r w:rsidRPr="00AE587B">
        <w:rPr>
          <w:rFonts w:cs="Arial"/>
        </w:rPr>
        <w:t xml:space="preserve"> 9.</w:t>
      </w:r>
      <w:r w:rsidR="00AC27C8" w:rsidRPr="002268C6">
        <w:fldChar w:fldCharType="end"/>
      </w:r>
    </w:p>
    <w:sectPr w:rsidR="004628D2" w:rsidSect="00083EA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23320" w14:textId="77777777" w:rsidR="00083EAE" w:rsidRPr="002268C6" w:rsidRDefault="00083EAE" w:rsidP="004F5E36">
      <w:r w:rsidRPr="002268C6">
        <w:separator/>
      </w:r>
    </w:p>
  </w:endnote>
  <w:endnote w:type="continuationSeparator" w:id="0">
    <w:p w14:paraId="2EC19B9B" w14:textId="77777777" w:rsidR="00083EAE" w:rsidRPr="002268C6" w:rsidRDefault="00083EAE" w:rsidP="004F5E36">
      <w:r w:rsidRPr="002268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32BE9" w14:textId="77777777" w:rsidR="00083EAE" w:rsidRPr="002268C6" w:rsidRDefault="00083EAE" w:rsidP="004F5E36">
      <w:r w:rsidRPr="002268C6">
        <w:separator/>
      </w:r>
    </w:p>
  </w:footnote>
  <w:footnote w:type="continuationSeparator" w:id="0">
    <w:p w14:paraId="54D6AF9F" w14:textId="77777777" w:rsidR="00083EAE" w:rsidRPr="002268C6" w:rsidRDefault="00083EAE" w:rsidP="004F5E36">
      <w:r w:rsidRPr="002268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5AA27B6"/>
    <w:multiLevelType w:val="hybridMultilevel"/>
    <w:tmpl w:val="752C9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24516395">
    <w:abstractNumId w:val="10"/>
  </w:num>
  <w:num w:numId="2" w16cid:durableId="1693460582">
    <w:abstractNumId w:val="8"/>
  </w:num>
  <w:num w:numId="3" w16cid:durableId="509494628">
    <w:abstractNumId w:val="3"/>
  </w:num>
  <w:num w:numId="4" w16cid:durableId="1188911628">
    <w:abstractNumId w:val="2"/>
  </w:num>
  <w:num w:numId="5" w16cid:durableId="1509785167">
    <w:abstractNumId w:val="1"/>
  </w:num>
  <w:num w:numId="6" w16cid:durableId="109083628">
    <w:abstractNumId w:val="0"/>
  </w:num>
  <w:num w:numId="7" w16cid:durableId="1700157459">
    <w:abstractNumId w:val="9"/>
  </w:num>
  <w:num w:numId="8" w16cid:durableId="562526356">
    <w:abstractNumId w:val="7"/>
  </w:num>
  <w:num w:numId="9" w16cid:durableId="183717702">
    <w:abstractNumId w:val="6"/>
  </w:num>
  <w:num w:numId="10" w16cid:durableId="1069696268">
    <w:abstractNumId w:val="5"/>
  </w:num>
  <w:num w:numId="11" w16cid:durableId="1514224657">
    <w:abstractNumId w:val="4"/>
  </w:num>
  <w:num w:numId="12" w16cid:durableId="38894699">
    <w:abstractNumId w:val="18"/>
  </w:num>
  <w:num w:numId="13" w16cid:durableId="736131637">
    <w:abstractNumId w:val="13"/>
  </w:num>
  <w:num w:numId="14" w16cid:durableId="352997145">
    <w:abstractNumId w:val="19"/>
  </w:num>
  <w:num w:numId="15" w16cid:durableId="137839748">
    <w:abstractNumId w:val="21"/>
  </w:num>
  <w:num w:numId="16" w16cid:durableId="1284338746">
    <w:abstractNumId w:val="20"/>
  </w:num>
  <w:num w:numId="17" w16cid:durableId="1331055509">
    <w:abstractNumId w:val="12"/>
  </w:num>
  <w:num w:numId="18" w16cid:durableId="221135817">
    <w:abstractNumId w:val="13"/>
    <w:lvlOverride w:ilvl="0">
      <w:startOverride w:val="1"/>
    </w:lvlOverride>
  </w:num>
  <w:num w:numId="19" w16cid:durableId="479854872">
    <w:abstractNumId w:val="17"/>
  </w:num>
  <w:num w:numId="20" w16cid:durableId="1942950572">
    <w:abstractNumId w:val="16"/>
  </w:num>
  <w:num w:numId="21" w16cid:durableId="463234532">
    <w:abstractNumId w:val="15"/>
  </w:num>
  <w:num w:numId="22" w16cid:durableId="1494024726">
    <w:abstractNumId w:val="14"/>
  </w:num>
  <w:num w:numId="23" w16cid:durableId="974605313">
    <w:abstractNumId w:val="10"/>
  </w:num>
  <w:num w:numId="24" w16cid:durableId="1759864282">
    <w:abstractNumId w:val="11"/>
  </w:num>
  <w:num w:numId="25" w16cid:durableId="224873239">
    <w:abstractNumId w:val="10"/>
  </w:num>
  <w:num w:numId="26" w16cid:durableId="15659446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10C1F"/>
    <w:rsid w:val="000114E6"/>
    <w:rsid w:val="000117CB"/>
    <w:rsid w:val="0002096A"/>
    <w:rsid w:val="0003148D"/>
    <w:rsid w:val="00031EEC"/>
    <w:rsid w:val="00044B0B"/>
    <w:rsid w:val="00047414"/>
    <w:rsid w:val="00051566"/>
    <w:rsid w:val="00062A9A"/>
    <w:rsid w:val="00065058"/>
    <w:rsid w:val="00083EAE"/>
    <w:rsid w:val="00086C39"/>
    <w:rsid w:val="00087F40"/>
    <w:rsid w:val="000A03B2"/>
    <w:rsid w:val="000B613A"/>
    <w:rsid w:val="000D0268"/>
    <w:rsid w:val="000D34BE"/>
    <w:rsid w:val="000E102F"/>
    <w:rsid w:val="000E36F1"/>
    <w:rsid w:val="000E3A73"/>
    <w:rsid w:val="000E3CD2"/>
    <w:rsid w:val="000E414A"/>
    <w:rsid w:val="000F093C"/>
    <w:rsid w:val="000F35A5"/>
    <w:rsid w:val="000F787B"/>
    <w:rsid w:val="00110BBC"/>
    <w:rsid w:val="00112826"/>
    <w:rsid w:val="0012091F"/>
    <w:rsid w:val="00126BC2"/>
    <w:rsid w:val="001277CC"/>
    <w:rsid w:val="001308B6"/>
    <w:rsid w:val="0013121F"/>
    <w:rsid w:val="00131FE6"/>
    <w:rsid w:val="0013263F"/>
    <w:rsid w:val="00132C85"/>
    <w:rsid w:val="001331DF"/>
    <w:rsid w:val="00134DE4"/>
    <w:rsid w:val="0014034D"/>
    <w:rsid w:val="00144D16"/>
    <w:rsid w:val="00150E59"/>
    <w:rsid w:val="00152DE3"/>
    <w:rsid w:val="00164CF9"/>
    <w:rsid w:val="001667A6"/>
    <w:rsid w:val="00184AD6"/>
    <w:rsid w:val="001869FA"/>
    <w:rsid w:val="00197D7D"/>
    <w:rsid w:val="001A4AF7"/>
    <w:rsid w:val="001B0349"/>
    <w:rsid w:val="001B1E93"/>
    <w:rsid w:val="001B65C1"/>
    <w:rsid w:val="001C3A57"/>
    <w:rsid w:val="001C54CB"/>
    <w:rsid w:val="001C684B"/>
    <w:rsid w:val="001D0CFB"/>
    <w:rsid w:val="001D21AF"/>
    <w:rsid w:val="001D53FC"/>
    <w:rsid w:val="001F128C"/>
    <w:rsid w:val="001F42A5"/>
    <w:rsid w:val="001F7B9D"/>
    <w:rsid w:val="00201C93"/>
    <w:rsid w:val="0020234E"/>
    <w:rsid w:val="002074E9"/>
    <w:rsid w:val="00207DB7"/>
    <w:rsid w:val="002224B4"/>
    <w:rsid w:val="002268C6"/>
    <w:rsid w:val="002447EF"/>
    <w:rsid w:val="0025106D"/>
    <w:rsid w:val="00251550"/>
    <w:rsid w:val="00253700"/>
    <w:rsid w:val="002553CF"/>
    <w:rsid w:val="00263837"/>
    <w:rsid w:val="00263B05"/>
    <w:rsid w:val="002678A2"/>
    <w:rsid w:val="0027221A"/>
    <w:rsid w:val="00275B61"/>
    <w:rsid w:val="00280FAF"/>
    <w:rsid w:val="00282656"/>
    <w:rsid w:val="00296B83"/>
    <w:rsid w:val="002B0813"/>
    <w:rsid w:val="002B3C7E"/>
    <w:rsid w:val="002B4015"/>
    <w:rsid w:val="002B78CE"/>
    <w:rsid w:val="002C2FB6"/>
    <w:rsid w:val="002E2FA3"/>
    <w:rsid w:val="002E5FA7"/>
    <w:rsid w:val="002E6D1F"/>
    <w:rsid w:val="002E6D34"/>
    <w:rsid w:val="002F3309"/>
    <w:rsid w:val="003005D4"/>
    <w:rsid w:val="003008CE"/>
    <w:rsid w:val="003009B7"/>
    <w:rsid w:val="00300E56"/>
    <w:rsid w:val="0030469C"/>
    <w:rsid w:val="00321CA6"/>
    <w:rsid w:val="00323763"/>
    <w:rsid w:val="00323C5F"/>
    <w:rsid w:val="00334C09"/>
    <w:rsid w:val="00337A92"/>
    <w:rsid w:val="003500B9"/>
    <w:rsid w:val="00353481"/>
    <w:rsid w:val="003723D4"/>
    <w:rsid w:val="00381905"/>
    <w:rsid w:val="00384CC8"/>
    <w:rsid w:val="003871FD"/>
    <w:rsid w:val="00393F9B"/>
    <w:rsid w:val="003A1E30"/>
    <w:rsid w:val="003A2829"/>
    <w:rsid w:val="003A7478"/>
    <w:rsid w:val="003A7D1C"/>
    <w:rsid w:val="003B304B"/>
    <w:rsid w:val="003B3146"/>
    <w:rsid w:val="003D54E5"/>
    <w:rsid w:val="003F015E"/>
    <w:rsid w:val="003F1E1A"/>
    <w:rsid w:val="003F3B48"/>
    <w:rsid w:val="00400414"/>
    <w:rsid w:val="00403731"/>
    <w:rsid w:val="0041446B"/>
    <w:rsid w:val="0041741C"/>
    <w:rsid w:val="0043051E"/>
    <w:rsid w:val="00431205"/>
    <w:rsid w:val="004352E6"/>
    <w:rsid w:val="0044071E"/>
    <w:rsid w:val="0044329C"/>
    <w:rsid w:val="00446B58"/>
    <w:rsid w:val="00447819"/>
    <w:rsid w:val="00453E24"/>
    <w:rsid w:val="00456DBE"/>
    <w:rsid w:val="00457456"/>
    <w:rsid w:val="004577FE"/>
    <w:rsid w:val="00457B9C"/>
    <w:rsid w:val="0046164A"/>
    <w:rsid w:val="004628D2"/>
    <w:rsid w:val="00462DCD"/>
    <w:rsid w:val="00463163"/>
    <w:rsid w:val="004648AD"/>
    <w:rsid w:val="004656F6"/>
    <w:rsid w:val="004703A9"/>
    <w:rsid w:val="004760DE"/>
    <w:rsid w:val="004763D7"/>
    <w:rsid w:val="0048084F"/>
    <w:rsid w:val="00481A17"/>
    <w:rsid w:val="004900EC"/>
    <w:rsid w:val="004A004E"/>
    <w:rsid w:val="004A24CF"/>
    <w:rsid w:val="004A2F49"/>
    <w:rsid w:val="004A2F94"/>
    <w:rsid w:val="004A7B78"/>
    <w:rsid w:val="004B3D84"/>
    <w:rsid w:val="004C3D1D"/>
    <w:rsid w:val="004C3D84"/>
    <w:rsid w:val="004C7913"/>
    <w:rsid w:val="004D1A09"/>
    <w:rsid w:val="004E1EB5"/>
    <w:rsid w:val="004E4DD6"/>
    <w:rsid w:val="004F5E36"/>
    <w:rsid w:val="00503912"/>
    <w:rsid w:val="00507B47"/>
    <w:rsid w:val="00507BEF"/>
    <w:rsid w:val="00507CC9"/>
    <w:rsid w:val="00510B19"/>
    <w:rsid w:val="005119A5"/>
    <w:rsid w:val="005278B7"/>
    <w:rsid w:val="00532016"/>
    <w:rsid w:val="005346C8"/>
    <w:rsid w:val="0053633E"/>
    <w:rsid w:val="00543E7D"/>
    <w:rsid w:val="00547A68"/>
    <w:rsid w:val="005531C9"/>
    <w:rsid w:val="00570C43"/>
    <w:rsid w:val="00573DDE"/>
    <w:rsid w:val="00574C9B"/>
    <w:rsid w:val="005A2688"/>
    <w:rsid w:val="005B2110"/>
    <w:rsid w:val="005B61E6"/>
    <w:rsid w:val="005C081F"/>
    <w:rsid w:val="005C77E1"/>
    <w:rsid w:val="005D668A"/>
    <w:rsid w:val="005D6A2F"/>
    <w:rsid w:val="005E1A82"/>
    <w:rsid w:val="005E68B5"/>
    <w:rsid w:val="005E794C"/>
    <w:rsid w:val="005F0A28"/>
    <w:rsid w:val="005F0E5E"/>
    <w:rsid w:val="005F168E"/>
    <w:rsid w:val="005F6173"/>
    <w:rsid w:val="00600535"/>
    <w:rsid w:val="0061099C"/>
    <w:rsid w:val="00610CD6"/>
    <w:rsid w:val="0061480A"/>
    <w:rsid w:val="00617E6E"/>
    <w:rsid w:val="00620DEE"/>
    <w:rsid w:val="00621F92"/>
    <w:rsid w:val="0062280A"/>
    <w:rsid w:val="00625639"/>
    <w:rsid w:val="00631B33"/>
    <w:rsid w:val="0064184D"/>
    <w:rsid w:val="006422CC"/>
    <w:rsid w:val="00660E3E"/>
    <w:rsid w:val="00662E74"/>
    <w:rsid w:val="0066691A"/>
    <w:rsid w:val="006728EA"/>
    <w:rsid w:val="006739F3"/>
    <w:rsid w:val="00680C23"/>
    <w:rsid w:val="00686BCA"/>
    <w:rsid w:val="00693766"/>
    <w:rsid w:val="00696F2E"/>
    <w:rsid w:val="006A0643"/>
    <w:rsid w:val="006A3281"/>
    <w:rsid w:val="006A7BB7"/>
    <w:rsid w:val="006B4888"/>
    <w:rsid w:val="006B5195"/>
    <w:rsid w:val="006B5269"/>
    <w:rsid w:val="006C2E45"/>
    <w:rsid w:val="006C359C"/>
    <w:rsid w:val="006C5579"/>
    <w:rsid w:val="006D6E8B"/>
    <w:rsid w:val="006E737D"/>
    <w:rsid w:val="006F24F0"/>
    <w:rsid w:val="00713973"/>
    <w:rsid w:val="00720A24"/>
    <w:rsid w:val="00723A8D"/>
    <w:rsid w:val="00732386"/>
    <w:rsid w:val="00734074"/>
    <w:rsid w:val="0073514D"/>
    <w:rsid w:val="0074038F"/>
    <w:rsid w:val="007447F3"/>
    <w:rsid w:val="0075499F"/>
    <w:rsid w:val="007661C8"/>
    <w:rsid w:val="00766AF0"/>
    <w:rsid w:val="0077098D"/>
    <w:rsid w:val="007931FA"/>
    <w:rsid w:val="007A4861"/>
    <w:rsid w:val="007A7BBA"/>
    <w:rsid w:val="007B0C50"/>
    <w:rsid w:val="007B48F9"/>
    <w:rsid w:val="007B6EC3"/>
    <w:rsid w:val="007C1A43"/>
    <w:rsid w:val="007D4FBD"/>
    <w:rsid w:val="0080013E"/>
    <w:rsid w:val="00813288"/>
    <w:rsid w:val="008168FC"/>
    <w:rsid w:val="00820EE7"/>
    <w:rsid w:val="00821B73"/>
    <w:rsid w:val="00830996"/>
    <w:rsid w:val="008345F1"/>
    <w:rsid w:val="00844D4C"/>
    <w:rsid w:val="00846DAF"/>
    <w:rsid w:val="00855247"/>
    <w:rsid w:val="00856169"/>
    <w:rsid w:val="00865B07"/>
    <w:rsid w:val="008667EA"/>
    <w:rsid w:val="00874EB2"/>
    <w:rsid w:val="0087637F"/>
    <w:rsid w:val="00892AD5"/>
    <w:rsid w:val="0089510C"/>
    <w:rsid w:val="008A1512"/>
    <w:rsid w:val="008A75CF"/>
    <w:rsid w:val="008D32B9"/>
    <w:rsid w:val="008D433B"/>
    <w:rsid w:val="008D4A16"/>
    <w:rsid w:val="008E1C78"/>
    <w:rsid w:val="008E42A2"/>
    <w:rsid w:val="008E566E"/>
    <w:rsid w:val="008E6547"/>
    <w:rsid w:val="0090161A"/>
    <w:rsid w:val="00901EB6"/>
    <w:rsid w:val="00902042"/>
    <w:rsid w:val="00904C62"/>
    <w:rsid w:val="00922BA8"/>
    <w:rsid w:val="00924DAC"/>
    <w:rsid w:val="00925879"/>
    <w:rsid w:val="00927058"/>
    <w:rsid w:val="00942750"/>
    <w:rsid w:val="009450CE"/>
    <w:rsid w:val="00947179"/>
    <w:rsid w:val="0095164B"/>
    <w:rsid w:val="00954090"/>
    <w:rsid w:val="009573E7"/>
    <w:rsid w:val="00963E05"/>
    <w:rsid w:val="00964A45"/>
    <w:rsid w:val="00967843"/>
    <w:rsid w:val="00967D54"/>
    <w:rsid w:val="00971028"/>
    <w:rsid w:val="00980F0B"/>
    <w:rsid w:val="00984BAC"/>
    <w:rsid w:val="00993B84"/>
    <w:rsid w:val="00996483"/>
    <w:rsid w:val="00996F5A"/>
    <w:rsid w:val="009B041A"/>
    <w:rsid w:val="009B0E77"/>
    <w:rsid w:val="009C37C3"/>
    <w:rsid w:val="009C7C86"/>
    <w:rsid w:val="009D2FF7"/>
    <w:rsid w:val="009E2DD0"/>
    <w:rsid w:val="009E7884"/>
    <w:rsid w:val="009E788A"/>
    <w:rsid w:val="009F0E08"/>
    <w:rsid w:val="009F3481"/>
    <w:rsid w:val="00A06C59"/>
    <w:rsid w:val="00A1763D"/>
    <w:rsid w:val="00A17CEC"/>
    <w:rsid w:val="00A25FEB"/>
    <w:rsid w:val="00A27EF0"/>
    <w:rsid w:val="00A42361"/>
    <w:rsid w:val="00A50B20"/>
    <w:rsid w:val="00A51390"/>
    <w:rsid w:val="00A53B8A"/>
    <w:rsid w:val="00A60D13"/>
    <w:rsid w:val="00A7223D"/>
    <w:rsid w:val="00A72745"/>
    <w:rsid w:val="00A76EFC"/>
    <w:rsid w:val="00A91010"/>
    <w:rsid w:val="00A95C1F"/>
    <w:rsid w:val="00A97F29"/>
    <w:rsid w:val="00AA702E"/>
    <w:rsid w:val="00AB0964"/>
    <w:rsid w:val="00AB1FC1"/>
    <w:rsid w:val="00AB5011"/>
    <w:rsid w:val="00AC27C8"/>
    <w:rsid w:val="00AC7368"/>
    <w:rsid w:val="00AD16B9"/>
    <w:rsid w:val="00AE377D"/>
    <w:rsid w:val="00AE587B"/>
    <w:rsid w:val="00AF0EBA"/>
    <w:rsid w:val="00AF1442"/>
    <w:rsid w:val="00AF47F4"/>
    <w:rsid w:val="00B02C8A"/>
    <w:rsid w:val="00B17FBD"/>
    <w:rsid w:val="00B315A6"/>
    <w:rsid w:val="00B31813"/>
    <w:rsid w:val="00B33365"/>
    <w:rsid w:val="00B42AF7"/>
    <w:rsid w:val="00B57B36"/>
    <w:rsid w:val="00B57E6F"/>
    <w:rsid w:val="00B80037"/>
    <w:rsid w:val="00B8686D"/>
    <w:rsid w:val="00B93F69"/>
    <w:rsid w:val="00B94D21"/>
    <w:rsid w:val="00BB1DDC"/>
    <w:rsid w:val="00BC16A0"/>
    <w:rsid w:val="00BC30C9"/>
    <w:rsid w:val="00BD077D"/>
    <w:rsid w:val="00BE3E58"/>
    <w:rsid w:val="00C001E4"/>
    <w:rsid w:val="00C01616"/>
    <w:rsid w:val="00C0162B"/>
    <w:rsid w:val="00C068ED"/>
    <w:rsid w:val="00C22E0C"/>
    <w:rsid w:val="00C30D8E"/>
    <w:rsid w:val="00C345B1"/>
    <w:rsid w:val="00C40142"/>
    <w:rsid w:val="00C44111"/>
    <w:rsid w:val="00C52C3C"/>
    <w:rsid w:val="00C57182"/>
    <w:rsid w:val="00C57863"/>
    <w:rsid w:val="00C6013B"/>
    <w:rsid w:val="00C63C49"/>
    <w:rsid w:val="00C640AF"/>
    <w:rsid w:val="00C653B8"/>
    <w:rsid w:val="00C655FD"/>
    <w:rsid w:val="00C75407"/>
    <w:rsid w:val="00C81489"/>
    <w:rsid w:val="00C86504"/>
    <w:rsid w:val="00C870A8"/>
    <w:rsid w:val="00C94434"/>
    <w:rsid w:val="00C94E59"/>
    <w:rsid w:val="00C968CD"/>
    <w:rsid w:val="00CA0D75"/>
    <w:rsid w:val="00CA1C95"/>
    <w:rsid w:val="00CA330E"/>
    <w:rsid w:val="00CA5A9C"/>
    <w:rsid w:val="00CC4C20"/>
    <w:rsid w:val="00CD3517"/>
    <w:rsid w:val="00CD5FE2"/>
    <w:rsid w:val="00CE1980"/>
    <w:rsid w:val="00CE7C68"/>
    <w:rsid w:val="00CF5DAD"/>
    <w:rsid w:val="00D02B4C"/>
    <w:rsid w:val="00D040C4"/>
    <w:rsid w:val="00D10130"/>
    <w:rsid w:val="00D20AD1"/>
    <w:rsid w:val="00D27ED1"/>
    <w:rsid w:val="00D425E8"/>
    <w:rsid w:val="00D4550C"/>
    <w:rsid w:val="00D46B7E"/>
    <w:rsid w:val="00D553B9"/>
    <w:rsid w:val="00D561CB"/>
    <w:rsid w:val="00D57C84"/>
    <w:rsid w:val="00D6057D"/>
    <w:rsid w:val="00D61624"/>
    <w:rsid w:val="00D71640"/>
    <w:rsid w:val="00D836C5"/>
    <w:rsid w:val="00D84576"/>
    <w:rsid w:val="00D86996"/>
    <w:rsid w:val="00D86FBB"/>
    <w:rsid w:val="00D905C0"/>
    <w:rsid w:val="00DA1399"/>
    <w:rsid w:val="00DA24C6"/>
    <w:rsid w:val="00DA4D7B"/>
    <w:rsid w:val="00DD16BD"/>
    <w:rsid w:val="00DD271C"/>
    <w:rsid w:val="00DD60B6"/>
    <w:rsid w:val="00DE264A"/>
    <w:rsid w:val="00DF5072"/>
    <w:rsid w:val="00E02D18"/>
    <w:rsid w:val="00E041E7"/>
    <w:rsid w:val="00E14C1F"/>
    <w:rsid w:val="00E21D40"/>
    <w:rsid w:val="00E23CA1"/>
    <w:rsid w:val="00E354BC"/>
    <w:rsid w:val="00E409A8"/>
    <w:rsid w:val="00E41884"/>
    <w:rsid w:val="00E50C12"/>
    <w:rsid w:val="00E65B91"/>
    <w:rsid w:val="00E7209D"/>
    <w:rsid w:val="00E72EAD"/>
    <w:rsid w:val="00E770E8"/>
    <w:rsid w:val="00E77223"/>
    <w:rsid w:val="00E825B0"/>
    <w:rsid w:val="00E8528B"/>
    <w:rsid w:val="00E85B94"/>
    <w:rsid w:val="00E903B4"/>
    <w:rsid w:val="00E978D0"/>
    <w:rsid w:val="00EA4613"/>
    <w:rsid w:val="00EA7F91"/>
    <w:rsid w:val="00EB1523"/>
    <w:rsid w:val="00EC0E49"/>
    <w:rsid w:val="00EC101F"/>
    <w:rsid w:val="00EC1D9F"/>
    <w:rsid w:val="00EC567E"/>
    <w:rsid w:val="00EC7E7B"/>
    <w:rsid w:val="00EE0131"/>
    <w:rsid w:val="00EE17B0"/>
    <w:rsid w:val="00EE57D2"/>
    <w:rsid w:val="00EF06D9"/>
    <w:rsid w:val="00EF227A"/>
    <w:rsid w:val="00EF7CA4"/>
    <w:rsid w:val="00F23D8B"/>
    <w:rsid w:val="00F30C64"/>
    <w:rsid w:val="00F32BA2"/>
    <w:rsid w:val="00F32CDB"/>
    <w:rsid w:val="00F36F97"/>
    <w:rsid w:val="00F565FE"/>
    <w:rsid w:val="00F63A70"/>
    <w:rsid w:val="00F63D8C"/>
    <w:rsid w:val="00F6649B"/>
    <w:rsid w:val="00F7534E"/>
    <w:rsid w:val="00F80041"/>
    <w:rsid w:val="00FA1802"/>
    <w:rsid w:val="00FA21D0"/>
    <w:rsid w:val="00FA5F5F"/>
    <w:rsid w:val="00FB730C"/>
    <w:rsid w:val="00FC2695"/>
    <w:rsid w:val="00FC3E03"/>
    <w:rsid w:val="00FC3FC1"/>
    <w:rsid w:val="00FD73BF"/>
    <w:rsid w:val="00FF358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styleId="Revision">
    <w:name w:val="Revision"/>
    <w:hidden/>
    <w:uiPriority w:val="99"/>
    <w:semiHidden/>
    <w:rsid w:val="008A75CF"/>
    <w:pPr>
      <w:spacing w:after="0" w:line="240" w:lineRule="auto"/>
    </w:pPr>
    <w:rPr>
      <w:rFonts w:ascii="Arial" w:eastAsia="Times New Roman" w:hAnsi="Arial" w:cs="Times New Roman"/>
      <w:sz w:val="18"/>
      <w:szCs w:val="20"/>
      <w:lang w:val="en-GB"/>
    </w:rPr>
  </w:style>
  <w:style w:type="character" w:styleId="UnresolvedMention">
    <w:name w:val="Unresolved Mention"/>
    <w:basedOn w:val="DefaultParagraphFont"/>
    <w:uiPriority w:val="99"/>
    <w:semiHidden/>
    <w:unhideWhenUsed/>
    <w:rsid w:val="008A7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684594">
      <w:bodyDiv w:val="1"/>
      <w:marLeft w:val="0"/>
      <w:marRight w:val="0"/>
      <w:marTop w:val="0"/>
      <w:marBottom w:val="0"/>
      <w:divBdr>
        <w:top w:val="none" w:sz="0" w:space="0" w:color="auto"/>
        <w:left w:val="none" w:sz="0" w:space="0" w:color="auto"/>
        <w:bottom w:val="none" w:sz="0" w:space="0" w:color="auto"/>
        <w:right w:val="none" w:sz="0" w:space="0" w:color="auto"/>
      </w:divBdr>
    </w:div>
    <w:div w:id="623119394">
      <w:bodyDiv w:val="1"/>
      <w:marLeft w:val="0"/>
      <w:marRight w:val="0"/>
      <w:marTop w:val="0"/>
      <w:marBottom w:val="0"/>
      <w:divBdr>
        <w:top w:val="none" w:sz="0" w:space="0" w:color="auto"/>
        <w:left w:val="none" w:sz="0" w:space="0" w:color="auto"/>
        <w:bottom w:val="none" w:sz="0" w:space="0" w:color="auto"/>
        <w:right w:val="none" w:sz="0" w:space="0" w:color="auto"/>
      </w:divBdr>
    </w:div>
    <w:div w:id="68671839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54229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8073">
      <w:bodyDiv w:val="1"/>
      <w:marLeft w:val="0"/>
      <w:marRight w:val="0"/>
      <w:marTop w:val="0"/>
      <w:marBottom w:val="0"/>
      <w:divBdr>
        <w:top w:val="none" w:sz="0" w:space="0" w:color="auto"/>
        <w:left w:val="none" w:sz="0" w:space="0" w:color="auto"/>
        <w:bottom w:val="none" w:sz="0" w:space="0" w:color="auto"/>
        <w:right w:val="none" w:sz="0" w:space="0" w:color="auto"/>
      </w:divBdr>
    </w:div>
    <w:div w:id="129645192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4377</TotalTime>
  <Pages>6</Pages>
  <Words>3121</Words>
  <Characters>32190</Characters>
  <Application>Microsoft Office Word</Application>
  <DocSecurity>0</DocSecurity>
  <Lines>268</Lines>
  <Paragraphs>70</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35241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Irene Lara</cp:lastModifiedBy>
  <cp:revision>13</cp:revision>
  <cp:lastPrinted>2015-05-12T18:31:00Z</cp:lastPrinted>
  <dcterms:created xsi:type="dcterms:W3CDTF">2024-07-09T06:58:00Z</dcterms:created>
  <dcterms:modified xsi:type="dcterms:W3CDTF">2024-07-15T06:20:00Z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id="FkcNFPzu"/&gt;&lt;style id="http://www.zotero.org/styles/chemical-engineering-science" hasBibliography="1" bibliographyStyleHasBeenSet="1"/&gt;&lt;prefs&gt;&lt;pref name="fieldType" value="Field"/&gt;&lt;pref name="stor</vt:lpwstr>
  </property>
  <property fmtid="{D5CDD505-2E9C-101B-9397-08002B2CF9AE}" pid="3" name="ZOTERO_PREF_2">
    <vt:lpwstr>eReferences" value="true"/&gt;&lt;/prefs&gt;&lt;/data&gt;</vt:lpwstr>
  </property>
  <property fmtid="{D5CDD505-2E9C-101B-9397-08002B2CF9AE}" pid="4" name="GrammarlyDocumentId">
    <vt:lpwstr>6e3a082ece5f08deaeb4a99b61267213b9b5e6d98b407f73142bc495a5404307</vt:lpwstr>
  </property>
</Properties>
</file>