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34DA5" w14:paraId="2A131A54" w14:textId="77777777" w:rsidTr="00D045D5">
        <w:trPr>
          <w:trHeight w:val="852"/>
          <w:jc w:val="center"/>
        </w:trPr>
        <w:tc>
          <w:tcPr>
            <w:tcW w:w="6940" w:type="dxa"/>
            <w:vMerge w:val="restart"/>
            <w:tcBorders>
              <w:right w:val="single" w:sz="4" w:space="0" w:color="auto"/>
            </w:tcBorders>
          </w:tcPr>
          <w:p w14:paraId="38C3D2BA" w14:textId="77777777" w:rsidR="000A03B2" w:rsidRPr="00334DA5" w:rsidRDefault="000A03B2" w:rsidP="00DE264A">
            <w:pPr>
              <w:tabs>
                <w:tab w:val="left" w:pos="-108"/>
              </w:tabs>
              <w:ind w:left="-108"/>
              <w:jc w:val="left"/>
              <w:rPr>
                <w:rFonts w:cs="Arial"/>
                <w:b/>
                <w:bCs/>
                <w:i/>
                <w:iCs/>
                <w:color w:val="000066"/>
                <w:sz w:val="12"/>
                <w:szCs w:val="12"/>
                <w:lang w:val="en-AU" w:eastAsia="it-IT"/>
              </w:rPr>
            </w:pPr>
            <w:r w:rsidRPr="00334DA5">
              <w:rPr>
                <w:rFonts w:ascii="AdvP6960" w:hAnsi="AdvP6960" w:cs="AdvP6960"/>
                <w:noProof/>
                <w:color w:val="241F20"/>
                <w:szCs w:val="18"/>
                <w:lang w:val="en-AU"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34DA5">
              <w:rPr>
                <w:rFonts w:ascii="AdvP6960" w:hAnsi="AdvP6960" w:cs="AdvP6960"/>
                <w:color w:val="241F20"/>
                <w:szCs w:val="18"/>
                <w:lang w:val="en-AU" w:eastAsia="it-IT"/>
              </w:rPr>
              <w:t xml:space="preserve"> </w:t>
            </w:r>
            <w:r w:rsidRPr="00334DA5">
              <w:rPr>
                <w:rFonts w:cs="Arial"/>
                <w:b/>
                <w:bCs/>
                <w:i/>
                <w:iCs/>
                <w:color w:val="000066"/>
                <w:sz w:val="24"/>
                <w:szCs w:val="24"/>
                <w:lang w:val="en-AU" w:eastAsia="it-IT"/>
              </w:rPr>
              <w:t>CHEMICAL ENGINEERING</w:t>
            </w:r>
            <w:r w:rsidRPr="00334DA5">
              <w:rPr>
                <w:rFonts w:cs="Arial"/>
                <w:b/>
                <w:bCs/>
                <w:i/>
                <w:iCs/>
                <w:color w:val="0033FF"/>
                <w:sz w:val="24"/>
                <w:szCs w:val="24"/>
                <w:lang w:val="en-AU" w:eastAsia="it-IT"/>
              </w:rPr>
              <w:t xml:space="preserve"> </w:t>
            </w:r>
            <w:r w:rsidRPr="00334DA5">
              <w:rPr>
                <w:rFonts w:cs="Arial"/>
                <w:b/>
                <w:bCs/>
                <w:i/>
                <w:iCs/>
                <w:color w:val="666666"/>
                <w:sz w:val="24"/>
                <w:szCs w:val="24"/>
                <w:lang w:val="en-AU" w:eastAsia="it-IT"/>
              </w:rPr>
              <w:t>TRANSACTIONS</w:t>
            </w:r>
            <w:r w:rsidRPr="00334DA5">
              <w:rPr>
                <w:color w:val="333333"/>
                <w:sz w:val="24"/>
                <w:szCs w:val="24"/>
                <w:lang w:val="en-AU" w:eastAsia="it-IT"/>
              </w:rPr>
              <w:t xml:space="preserve"> </w:t>
            </w:r>
            <w:r w:rsidRPr="00334DA5">
              <w:rPr>
                <w:rFonts w:cs="Arial"/>
                <w:b/>
                <w:bCs/>
                <w:i/>
                <w:iCs/>
                <w:color w:val="000066"/>
                <w:sz w:val="27"/>
                <w:szCs w:val="27"/>
                <w:lang w:val="en-AU" w:eastAsia="it-IT"/>
              </w:rPr>
              <w:br/>
            </w:r>
          </w:p>
          <w:p w14:paraId="4B780582" w14:textId="427365E0" w:rsidR="000A03B2" w:rsidRPr="00334DA5" w:rsidRDefault="00A76EFC" w:rsidP="001D21AF">
            <w:pPr>
              <w:tabs>
                <w:tab w:val="left" w:pos="-108"/>
              </w:tabs>
              <w:ind w:left="-108"/>
              <w:rPr>
                <w:rFonts w:cs="Arial"/>
                <w:b/>
                <w:bCs/>
                <w:i/>
                <w:iCs/>
                <w:color w:val="000066"/>
                <w:sz w:val="22"/>
                <w:szCs w:val="22"/>
                <w:lang w:val="en-AU" w:eastAsia="it-IT"/>
              </w:rPr>
            </w:pPr>
            <w:r w:rsidRPr="00334DA5">
              <w:rPr>
                <w:rFonts w:cs="Arial"/>
                <w:b/>
                <w:bCs/>
                <w:i/>
                <w:iCs/>
                <w:color w:val="000066"/>
                <w:sz w:val="22"/>
                <w:szCs w:val="22"/>
                <w:lang w:val="en-AU" w:eastAsia="it-IT"/>
              </w:rPr>
              <w:t xml:space="preserve">VOL. </w:t>
            </w:r>
            <w:r w:rsidR="00EF7CA4" w:rsidRPr="00334DA5">
              <w:rPr>
                <w:rFonts w:cs="Arial"/>
                <w:b/>
                <w:bCs/>
                <w:i/>
                <w:iCs/>
                <w:color w:val="000066"/>
                <w:sz w:val="22"/>
                <w:szCs w:val="22"/>
                <w:lang w:val="en-AU" w:eastAsia="it-IT"/>
              </w:rPr>
              <w:t>xxx</w:t>
            </w:r>
            <w:r w:rsidR="007B48F9" w:rsidRPr="00334DA5">
              <w:rPr>
                <w:rFonts w:cs="Arial"/>
                <w:b/>
                <w:bCs/>
                <w:i/>
                <w:iCs/>
                <w:color w:val="000066"/>
                <w:sz w:val="22"/>
                <w:szCs w:val="22"/>
                <w:lang w:val="en-AU" w:eastAsia="it-IT"/>
              </w:rPr>
              <w:t>,</w:t>
            </w:r>
            <w:r w:rsidR="00FA5F5F" w:rsidRPr="00334DA5">
              <w:rPr>
                <w:rFonts w:cs="Arial"/>
                <w:b/>
                <w:bCs/>
                <w:i/>
                <w:iCs/>
                <w:color w:val="000066"/>
                <w:sz w:val="22"/>
                <w:szCs w:val="22"/>
                <w:lang w:val="en-AU" w:eastAsia="it-IT"/>
              </w:rPr>
              <w:t xml:space="preserve"> 20</w:t>
            </w:r>
            <w:r w:rsidR="00DF5072" w:rsidRPr="00334DA5">
              <w:rPr>
                <w:rFonts w:cs="Arial"/>
                <w:b/>
                <w:bCs/>
                <w:i/>
                <w:iCs/>
                <w:color w:val="000066"/>
                <w:sz w:val="22"/>
                <w:szCs w:val="22"/>
                <w:lang w:val="en-AU" w:eastAsia="it-IT"/>
              </w:rPr>
              <w:t>2</w:t>
            </w:r>
            <w:r w:rsidR="00EF7CA4" w:rsidRPr="00334DA5">
              <w:rPr>
                <w:rFonts w:cs="Arial"/>
                <w:b/>
                <w:bCs/>
                <w:i/>
                <w:iCs/>
                <w:color w:val="000066"/>
                <w:sz w:val="22"/>
                <w:szCs w:val="22"/>
                <w:lang w:val="en-AU" w:eastAsia="it-IT"/>
              </w:rPr>
              <w:t>4</w:t>
            </w:r>
          </w:p>
        </w:tc>
        <w:tc>
          <w:tcPr>
            <w:tcW w:w="1842" w:type="dxa"/>
            <w:tcBorders>
              <w:left w:val="single" w:sz="4" w:space="0" w:color="auto"/>
              <w:bottom w:val="nil"/>
              <w:right w:val="single" w:sz="4" w:space="0" w:color="auto"/>
            </w:tcBorders>
          </w:tcPr>
          <w:p w14:paraId="56782132" w14:textId="77777777" w:rsidR="000A03B2" w:rsidRPr="00334DA5" w:rsidRDefault="000A03B2" w:rsidP="00CD5FE2">
            <w:pPr>
              <w:spacing w:line="140" w:lineRule="atLeast"/>
              <w:jc w:val="right"/>
              <w:rPr>
                <w:rFonts w:cs="Arial"/>
                <w:sz w:val="14"/>
                <w:szCs w:val="14"/>
                <w:lang w:val="en-AU"/>
              </w:rPr>
            </w:pPr>
            <w:r w:rsidRPr="00334DA5">
              <w:rPr>
                <w:rFonts w:cs="Arial"/>
                <w:sz w:val="14"/>
                <w:szCs w:val="14"/>
                <w:lang w:val="en-AU"/>
              </w:rPr>
              <w:t>A publication of</w:t>
            </w:r>
          </w:p>
          <w:p w14:paraId="599E5441" w14:textId="77777777" w:rsidR="000A03B2" w:rsidRPr="00334DA5" w:rsidRDefault="000A03B2" w:rsidP="00CD5FE2">
            <w:pPr>
              <w:jc w:val="right"/>
              <w:rPr>
                <w:lang w:val="en-AU"/>
              </w:rPr>
            </w:pPr>
            <w:r w:rsidRPr="00334DA5">
              <w:rPr>
                <w:noProof/>
                <w:lang w:val="en-AU"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34DA5" w14:paraId="380FA3CD" w14:textId="77777777" w:rsidTr="00D045D5">
        <w:trPr>
          <w:trHeight w:val="567"/>
          <w:jc w:val="center"/>
        </w:trPr>
        <w:tc>
          <w:tcPr>
            <w:tcW w:w="6940" w:type="dxa"/>
            <w:vMerge/>
            <w:tcBorders>
              <w:right w:val="single" w:sz="4" w:space="0" w:color="auto"/>
            </w:tcBorders>
          </w:tcPr>
          <w:p w14:paraId="39E5E4C1" w14:textId="77777777" w:rsidR="000A03B2" w:rsidRPr="00334DA5" w:rsidRDefault="000A03B2" w:rsidP="00CD5FE2">
            <w:pPr>
              <w:tabs>
                <w:tab w:val="left" w:pos="-108"/>
              </w:tabs>
              <w:rPr>
                <w:lang w:val="en-AU"/>
              </w:rPr>
            </w:pPr>
          </w:p>
        </w:tc>
        <w:tc>
          <w:tcPr>
            <w:tcW w:w="1842" w:type="dxa"/>
            <w:tcBorders>
              <w:left w:val="single" w:sz="4" w:space="0" w:color="auto"/>
              <w:bottom w:val="nil"/>
              <w:right w:val="single" w:sz="4" w:space="0" w:color="auto"/>
            </w:tcBorders>
          </w:tcPr>
          <w:p w14:paraId="43858A98" w14:textId="77777777" w:rsidR="000A03B2" w:rsidRPr="00334DA5" w:rsidRDefault="000A03B2" w:rsidP="00CD5FE2">
            <w:pPr>
              <w:spacing w:line="140" w:lineRule="atLeast"/>
              <w:jc w:val="right"/>
              <w:rPr>
                <w:rFonts w:cs="Arial"/>
                <w:sz w:val="14"/>
                <w:szCs w:val="14"/>
                <w:lang w:val="en-AU"/>
              </w:rPr>
            </w:pPr>
            <w:r w:rsidRPr="00334DA5">
              <w:rPr>
                <w:rFonts w:cs="Arial"/>
                <w:sz w:val="14"/>
                <w:szCs w:val="14"/>
                <w:lang w:val="en-AU"/>
              </w:rPr>
              <w:t>The Italian Association</w:t>
            </w:r>
          </w:p>
          <w:p w14:paraId="7522B1D2" w14:textId="77777777" w:rsidR="000A03B2" w:rsidRPr="00334DA5" w:rsidRDefault="000A03B2" w:rsidP="00CD5FE2">
            <w:pPr>
              <w:spacing w:line="140" w:lineRule="atLeast"/>
              <w:jc w:val="right"/>
              <w:rPr>
                <w:rFonts w:cs="Arial"/>
                <w:sz w:val="14"/>
                <w:szCs w:val="14"/>
                <w:lang w:val="en-AU"/>
              </w:rPr>
            </w:pPr>
            <w:r w:rsidRPr="00334DA5">
              <w:rPr>
                <w:rFonts w:cs="Arial"/>
                <w:sz w:val="14"/>
                <w:szCs w:val="14"/>
                <w:lang w:val="en-AU"/>
              </w:rPr>
              <w:t>of Chemical Engineering</w:t>
            </w:r>
          </w:p>
          <w:p w14:paraId="4F0CC5DE" w14:textId="47FDB2FC" w:rsidR="000A03B2" w:rsidRPr="00334DA5" w:rsidRDefault="000D0268" w:rsidP="00CD5FE2">
            <w:pPr>
              <w:spacing w:line="140" w:lineRule="atLeast"/>
              <w:jc w:val="right"/>
              <w:rPr>
                <w:rFonts w:cs="Arial"/>
                <w:sz w:val="13"/>
                <w:szCs w:val="13"/>
                <w:lang w:val="en-AU"/>
              </w:rPr>
            </w:pPr>
            <w:r w:rsidRPr="00334DA5">
              <w:rPr>
                <w:rFonts w:cs="Arial"/>
                <w:sz w:val="13"/>
                <w:szCs w:val="13"/>
                <w:lang w:val="en-AU"/>
              </w:rPr>
              <w:t>Online at www.cetjournal.it</w:t>
            </w:r>
          </w:p>
        </w:tc>
      </w:tr>
      <w:tr w:rsidR="000A03B2" w:rsidRPr="00334DA5" w14:paraId="2D1B7169" w14:textId="77777777" w:rsidTr="00D045D5">
        <w:trPr>
          <w:trHeight w:val="68"/>
          <w:jc w:val="center"/>
        </w:trPr>
        <w:tc>
          <w:tcPr>
            <w:tcW w:w="8782" w:type="dxa"/>
            <w:gridSpan w:val="2"/>
          </w:tcPr>
          <w:p w14:paraId="4B0BB442" w14:textId="1EC8AE73" w:rsidR="00300E56" w:rsidRPr="001964C6" w:rsidRDefault="00300E56" w:rsidP="00B57E6F">
            <w:pPr>
              <w:ind w:left="-107"/>
              <w:outlineLvl w:val="2"/>
              <w:rPr>
                <w:rFonts w:ascii="Tahoma" w:hAnsi="Tahoma" w:cs="Tahoma"/>
                <w:bCs/>
                <w:color w:val="000000"/>
                <w:sz w:val="14"/>
                <w:szCs w:val="14"/>
                <w:lang w:val="it-IT" w:eastAsia="it-IT"/>
              </w:rPr>
            </w:pPr>
            <w:r w:rsidRPr="001964C6">
              <w:rPr>
                <w:rFonts w:ascii="Tahoma" w:hAnsi="Tahoma" w:cs="Tahoma"/>
                <w:iCs/>
                <w:color w:val="333333"/>
                <w:sz w:val="14"/>
                <w:szCs w:val="14"/>
                <w:lang w:val="it-IT" w:eastAsia="it-IT"/>
              </w:rPr>
              <w:t>Guest Editors:</w:t>
            </w:r>
            <w:r w:rsidR="001D21AF" w:rsidRPr="001964C6">
              <w:rPr>
                <w:rFonts w:ascii="Tahoma" w:hAnsi="Tahoma" w:cs="Tahoma"/>
                <w:color w:val="000000"/>
                <w:sz w:val="14"/>
                <w:szCs w:val="14"/>
                <w:shd w:val="clear" w:color="auto" w:fill="FFFFFF"/>
                <w:lang w:val="it-IT"/>
              </w:rPr>
              <w:t xml:space="preserve"> </w:t>
            </w:r>
            <w:r w:rsidR="00323C5F" w:rsidRPr="001964C6">
              <w:rPr>
                <w:sz w:val="14"/>
                <w:szCs w:val="14"/>
                <w:lang w:val="it-IT"/>
              </w:rPr>
              <w:t>Selena Sironi, Laura Capelli</w:t>
            </w:r>
          </w:p>
          <w:p w14:paraId="1B0F1814" w14:textId="00A3611B" w:rsidR="000A03B2" w:rsidRPr="00334DA5" w:rsidRDefault="00FA5F5F" w:rsidP="001D21AF">
            <w:pPr>
              <w:tabs>
                <w:tab w:val="left" w:pos="-108"/>
              </w:tabs>
              <w:spacing w:line="140" w:lineRule="atLeast"/>
              <w:ind w:left="-107"/>
              <w:jc w:val="left"/>
              <w:rPr>
                <w:lang w:val="en-AU"/>
              </w:rPr>
            </w:pPr>
            <w:r w:rsidRPr="00334DA5">
              <w:rPr>
                <w:rFonts w:ascii="Tahoma" w:hAnsi="Tahoma" w:cs="Tahoma"/>
                <w:iCs/>
                <w:color w:val="333333"/>
                <w:sz w:val="14"/>
                <w:szCs w:val="14"/>
                <w:lang w:val="en-AU" w:eastAsia="it-IT"/>
              </w:rPr>
              <w:t>Copyright © 20</w:t>
            </w:r>
            <w:r w:rsidR="00DF5072" w:rsidRPr="00334DA5">
              <w:rPr>
                <w:rFonts w:ascii="Tahoma" w:hAnsi="Tahoma" w:cs="Tahoma"/>
                <w:iCs/>
                <w:color w:val="333333"/>
                <w:sz w:val="14"/>
                <w:szCs w:val="14"/>
                <w:lang w:val="en-AU" w:eastAsia="it-IT"/>
              </w:rPr>
              <w:t>2</w:t>
            </w:r>
            <w:r w:rsidR="00EF7CA4" w:rsidRPr="00334DA5">
              <w:rPr>
                <w:rFonts w:ascii="Tahoma" w:hAnsi="Tahoma" w:cs="Tahoma"/>
                <w:iCs/>
                <w:color w:val="333333"/>
                <w:sz w:val="14"/>
                <w:szCs w:val="14"/>
                <w:lang w:val="en-AU" w:eastAsia="it-IT"/>
              </w:rPr>
              <w:t>4</w:t>
            </w:r>
            <w:r w:rsidR="00904C62" w:rsidRPr="00334DA5">
              <w:rPr>
                <w:rFonts w:ascii="Tahoma" w:hAnsi="Tahoma" w:cs="Tahoma"/>
                <w:iCs/>
                <w:color w:val="333333"/>
                <w:sz w:val="14"/>
                <w:szCs w:val="14"/>
                <w:lang w:val="en-AU" w:eastAsia="it-IT"/>
              </w:rPr>
              <w:t xml:space="preserve">, AIDIC </w:t>
            </w:r>
            <w:proofErr w:type="spellStart"/>
            <w:r w:rsidR="00904C62" w:rsidRPr="00334DA5">
              <w:rPr>
                <w:rFonts w:ascii="Tahoma" w:hAnsi="Tahoma" w:cs="Tahoma"/>
                <w:iCs/>
                <w:color w:val="333333"/>
                <w:sz w:val="14"/>
                <w:szCs w:val="14"/>
                <w:lang w:val="en-AU" w:eastAsia="it-IT"/>
              </w:rPr>
              <w:t>Servizi</w:t>
            </w:r>
            <w:proofErr w:type="spellEnd"/>
            <w:r w:rsidR="00904C62" w:rsidRPr="00334DA5">
              <w:rPr>
                <w:rFonts w:ascii="Tahoma" w:hAnsi="Tahoma" w:cs="Tahoma"/>
                <w:iCs/>
                <w:color w:val="333333"/>
                <w:sz w:val="14"/>
                <w:szCs w:val="14"/>
                <w:lang w:val="en-AU" w:eastAsia="it-IT"/>
              </w:rPr>
              <w:t xml:space="preserve"> </w:t>
            </w:r>
            <w:proofErr w:type="spellStart"/>
            <w:r w:rsidR="00904C62" w:rsidRPr="00334DA5">
              <w:rPr>
                <w:rFonts w:ascii="Tahoma" w:hAnsi="Tahoma" w:cs="Tahoma"/>
                <w:iCs/>
                <w:color w:val="333333"/>
                <w:sz w:val="14"/>
                <w:szCs w:val="14"/>
                <w:lang w:val="en-AU" w:eastAsia="it-IT"/>
              </w:rPr>
              <w:t>S.r.l</w:t>
            </w:r>
            <w:proofErr w:type="spellEnd"/>
            <w:r w:rsidR="00904C62" w:rsidRPr="00334DA5">
              <w:rPr>
                <w:rFonts w:ascii="Tahoma" w:hAnsi="Tahoma" w:cs="Tahoma"/>
                <w:iCs/>
                <w:color w:val="333333"/>
                <w:sz w:val="14"/>
                <w:szCs w:val="14"/>
                <w:lang w:val="en-AU" w:eastAsia="it-IT"/>
              </w:rPr>
              <w:t>.</w:t>
            </w:r>
            <w:r w:rsidR="00300E56" w:rsidRPr="00334DA5">
              <w:rPr>
                <w:rFonts w:ascii="Tahoma" w:hAnsi="Tahoma" w:cs="Tahoma"/>
                <w:iCs/>
                <w:color w:val="333333"/>
                <w:sz w:val="14"/>
                <w:szCs w:val="14"/>
                <w:lang w:val="en-AU" w:eastAsia="it-IT"/>
              </w:rPr>
              <w:br/>
            </w:r>
            <w:r w:rsidR="00300E56" w:rsidRPr="00334DA5">
              <w:rPr>
                <w:rFonts w:ascii="Tahoma" w:hAnsi="Tahoma" w:cs="Tahoma"/>
                <w:b/>
                <w:iCs/>
                <w:color w:val="000000"/>
                <w:sz w:val="14"/>
                <w:szCs w:val="14"/>
                <w:lang w:val="en-AU" w:eastAsia="it-IT"/>
              </w:rPr>
              <w:t>ISBN</w:t>
            </w:r>
            <w:r w:rsidR="00300E56" w:rsidRPr="00334DA5">
              <w:rPr>
                <w:rFonts w:ascii="Tahoma" w:hAnsi="Tahoma" w:cs="Tahoma"/>
                <w:iCs/>
                <w:color w:val="000000"/>
                <w:sz w:val="14"/>
                <w:szCs w:val="14"/>
                <w:lang w:val="en-AU" w:eastAsia="it-IT"/>
              </w:rPr>
              <w:t xml:space="preserve"> </w:t>
            </w:r>
            <w:r w:rsidR="008D32B9" w:rsidRPr="00334DA5">
              <w:rPr>
                <w:rFonts w:ascii="Tahoma" w:hAnsi="Tahoma" w:cs="Tahoma"/>
                <w:sz w:val="14"/>
                <w:szCs w:val="14"/>
                <w:lang w:val="en-AU"/>
              </w:rPr>
              <w:t>97</w:t>
            </w:r>
            <w:r w:rsidR="00EF7CA4" w:rsidRPr="00334DA5">
              <w:rPr>
                <w:rFonts w:ascii="Tahoma" w:hAnsi="Tahoma" w:cs="Tahoma"/>
                <w:sz w:val="14"/>
                <w:szCs w:val="14"/>
                <w:lang w:val="en-AU"/>
              </w:rPr>
              <w:t>9</w:t>
            </w:r>
            <w:r w:rsidR="008D32B9" w:rsidRPr="00334DA5">
              <w:rPr>
                <w:rFonts w:ascii="Tahoma" w:hAnsi="Tahoma" w:cs="Tahoma"/>
                <w:sz w:val="14"/>
                <w:szCs w:val="14"/>
                <w:lang w:val="en-AU"/>
              </w:rPr>
              <w:t>-</w:t>
            </w:r>
            <w:r w:rsidR="00EF7CA4" w:rsidRPr="00334DA5">
              <w:rPr>
                <w:rFonts w:ascii="Tahoma" w:hAnsi="Tahoma" w:cs="Tahoma"/>
                <w:sz w:val="14"/>
                <w:szCs w:val="14"/>
                <w:lang w:val="en-AU"/>
              </w:rPr>
              <w:t>12</w:t>
            </w:r>
            <w:r w:rsidR="008D32B9" w:rsidRPr="00334DA5">
              <w:rPr>
                <w:rFonts w:ascii="Tahoma" w:hAnsi="Tahoma" w:cs="Tahoma"/>
                <w:sz w:val="14"/>
                <w:szCs w:val="14"/>
                <w:lang w:val="en-AU"/>
              </w:rPr>
              <w:t>-</w:t>
            </w:r>
            <w:r w:rsidR="00EF7CA4" w:rsidRPr="00334DA5">
              <w:rPr>
                <w:rFonts w:ascii="Tahoma" w:hAnsi="Tahoma" w:cs="Tahoma"/>
                <w:sz w:val="14"/>
                <w:szCs w:val="14"/>
                <w:lang w:val="en-AU"/>
              </w:rPr>
              <w:t>81206</w:t>
            </w:r>
            <w:r w:rsidR="00D46B7E" w:rsidRPr="00334DA5">
              <w:rPr>
                <w:rFonts w:ascii="Tahoma" w:hAnsi="Tahoma" w:cs="Tahoma"/>
                <w:sz w:val="14"/>
                <w:szCs w:val="14"/>
                <w:lang w:val="en-AU"/>
              </w:rPr>
              <w:t>-</w:t>
            </w:r>
            <w:r w:rsidR="00EF7CA4" w:rsidRPr="00334DA5">
              <w:rPr>
                <w:rFonts w:ascii="Tahoma" w:hAnsi="Tahoma" w:cs="Tahoma"/>
                <w:sz w:val="14"/>
                <w:szCs w:val="14"/>
                <w:lang w:val="en-AU"/>
              </w:rPr>
              <w:t>1</w:t>
            </w:r>
            <w:r w:rsidR="006B5269" w:rsidRPr="00334DA5">
              <w:rPr>
                <w:rFonts w:ascii="Tahoma" w:hAnsi="Tahoma" w:cs="Tahoma"/>
                <w:sz w:val="14"/>
                <w:szCs w:val="14"/>
                <w:lang w:val="en-AU"/>
              </w:rPr>
              <w:t>3</w:t>
            </w:r>
            <w:r w:rsidR="00D46B7E" w:rsidRPr="00334DA5">
              <w:rPr>
                <w:rFonts w:ascii="Tahoma" w:hAnsi="Tahoma" w:cs="Tahoma"/>
                <w:sz w:val="14"/>
                <w:szCs w:val="14"/>
                <w:lang w:val="en-AU"/>
              </w:rPr>
              <w:t>-</w:t>
            </w:r>
            <w:r w:rsidR="006B5269" w:rsidRPr="00334DA5">
              <w:rPr>
                <w:rFonts w:ascii="Tahoma" w:hAnsi="Tahoma" w:cs="Tahoma"/>
                <w:sz w:val="14"/>
                <w:szCs w:val="14"/>
                <w:lang w:val="en-AU"/>
              </w:rPr>
              <w:t>7</w:t>
            </w:r>
            <w:r w:rsidR="007B48F9" w:rsidRPr="00334DA5">
              <w:rPr>
                <w:rFonts w:ascii="Tahoma" w:hAnsi="Tahoma" w:cs="Tahoma"/>
                <w:iCs/>
                <w:color w:val="333333"/>
                <w:sz w:val="14"/>
                <w:szCs w:val="14"/>
                <w:lang w:val="en-AU" w:eastAsia="it-IT"/>
              </w:rPr>
              <w:t>;</w:t>
            </w:r>
            <w:r w:rsidR="00300E56" w:rsidRPr="00334DA5">
              <w:rPr>
                <w:rFonts w:ascii="Tahoma" w:hAnsi="Tahoma" w:cs="Tahoma"/>
                <w:iCs/>
                <w:color w:val="333333"/>
                <w:sz w:val="14"/>
                <w:szCs w:val="14"/>
                <w:lang w:val="en-AU" w:eastAsia="it-IT"/>
              </w:rPr>
              <w:t xml:space="preserve"> </w:t>
            </w:r>
            <w:r w:rsidR="00300E56" w:rsidRPr="00334DA5">
              <w:rPr>
                <w:rFonts w:ascii="Tahoma" w:hAnsi="Tahoma" w:cs="Tahoma"/>
                <w:b/>
                <w:iCs/>
                <w:color w:val="333333"/>
                <w:sz w:val="14"/>
                <w:szCs w:val="14"/>
                <w:lang w:val="en-AU" w:eastAsia="it-IT"/>
              </w:rPr>
              <w:t>ISSN</w:t>
            </w:r>
            <w:r w:rsidR="00300E56" w:rsidRPr="00334DA5">
              <w:rPr>
                <w:rFonts w:ascii="Tahoma" w:hAnsi="Tahoma" w:cs="Tahoma"/>
                <w:iCs/>
                <w:color w:val="333333"/>
                <w:sz w:val="14"/>
                <w:szCs w:val="14"/>
                <w:lang w:val="en-AU" w:eastAsia="it-IT"/>
              </w:rPr>
              <w:t xml:space="preserve"> 2283-9216</w:t>
            </w:r>
          </w:p>
        </w:tc>
      </w:tr>
    </w:tbl>
    <w:p w14:paraId="2E667253" w14:textId="13768E09" w:rsidR="00E978D0" w:rsidRPr="00334DA5" w:rsidRDefault="002D7DBA" w:rsidP="00E978D0">
      <w:pPr>
        <w:pStyle w:val="CETTitle"/>
        <w:rPr>
          <w:lang w:val="en-AU"/>
        </w:rPr>
      </w:pPr>
      <w:r w:rsidRPr="00334DA5">
        <w:rPr>
          <w:lang w:val="en-AU"/>
        </w:rPr>
        <w:t>Sensory A</w:t>
      </w:r>
      <w:r w:rsidR="00D045D5" w:rsidRPr="00334DA5">
        <w:rPr>
          <w:lang w:val="en-AU"/>
        </w:rPr>
        <w:t>ssess</w:t>
      </w:r>
      <w:r w:rsidRPr="00334DA5">
        <w:rPr>
          <w:lang w:val="en-AU"/>
        </w:rPr>
        <w:t>ment</w:t>
      </w:r>
      <w:r w:rsidR="00D045D5" w:rsidRPr="00334DA5">
        <w:rPr>
          <w:lang w:val="en-AU"/>
        </w:rPr>
        <w:t xml:space="preserve"> </w:t>
      </w:r>
      <w:r w:rsidR="00B2773B" w:rsidRPr="00334DA5">
        <w:rPr>
          <w:lang w:val="en-AU"/>
        </w:rPr>
        <w:t xml:space="preserve">of </w:t>
      </w:r>
      <w:r w:rsidR="00D045D5" w:rsidRPr="00334DA5">
        <w:rPr>
          <w:lang w:val="en-AU"/>
        </w:rPr>
        <w:t xml:space="preserve">Odour Emissions in Wastewater Treatment: Implications </w:t>
      </w:r>
      <w:r w:rsidR="0095541E" w:rsidRPr="00334DA5">
        <w:rPr>
          <w:lang w:val="en-AU"/>
        </w:rPr>
        <w:t>for</w:t>
      </w:r>
      <w:r w:rsidR="00D045D5" w:rsidRPr="00334DA5">
        <w:rPr>
          <w:lang w:val="en-AU"/>
        </w:rPr>
        <w:t xml:space="preserve"> Biosolids Management</w:t>
      </w:r>
    </w:p>
    <w:p w14:paraId="628BB07A" w14:textId="279CCB9F" w:rsidR="004D50BD" w:rsidRPr="00334DA5" w:rsidRDefault="004D50BD" w:rsidP="004D50BD">
      <w:pPr>
        <w:pStyle w:val="CETAuthors"/>
        <w:rPr>
          <w:lang w:val="en-AU"/>
        </w:rPr>
      </w:pPr>
      <w:r w:rsidRPr="00334DA5">
        <w:rPr>
          <w:lang w:val="en-AU"/>
        </w:rPr>
        <w:t>Thais N</w:t>
      </w:r>
      <w:r w:rsidR="002A0E84" w:rsidRPr="00334DA5">
        <w:rPr>
          <w:lang w:val="en-AU"/>
        </w:rPr>
        <w:t>.</w:t>
      </w:r>
      <w:r w:rsidRPr="00334DA5">
        <w:rPr>
          <w:lang w:val="en-AU"/>
        </w:rPr>
        <w:t xml:space="preserve"> Guerrero</w:t>
      </w:r>
      <w:r w:rsidRPr="00334DA5">
        <w:rPr>
          <w:vertAlign w:val="superscript"/>
          <w:lang w:val="en-AU"/>
        </w:rPr>
        <w:t>a</w:t>
      </w:r>
      <w:r w:rsidRPr="00334DA5">
        <w:rPr>
          <w:lang w:val="en-AU"/>
        </w:rPr>
        <w:t xml:space="preserve">, Ruth </w:t>
      </w:r>
      <w:r w:rsidR="002A0E84" w:rsidRPr="00334DA5">
        <w:rPr>
          <w:lang w:val="en-AU"/>
        </w:rPr>
        <w:t xml:space="preserve">M. </w:t>
      </w:r>
      <w:r w:rsidRPr="00334DA5">
        <w:rPr>
          <w:lang w:val="en-AU"/>
        </w:rPr>
        <w:t>Fisher</w:t>
      </w:r>
      <w:r w:rsidRPr="00334DA5">
        <w:rPr>
          <w:vertAlign w:val="superscript"/>
          <w:lang w:val="en-AU"/>
        </w:rPr>
        <w:t>a</w:t>
      </w:r>
      <w:r w:rsidR="00C21C0B" w:rsidRPr="00334DA5">
        <w:rPr>
          <w:vertAlign w:val="superscript"/>
          <w:lang w:val="en-AU"/>
        </w:rPr>
        <w:t>,</w:t>
      </w:r>
      <w:r w:rsidR="00C21C0B" w:rsidRPr="00334DA5">
        <w:rPr>
          <w:lang w:val="en-AU"/>
        </w:rPr>
        <w:t>*</w:t>
      </w:r>
      <w:r w:rsidRPr="00334DA5">
        <w:rPr>
          <w:lang w:val="en-AU"/>
        </w:rPr>
        <w:t>, Ademir A</w:t>
      </w:r>
      <w:r w:rsidR="002A0E84" w:rsidRPr="00334DA5">
        <w:rPr>
          <w:lang w:val="en-AU"/>
        </w:rPr>
        <w:t>.</w:t>
      </w:r>
      <w:r w:rsidRPr="00334DA5">
        <w:rPr>
          <w:lang w:val="en-AU"/>
        </w:rPr>
        <w:t xml:space="preserve"> Prata</w:t>
      </w:r>
      <w:r w:rsidRPr="00334DA5">
        <w:rPr>
          <w:vertAlign w:val="superscript"/>
          <w:lang w:val="en-AU"/>
        </w:rPr>
        <w:t>b</w:t>
      </w:r>
      <w:r w:rsidR="00847A48">
        <w:rPr>
          <w:vertAlign w:val="superscript"/>
          <w:lang w:val="en-AU"/>
        </w:rPr>
        <w:t>,c</w:t>
      </w:r>
      <w:r w:rsidRPr="00334DA5">
        <w:rPr>
          <w:lang w:val="en-AU"/>
        </w:rPr>
        <w:t xml:space="preserve"> and Richard Stuetz</w:t>
      </w:r>
      <w:r w:rsidRPr="00334DA5">
        <w:rPr>
          <w:vertAlign w:val="superscript"/>
          <w:lang w:val="en-AU"/>
        </w:rPr>
        <w:t>a</w:t>
      </w:r>
    </w:p>
    <w:p w14:paraId="6B2D21B3" w14:textId="7121721A" w:rsidR="00B57E6F" w:rsidRPr="00334DA5" w:rsidRDefault="00B57E6F" w:rsidP="00B57E6F">
      <w:pPr>
        <w:pStyle w:val="CETAddress"/>
        <w:rPr>
          <w:lang w:val="en-AU"/>
        </w:rPr>
      </w:pPr>
      <w:r w:rsidRPr="00334DA5">
        <w:rPr>
          <w:vertAlign w:val="superscript"/>
          <w:lang w:val="en-AU"/>
        </w:rPr>
        <w:t>a</w:t>
      </w:r>
      <w:r w:rsidR="00537472" w:rsidRPr="00334DA5">
        <w:rPr>
          <w:lang w:val="en-AU"/>
        </w:rPr>
        <w:t xml:space="preserve"> </w:t>
      </w:r>
      <w:r w:rsidR="00E83FC5" w:rsidRPr="00334DA5">
        <w:rPr>
          <w:lang w:val="en-AU"/>
        </w:rPr>
        <w:t>UNSW Water Research Centre, School of Civil and Environmental Engineering, UNSW Sydney, NSW, 2052, Australia</w:t>
      </w:r>
      <w:r w:rsidRPr="00334DA5">
        <w:rPr>
          <w:lang w:val="en-AU"/>
        </w:rPr>
        <w:t xml:space="preserve"> </w:t>
      </w:r>
    </w:p>
    <w:p w14:paraId="3D72B0B0" w14:textId="1AA6232A" w:rsidR="00B57E6F" w:rsidRPr="001964C6" w:rsidRDefault="00B57E6F" w:rsidP="00B57E6F">
      <w:pPr>
        <w:pStyle w:val="CETAddress"/>
        <w:rPr>
          <w:lang w:val="pt-BR"/>
        </w:rPr>
      </w:pPr>
      <w:r w:rsidRPr="001964C6">
        <w:rPr>
          <w:vertAlign w:val="superscript"/>
          <w:lang w:val="pt-BR"/>
        </w:rPr>
        <w:t>b</w:t>
      </w:r>
      <w:r w:rsidR="00587063" w:rsidRPr="001964C6">
        <w:rPr>
          <w:lang w:val="pt-BR"/>
        </w:rPr>
        <w:t xml:space="preserve"> Programa de Pós-Graduação em Recurso Hídricos e Saneamento, Centro de Tecnologia, Federal University of Alagoas – UFAL, Maceió, Brazil</w:t>
      </w:r>
      <w:r w:rsidRPr="001964C6">
        <w:rPr>
          <w:lang w:val="pt-BR"/>
        </w:rPr>
        <w:t xml:space="preserve"> </w:t>
      </w:r>
    </w:p>
    <w:p w14:paraId="15ECB944" w14:textId="542C912F" w:rsidR="00B579BA" w:rsidRPr="001964C6" w:rsidRDefault="00B579BA" w:rsidP="00B57E6F">
      <w:pPr>
        <w:pStyle w:val="CETAddress"/>
        <w:rPr>
          <w:lang w:val="pt-BR"/>
        </w:rPr>
      </w:pPr>
      <w:r w:rsidRPr="001964C6">
        <w:rPr>
          <w:vertAlign w:val="superscript"/>
          <w:lang w:val="pt-BR"/>
        </w:rPr>
        <w:t>c</w:t>
      </w:r>
      <w:r w:rsidRPr="001964C6">
        <w:rPr>
          <w:lang w:val="pt-BR"/>
        </w:rPr>
        <w:t xml:space="preserve"> Department of Environmental Engineering, Universidade Estadual Paulista “Júlio de Mesquita Filho” – UNESP/Rio Claro, Brazil</w:t>
      </w:r>
    </w:p>
    <w:p w14:paraId="440D8639" w14:textId="77777777" w:rsidR="0095541E" w:rsidRPr="00334DA5" w:rsidRDefault="0095541E" w:rsidP="0095541E">
      <w:pPr>
        <w:pStyle w:val="CETAddress"/>
        <w:rPr>
          <w:lang w:val="en-AU"/>
        </w:rPr>
      </w:pPr>
      <w:r w:rsidRPr="00334DA5">
        <w:rPr>
          <w:lang w:val="en-AU"/>
        </w:rPr>
        <w:t>*ruth.fisher@unsw.edu.au</w:t>
      </w:r>
    </w:p>
    <w:p w14:paraId="73F1267A" w14:textId="255A2745" w:rsidR="00B57E6F" w:rsidRPr="00334DA5" w:rsidRDefault="00B57E6F" w:rsidP="00B57E6F">
      <w:pPr>
        <w:pStyle w:val="CETemail"/>
        <w:rPr>
          <w:lang w:val="en-AU"/>
        </w:rPr>
      </w:pPr>
    </w:p>
    <w:p w14:paraId="541A122F" w14:textId="12E4A6CD" w:rsidR="00201CF3" w:rsidRPr="00334DA5" w:rsidRDefault="00BE3BAD" w:rsidP="00DA31F4">
      <w:pPr>
        <w:pStyle w:val="CETnumberingbullets"/>
        <w:numPr>
          <w:ilvl w:val="0"/>
          <w:numId w:val="0"/>
        </w:numPr>
        <w:ind w:left="340"/>
        <w:jc w:val="both"/>
        <w:rPr>
          <w:bCs/>
          <w:lang w:val="en-AU"/>
        </w:rPr>
      </w:pPr>
      <w:bookmarkStart w:id="0" w:name="_Hlk495475023"/>
      <w:r w:rsidRPr="00334DA5">
        <w:rPr>
          <w:bCs/>
          <w:lang w:val="en-AU"/>
        </w:rPr>
        <w:t xml:space="preserve">The beneficial reuse and recovery of biosolids is an attractive option instead of disposal. However, odour emissions present significant challenges to land application of biosolids, increasing operational costs and reducing community acceptance. This study aimed to assess the influence of conveying and storage conditions in wastewater treatment plants on the sensory impact from biosolids. For sensory assessment, samples of anaerobically digested biosolids were collected after centrifuge and during storage out-loading. The emissions were extracted </w:t>
      </w:r>
      <w:r w:rsidR="00884CB8" w:rsidRPr="00334DA5">
        <w:rPr>
          <w:bCs/>
          <w:lang w:val="en-AU"/>
        </w:rPr>
        <w:t xml:space="preserve">over 15 days </w:t>
      </w:r>
      <w:r w:rsidRPr="00334DA5">
        <w:rPr>
          <w:bCs/>
          <w:lang w:val="en-AU"/>
        </w:rPr>
        <w:t>using a dynamic flux chamber and sensory analysis conducted using an ODP coupled to a TD-GC-MS. Odour descriptors and intensities (from 1 – weak to 4 – strong) were evaluated by expert panellists, providing insights into the sensory aspects of odour emissions. The ODP results showed variations in the number of occurrences, intensity and modified frequency of odour events across the stages of wastewater solids processing and laboratory storage. Conveying could potentially impact the release of volatile compounds due to the mechanical agitation that can aerate and disturb the structure and surface of the biosolids. On the other hand, storage can accelerate biological and chemical processes as a result of the development of anaerobic conditions leading to subsequent odour generation. The interplay between wastewater treatment processes and odour emissions is complex and requires targeted strategies. The application of sensorial analysis contributes to valuable insights into understanding and managing odour emissions in wastewater treatment plants, offering potential avenues for optimizing operational parameters to benefit biosolids reuse initiatives.</w:t>
      </w:r>
    </w:p>
    <w:p w14:paraId="07386E2B" w14:textId="77777777" w:rsidR="00201CF3" w:rsidRPr="00334DA5" w:rsidRDefault="00201CF3" w:rsidP="00201CF3">
      <w:pPr>
        <w:pStyle w:val="CETnumberingbullets"/>
        <w:numPr>
          <w:ilvl w:val="0"/>
          <w:numId w:val="0"/>
        </w:numPr>
        <w:ind w:left="340"/>
        <w:rPr>
          <w:b/>
          <w:lang w:val="en-AU"/>
        </w:rPr>
      </w:pPr>
    </w:p>
    <w:p w14:paraId="6A18A3D9" w14:textId="07100A3B" w:rsidR="00201CF3" w:rsidRPr="00334DA5" w:rsidRDefault="00201CF3" w:rsidP="00201CF3">
      <w:pPr>
        <w:pStyle w:val="CETnumberingbullets"/>
        <w:numPr>
          <w:ilvl w:val="0"/>
          <w:numId w:val="0"/>
        </w:numPr>
        <w:ind w:left="340"/>
        <w:rPr>
          <w:bCs/>
          <w:lang w:val="en-AU"/>
        </w:rPr>
      </w:pPr>
      <w:r w:rsidRPr="00334DA5">
        <w:rPr>
          <w:bCs/>
          <w:i/>
          <w:iCs/>
          <w:lang w:val="en-AU"/>
        </w:rPr>
        <w:t>Keywords:</w:t>
      </w:r>
      <w:r w:rsidRPr="00334DA5">
        <w:rPr>
          <w:b/>
          <w:lang w:val="en-AU"/>
        </w:rPr>
        <w:t xml:space="preserve"> </w:t>
      </w:r>
      <w:r w:rsidRPr="00334DA5">
        <w:rPr>
          <w:bCs/>
          <w:lang w:val="en-AU"/>
        </w:rPr>
        <w:t xml:space="preserve">Wastewater sludge; Anaerobic digestion; Biosolids; Beneficial reuse; Land application; Gaseous emissions; </w:t>
      </w:r>
      <w:r w:rsidR="00887A2A">
        <w:rPr>
          <w:bCs/>
          <w:lang w:val="en-AU"/>
        </w:rPr>
        <w:t>Sensory</w:t>
      </w:r>
      <w:r w:rsidRPr="00334DA5">
        <w:rPr>
          <w:bCs/>
          <w:lang w:val="en-AU"/>
        </w:rPr>
        <w:t xml:space="preserve"> emissions</w:t>
      </w:r>
      <w:r w:rsidR="003E17A9" w:rsidRPr="00334DA5">
        <w:rPr>
          <w:bCs/>
          <w:lang w:val="en-AU"/>
        </w:rPr>
        <w:t xml:space="preserve">; </w:t>
      </w:r>
      <w:r w:rsidR="005A7ECF">
        <w:rPr>
          <w:bCs/>
          <w:lang w:val="en-AU"/>
        </w:rPr>
        <w:t xml:space="preserve">Sensory analysis; </w:t>
      </w:r>
      <w:r w:rsidR="003E17A9" w:rsidRPr="00334DA5">
        <w:rPr>
          <w:bCs/>
          <w:lang w:val="en-AU"/>
        </w:rPr>
        <w:t>Odour detection port</w:t>
      </w:r>
      <w:r w:rsidRPr="00334DA5">
        <w:rPr>
          <w:bCs/>
          <w:lang w:val="en-AU"/>
        </w:rPr>
        <w:t>.</w:t>
      </w:r>
    </w:p>
    <w:p w14:paraId="2E8F0DED" w14:textId="77777777" w:rsidR="00201CF3" w:rsidRPr="00334DA5" w:rsidRDefault="00201CF3" w:rsidP="00DA31F4">
      <w:pPr>
        <w:pStyle w:val="CETnumberingbullets"/>
        <w:numPr>
          <w:ilvl w:val="0"/>
          <w:numId w:val="0"/>
        </w:numPr>
        <w:ind w:left="340"/>
        <w:rPr>
          <w:b/>
          <w:lang w:val="en-AU"/>
        </w:rPr>
      </w:pPr>
    </w:p>
    <w:bookmarkEnd w:id="0"/>
    <w:p w14:paraId="476B2F2E" w14:textId="77777777" w:rsidR="00600535" w:rsidRPr="00334DA5" w:rsidRDefault="00600535" w:rsidP="00DE3700">
      <w:pPr>
        <w:pStyle w:val="CETHeading1"/>
        <w:rPr>
          <w:lang w:val="en-AU"/>
        </w:rPr>
      </w:pPr>
      <w:r w:rsidRPr="00334DA5">
        <w:rPr>
          <w:lang w:val="en-AU"/>
        </w:rPr>
        <w:t>Introduction</w:t>
      </w:r>
    </w:p>
    <w:p w14:paraId="5741900F" w14:textId="3568524B" w:rsidR="00453E24" w:rsidRPr="00334DA5" w:rsidRDefault="009A4ABC" w:rsidP="00E26ED8">
      <w:pPr>
        <w:pStyle w:val="CETBodytext"/>
        <w:rPr>
          <w:lang w:val="en-AU"/>
        </w:rPr>
      </w:pPr>
      <w:r w:rsidRPr="00334DA5">
        <w:rPr>
          <w:lang w:val="en-AU"/>
        </w:rPr>
        <w:t xml:space="preserve">Anaerobic digestion is </w:t>
      </w:r>
      <w:r w:rsidR="00AB577F" w:rsidRPr="00334DA5">
        <w:rPr>
          <w:lang w:val="en-AU"/>
        </w:rPr>
        <w:t>a</w:t>
      </w:r>
      <w:r w:rsidR="00A54617" w:rsidRPr="00334DA5">
        <w:rPr>
          <w:lang w:val="en-AU"/>
        </w:rPr>
        <w:t xml:space="preserve"> process </w:t>
      </w:r>
      <w:r w:rsidR="00237113" w:rsidRPr="00334DA5">
        <w:rPr>
          <w:lang w:val="en-AU"/>
        </w:rPr>
        <w:t>largely used to manage wastewater sludge and generate biosolids</w:t>
      </w:r>
      <w:r w:rsidR="008A3267" w:rsidRPr="00334DA5">
        <w:rPr>
          <w:lang w:val="en-AU"/>
        </w:rPr>
        <w:t xml:space="preserve"> (Fisher et al., 2019)</w:t>
      </w:r>
      <w:r w:rsidR="00312D6A" w:rsidRPr="00334DA5">
        <w:rPr>
          <w:lang w:val="en-AU"/>
        </w:rPr>
        <w:t xml:space="preserve">. </w:t>
      </w:r>
      <w:r w:rsidR="00737DA4" w:rsidRPr="00334DA5">
        <w:rPr>
          <w:lang w:val="en-AU"/>
        </w:rPr>
        <w:t>Land application of biosolids is a better alternative than disposal in landfill or incineration</w:t>
      </w:r>
      <w:r w:rsidR="00C35F5F" w:rsidRPr="00334DA5">
        <w:rPr>
          <w:lang w:val="en-AU"/>
        </w:rPr>
        <w:t xml:space="preserve">, </w:t>
      </w:r>
      <w:r w:rsidR="007F0039" w:rsidRPr="00334DA5">
        <w:rPr>
          <w:lang w:val="en-AU"/>
        </w:rPr>
        <w:t xml:space="preserve">because </w:t>
      </w:r>
      <w:r w:rsidR="00FD5DC5" w:rsidRPr="00334DA5">
        <w:rPr>
          <w:lang w:val="en-AU"/>
        </w:rPr>
        <w:t xml:space="preserve">of its </w:t>
      </w:r>
      <w:r w:rsidR="008A0196" w:rsidRPr="00334DA5">
        <w:rPr>
          <w:lang w:val="en-AU"/>
        </w:rPr>
        <w:t>agricultural, environmental, economic, and social benefits</w:t>
      </w:r>
      <w:r w:rsidR="004155FE" w:rsidRPr="00334DA5">
        <w:rPr>
          <w:lang w:val="en-AU"/>
        </w:rPr>
        <w:t>,</w:t>
      </w:r>
      <w:r w:rsidR="00533EF8" w:rsidRPr="00334DA5">
        <w:rPr>
          <w:lang w:val="en-AU"/>
        </w:rPr>
        <w:t xml:space="preserve"> promoting </w:t>
      </w:r>
      <w:r w:rsidR="00C56052" w:rsidRPr="00334DA5">
        <w:rPr>
          <w:lang w:val="en-AU"/>
        </w:rPr>
        <w:t xml:space="preserve">the cycling of </w:t>
      </w:r>
      <w:r w:rsidR="007F0039" w:rsidRPr="00334DA5">
        <w:rPr>
          <w:lang w:val="en-AU"/>
        </w:rPr>
        <w:t>water</w:t>
      </w:r>
      <w:r w:rsidR="00C56052" w:rsidRPr="00334DA5">
        <w:rPr>
          <w:lang w:val="en-AU"/>
        </w:rPr>
        <w:t xml:space="preserve"> and</w:t>
      </w:r>
      <w:r w:rsidR="007F0039" w:rsidRPr="00334DA5">
        <w:rPr>
          <w:lang w:val="en-AU"/>
        </w:rPr>
        <w:t xml:space="preserve"> nutrients and </w:t>
      </w:r>
      <w:r w:rsidR="00C56052" w:rsidRPr="00334DA5">
        <w:rPr>
          <w:lang w:val="en-AU"/>
        </w:rPr>
        <w:t xml:space="preserve">reducing </w:t>
      </w:r>
      <w:r w:rsidR="007F0039" w:rsidRPr="00334DA5">
        <w:rPr>
          <w:lang w:val="en-AU"/>
        </w:rPr>
        <w:t>the demand for raw materials</w:t>
      </w:r>
      <w:r w:rsidR="00FF3ECB" w:rsidRPr="00334DA5">
        <w:rPr>
          <w:lang w:val="en-AU"/>
        </w:rPr>
        <w:t xml:space="preserve">. </w:t>
      </w:r>
      <w:r w:rsidR="005C1277" w:rsidRPr="00334DA5">
        <w:rPr>
          <w:lang w:val="en-AU"/>
        </w:rPr>
        <w:t xml:space="preserve">However, biosolids produce </w:t>
      </w:r>
      <w:r w:rsidR="004155FE" w:rsidRPr="00334DA5">
        <w:rPr>
          <w:lang w:val="en-AU"/>
        </w:rPr>
        <w:t>odour</w:t>
      </w:r>
      <w:r w:rsidR="005C1277" w:rsidRPr="00334DA5">
        <w:rPr>
          <w:lang w:val="en-AU"/>
        </w:rPr>
        <w:t xml:space="preserve"> emissions that can impact the </w:t>
      </w:r>
      <w:r w:rsidR="006D6C8C" w:rsidRPr="00334DA5">
        <w:rPr>
          <w:lang w:val="en-AU"/>
        </w:rPr>
        <w:t>surrounding</w:t>
      </w:r>
      <w:r w:rsidR="005C1277" w:rsidRPr="00334DA5">
        <w:rPr>
          <w:lang w:val="en-AU"/>
        </w:rPr>
        <w:t xml:space="preserve"> community.</w:t>
      </w:r>
      <w:r w:rsidR="00505178" w:rsidRPr="00334DA5">
        <w:rPr>
          <w:lang w:val="en-AU"/>
        </w:rPr>
        <w:t xml:space="preserve"> </w:t>
      </w:r>
      <w:r w:rsidR="00E078AF" w:rsidRPr="00334DA5">
        <w:rPr>
          <w:lang w:val="en-AU"/>
        </w:rPr>
        <w:t>As the human nose detects these odorants at very low concentrations, communities are often unwilling to tolerate the odours associated with biosolids</w:t>
      </w:r>
      <w:r w:rsidR="00167FE2" w:rsidRPr="00334DA5">
        <w:rPr>
          <w:lang w:val="en-AU"/>
        </w:rPr>
        <w:t xml:space="preserve">. </w:t>
      </w:r>
      <w:r w:rsidR="00E078AF" w:rsidRPr="00334DA5">
        <w:rPr>
          <w:lang w:val="en-AU"/>
        </w:rPr>
        <w:t xml:space="preserve"> </w:t>
      </w:r>
      <w:r w:rsidR="000B6052" w:rsidRPr="00334DA5">
        <w:rPr>
          <w:lang w:val="en-AU"/>
        </w:rPr>
        <w:t>Even when considered more of a nuisance than a health risk</w:t>
      </w:r>
      <w:r w:rsidR="00B26392" w:rsidRPr="00334DA5">
        <w:rPr>
          <w:lang w:val="en-AU"/>
        </w:rPr>
        <w:t xml:space="preserve"> (</w:t>
      </w:r>
      <w:r w:rsidR="00AD66AF" w:rsidRPr="00334DA5">
        <w:rPr>
          <w:lang w:val="en-AU"/>
        </w:rPr>
        <w:t>Fisher</w:t>
      </w:r>
      <w:r w:rsidR="00B26392" w:rsidRPr="00334DA5">
        <w:rPr>
          <w:lang w:val="en-AU"/>
        </w:rPr>
        <w:t xml:space="preserve"> et al., 201</w:t>
      </w:r>
      <w:r w:rsidR="00AD66AF" w:rsidRPr="00334DA5">
        <w:rPr>
          <w:lang w:val="en-AU"/>
        </w:rPr>
        <w:t>8</w:t>
      </w:r>
      <w:r w:rsidR="00B26392" w:rsidRPr="00334DA5">
        <w:rPr>
          <w:lang w:val="en-AU"/>
        </w:rPr>
        <w:t>)</w:t>
      </w:r>
      <w:r w:rsidRPr="00334DA5">
        <w:rPr>
          <w:lang w:val="en-AU"/>
        </w:rPr>
        <w:t xml:space="preserve">. </w:t>
      </w:r>
      <w:r w:rsidR="00924934" w:rsidRPr="00334DA5">
        <w:rPr>
          <w:lang w:val="en-AU"/>
        </w:rPr>
        <w:t xml:space="preserve">Odour impact thus poses a challenge to beneficial reuse of biosolids, increasing operational costs and reducing community acceptance. </w:t>
      </w:r>
      <w:r w:rsidR="00A66DE8" w:rsidRPr="00334DA5">
        <w:rPr>
          <w:lang w:val="en-AU"/>
        </w:rPr>
        <w:t xml:space="preserve">Shearing of biosolids, which can occur during conveyance, loading/unloading, spreading, and incorporation, can affect the generation of odorants </w:t>
      </w:r>
      <w:r w:rsidR="0076030F" w:rsidRPr="00334DA5">
        <w:rPr>
          <w:lang w:val="en-AU"/>
        </w:rPr>
        <w:t>(Chen et al., 2019)</w:t>
      </w:r>
      <w:r w:rsidR="00297129" w:rsidRPr="00334DA5">
        <w:rPr>
          <w:lang w:val="en-AU"/>
        </w:rPr>
        <w:t xml:space="preserve">. </w:t>
      </w:r>
      <w:r w:rsidR="003410BF" w:rsidRPr="00334DA5">
        <w:rPr>
          <w:lang w:val="en-AU"/>
        </w:rPr>
        <w:t>Nonetheless, there are still many unknowns regarding the effects of these processes on odour emissions from biosolids, including sensorial implications</w:t>
      </w:r>
      <w:r w:rsidR="00731C3D" w:rsidRPr="00334DA5">
        <w:rPr>
          <w:lang w:val="en-AU"/>
        </w:rPr>
        <w:t>.</w:t>
      </w:r>
      <w:r w:rsidR="003410BF" w:rsidRPr="00334DA5">
        <w:rPr>
          <w:lang w:val="en-AU"/>
        </w:rPr>
        <w:t xml:space="preserve"> </w:t>
      </w:r>
      <w:r w:rsidR="00C33A23" w:rsidRPr="00334DA5">
        <w:rPr>
          <w:lang w:val="en-AU"/>
        </w:rPr>
        <w:t>T</w:t>
      </w:r>
      <w:r w:rsidR="00505178" w:rsidRPr="00334DA5">
        <w:rPr>
          <w:lang w:val="en-AU"/>
        </w:rPr>
        <w:t>his research proposes to</w:t>
      </w:r>
      <w:r w:rsidR="00A11633" w:rsidRPr="00334DA5">
        <w:rPr>
          <w:lang w:val="en-AU"/>
        </w:rPr>
        <w:t xml:space="preserve"> </w:t>
      </w:r>
      <w:r w:rsidR="00E26ED8" w:rsidRPr="00334DA5">
        <w:rPr>
          <w:lang w:val="en-AU"/>
        </w:rPr>
        <w:t xml:space="preserve">assess the impact of </w:t>
      </w:r>
      <w:r w:rsidR="00E26ED8" w:rsidRPr="00334DA5">
        <w:rPr>
          <w:lang w:val="en-AU"/>
        </w:rPr>
        <w:lastRenderedPageBreak/>
        <w:t>wastewater treatment processes, including conveying and storage conditions, on odour emissions from biosolids</w:t>
      </w:r>
      <w:r w:rsidR="002C1AD2" w:rsidRPr="00334DA5">
        <w:rPr>
          <w:lang w:val="en-AU"/>
        </w:rPr>
        <w:t xml:space="preserve"> </w:t>
      </w:r>
      <w:r w:rsidR="00A11633" w:rsidRPr="00334DA5">
        <w:rPr>
          <w:lang w:val="en-AU"/>
        </w:rPr>
        <w:t xml:space="preserve">using a </w:t>
      </w:r>
      <w:r w:rsidR="001309B2" w:rsidRPr="00334DA5">
        <w:rPr>
          <w:lang w:val="en-AU"/>
        </w:rPr>
        <w:t>sensorial method</w:t>
      </w:r>
      <w:r w:rsidR="00A11633" w:rsidRPr="00334DA5">
        <w:rPr>
          <w:lang w:val="en-AU"/>
        </w:rPr>
        <w:t xml:space="preserve">. </w:t>
      </w:r>
    </w:p>
    <w:p w14:paraId="4C4B90B4" w14:textId="41161E29" w:rsidR="003A5095" w:rsidRPr="00334DA5" w:rsidRDefault="003A5095" w:rsidP="003A5095">
      <w:pPr>
        <w:pStyle w:val="CETHeading1"/>
        <w:rPr>
          <w:lang w:val="en-AU"/>
        </w:rPr>
      </w:pPr>
      <w:r w:rsidRPr="00334DA5">
        <w:rPr>
          <w:lang w:val="en-AU"/>
        </w:rPr>
        <w:t>Methods</w:t>
      </w:r>
    </w:p>
    <w:p w14:paraId="0636B784" w14:textId="2B3E7C1F" w:rsidR="00453E24" w:rsidRPr="00334DA5" w:rsidRDefault="005D0627" w:rsidP="00453E24">
      <w:pPr>
        <w:pStyle w:val="CETheadingx"/>
        <w:rPr>
          <w:lang w:val="en-AU"/>
        </w:rPr>
      </w:pPr>
      <w:r w:rsidRPr="00334DA5">
        <w:rPr>
          <w:lang w:val="en-AU"/>
        </w:rPr>
        <w:t>Sampling protocol</w:t>
      </w:r>
    </w:p>
    <w:p w14:paraId="4029F92A" w14:textId="3426AF2F" w:rsidR="000479B8" w:rsidRPr="00334DA5" w:rsidRDefault="003E5D63" w:rsidP="00453E24">
      <w:pPr>
        <w:pStyle w:val="CETBodytext"/>
        <w:rPr>
          <w:lang w:val="en-AU"/>
        </w:rPr>
      </w:pPr>
      <w:r w:rsidRPr="00334DA5">
        <w:rPr>
          <w:lang w:val="en-AU"/>
        </w:rPr>
        <w:t xml:space="preserve">Samples of biosolids were collected from a wastewater treatment plant </w:t>
      </w:r>
      <w:r w:rsidR="00F200EB" w:rsidRPr="00334DA5">
        <w:rPr>
          <w:lang w:val="en-AU"/>
        </w:rPr>
        <w:t xml:space="preserve">(WWTP) </w:t>
      </w:r>
      <w:r w:rsidRPr="00334DA5">
        <w:rPr>
          <w:lang w:val="en-AU"/>
        </w:rPr>
        <w:t>in New South Wales, Australia</w:t>
      </w:r>
      <w:r w:rsidR="00181915" w:rsidRPr="00334DA5">
        <w:rPr>
          <w:lang w:val="en-AU"/>
        </w:rPr>
        <w:t xml:space="preserve">. </w:t>
      </w:r>
      <w:r w:rsidR="00EC0315" w:rsidRPr="00334DA5">
        <w:rPr>
          <w:lang w:val="en-AU"/>
        </w:rPr>
        <w:t xml:space="preserve">The </w:t>
      </w:r>
      <w:r w:rsidR="00F200EB" w:rsidRPr="00334DA5">
        <w:rPr>
          <w:lang w:val="en-AU"/>
        </w:rPr>
        <w:t xml:space="preserve">WWTP </w:t>
      </w:r>
      <w:r w:rsidR="007348B6" w:rsidRPr="00334DA5">
        <w:rPr>
          <w:lang w:val="en-AU"/>
        </w:rPr>
        <w:t>produces biosolids through</w:t>
      </w:r>
      <w:r w:rsidR="00F200EB" w:rsidRPr="00334DA5">
        <w:rPr>
          <w:lang w:val="en-AU"/>
        </w:rPr>
        <w:t xml:space="preserve"> </w:t>
      </w:r>
      <w:r w:rsidR="00A04B2E" w:rsidRPr="00334DA5">
        <w:rPr>
          <w:lang w:val="en-AU"/>
        </w:rPr>
        <w:t xml:space="preserve">anaerobic digestion of </w:t>
      </w:r>
      <w:r w:rsidR="00602FEE" w:rsidRPr="00334DA5">
        <w:rPr>
          <w:lang w:val="en-AU"/>
        </w:rPr>
        <w:t xml:space="preserve">primary </w:t>
      </w:r>
      <w:r w:rsidR="00A04B2E" w:rsidRPr="00334DA5">
        <w:rPr>
          <w:lang w:val="en-AU"/>
        </w:rPr>
        <w:t>sludge</w:t>
      </w:r>
      <w:r w:rsidR="00307CE5" w:rsidRPr="00334DA5">
        <w:rPr>
          <w:lang w:val="en-AU"/>
        </w:rPr>
        <w:t xml:space="preserve"> </w:t>
      </w:r>
      <w:r w:rsidR="00221B98" w:rsidRPr="00334DA5">
        <w:rPr>
          <w:lang w:val="en-AU"/>
        </w:rPr>
        <w:t xml:space="preserve">followed by dewatering </w:t>
      </w:r>
      <w:r w:rsidR="00253B79" w:rsidRPr="00334DA5">
        <w:rPr>
          <w:lang w:val="en-AU"/>
        </w:rPr>
        <w:t>via</w:t>
      </w:r>
      <w:r w:rsidR="0030447B" w:rsidRPr="00334DA5">
        <w:rPr>
          <w:lang w:val="en-AU"/>
        </w:rPr>
        <w:t xml:space="preserve"> </w:t>
      </w:r>
      <w:r w:rsidR="00A55D25" w:rsidRPr="00334DA5">
        <w:rPr>
          <w:lang w:val="en-AU"/>
        </w:rPr>
        <w:t xml:space="preserve">rotational </w:t>
      </w:r>
      <w:r w:rsidR="00221B98" w:rsidRPr="00334DA5">
        <w:rPr>
          <w:lang w:val="en-AU"/>
        </w:rPr>
        <w:t>centrifuge.</w:t>
      </w:r>
      <w:r w:rsidR="00817FA2" w:rsidRPr="00334DA5">
        <w:rPr>
          <w:lang w:val="en-AU"/>
        </w:rPr>
        <w:t xml:space="preserve"> </w:t>
      </w:r>
      <w:r w:rsidR="00512AA0" w:rsidRPr="00334DA5">
        <w:rPr>
          <w:lang w:val="en-AU"/>
        </w:rPr>
        <w:t>Conveying is used to transport the biosolids from the centrifuge to the s</w:t>
      </w:r>
      <w:r w:rsidR="00E25BA6" w:rsidRPr="00334DA5">
        <w:rPr>
          <w:lang w:val="en-AU"/>
        </w:rPr>
        <w:t xml:space="preserve">torage </w:t>
      </w:r>
      <w:r w:rsidR="00E85C6C" w:rsidRPr="00334DA5">
        <w:rPr>
          <w:lang w:val="en-AU"/>
        </w:rPr>
        <w:t>sealed silo</w:t>
      </w:r>
      <w:r w:rsidR="001C7A99">
        <w:rPr>
          <w:lang w:val="en-AU"/>
        </w:rPr>
        <w:t>, and during out-loading from the silo to</w:t>
      </w:r>
      <w:r w:rsidR="004F3C34">
        <w:rPr>
          <w:lang w:val="en-AU"/>
        </w:rPr>
        <w:t xml:space="preserve"> </w:t>
      </w:r>
      <w:r w:rsidR="00D2398F">
        <w:rPr>
          <w:lang w:val="en-AU"/>
        </w:rPr>
        <w:t xml:space="preserve">beneficial reuse </w:t>
      </w:r>
      <w:r w:rsidR="001C7A99">
        <w:rPr>
          <w:lang w:val="en-AU"/>
        </w:rPr>
        <w:t>trucks</w:t>
      </w:r>
      <w:r w:rsidR="00E85C6C" w:rsidRPr="00334DA5">
        <w:rPr>
          <w:lang w:val="en-AU"/>
        </w:rPr>
        <w:t xml:space="preserve">. </w:t>
      </w:r>
      <w:r w:rsidR="001C5B41" w:rsidRPr="00334DA5">
        <w:rPr>
          <w:lang w:val="en-AU"/>
        </w:rPr>
        <w:t>Biosolids were sampled from t</w:t>
      </w:r>
      <w:r w:rsidR="00817FA2" w:rsidRPr="00334DA5">
        <w:rPr>
          <w:lang w:val="en-AU"/>
        </w:rPr>
        <w:t>wo collection points</w:t>
      </w:r>
      <w:r w:rsidR="008C3151" w:rsidRPr="00334DA5">
        <w:rPr>
          <w:lang w:val="en-AU"/>
        </w:rPr>
        <w:t xml:space="preserve">, after centrifuge and during out-loading, </w:t>
      </w:r>
      <w:r w:rsidR="00817FA2" w:rsidRPr="00334DA5">
        <w:rPr>
          <w:lang w:val="en-AU"/>
        </w:rPr>
        <w:t>to</w:t>
      </w:r>
      <w:r w:rsidR="00BE5872" w:rsidRPr="00334DA5">
        <w:rPr>
          <w:lang w:val="en-AU"/>
        </w:rPr>
        <w:t xml:space="preserve"> study the effect of conveying</w:t>
      </w:r>
      <w:r w:rsidR="00CD416D" w:rsidRPr="00334DA5">
        <w:rPr>
          <w:lang w:val="en-AU"/>
        </w:rPr>
        <w:t xml:space="preserve"> and storage conditions on </w:t>
      </w:r>
      <w:r w:rsidR="0028523C" w:rsidRPr="00334DA5">
        <w:rPr>
          <w:lang w:val="en-AU"/>
        </w:rPr>
        <w:t>sensory</w:t>
      </w:r>
      <w:r w:rsidR="00CD416D" w:rsidRPr="00334DA5">
        <w:rPr>
          <w:lang w:val="en-AU"/>
        </w:rPr>
        <w:t xml:space="preserve"> emissions from biosolids</w:t>
      </w:r>
      <w:r w:rsidR="00F2126D" w:rsidRPr="00334DA5">
        <w:rPr>
          <w:lang w:val="en-AU"/>
        </w:rPr>
        <w:t>.</w:t>
      </w:r>
      <w:r w:rsidR="00CD416D" w:rsidRPr="00334DA5">
        <w:rPr>
          <w:lang w:val="en-AU"/>
        </w:rPr>
        <w:t xml:space="preserve"> </w:t>
      </w:r>
      <w:r w:rsidR="002834EA" w:rsidRPr="00334DA5">
        <w:rPr>
          <w:lang w:val="en-AU"/>
        </w:rPr>
        <w:t>In this paper</w:t>
      </w:r>
      <w:r w:rsidR="001E5804" w:rsidRPr="00334DA5">
        <w:rPr>
          <w:lang w:val="en-AU"/>
        </w:rPr>
        <w:t xml:space="preserve">, </w:t>
      </w:r>
      <w:r w:rsidR="00B25AFA" w:rsidRPr="00334DA5">
        <w:rPr>
          <w:lang w:val="en-AU"/>
        </w:rPr>
        <w:t xml:space="preserve">samples called </w:t>
      </w:r>
      <w:r w:rsidR="00B25AFA" w:rsidRPr="00334DA5">
        <w:rPr>
          <w:i/>
          <w:iCs/>
          <w:lang w:val="en-AU"/>
        </w:rPr>
        <w:t>“centrifuge”</w:t>
      </w:r>
      <w:r w:rsidR="00B25AFA" w:rsidRPr="00334DA5">
        <w:rPr>
          <w:lang w:val="en-AU"/>
        </w:rPr>
        <w:t xml:space="preserve"> </w:t>
      </w:r>
      <w:r w:rsidR="00253B79" w:rsidRPr="00334DA5">
        <w:rPr>
          <w:lang w:val="en-AU"/>
        </w:rPr>
        <w:t>refer</w:t>
      </w:r>
      <w:r w:rsidR="00BE1183" w:rsidRPr="00334DA5">
        <w:rPr>
          <w:lang w:val="en-AU"/>
        </w:rPr>
        <w:t xml:space="preserve"> to</w:t>
      </w:r>
      <w:r w:rsidR="00CA27D2" w:rsidRPr="00334DA5">
        <w:rPr>
          <w:lang w:val="en-AU"/>
        </w:rPr>
        <w:t xml:space="preserve"> the samples after centrifuge</w:t>
      </w:r>
      <w:r w:rsidR="001C5824" w:rsidRPr="00334DA5">
        <w:rPr>
          <w:lang w:val="en-AU"/>
        </w:rPr>
        <w:t xml:space="preserve"> (</w:t>
      </w:r>
      <w:r w:rsidR="00CA27D2" w:rsidRPr="00334DA5">
        <w:rPr>
          <w:lang w:val="en-AU"/>
        </w:rPr>
        <w:t>before conveying/storage</w:t>
      </w:r>
      <w:r w:rsidR="001C5824" w:rsidRPr="00334DA5">
        <w:rPr>
          <w:lang w:val="en-AU"/>
        </w:rPr>
        <w:t>)</w:t>
      </w:r>
      <w:r w:rsidR="00CA27D2" w:rsidRPr="00334DA5">
        <w:rPr>
          <w:lang w:val="en-AU"/>
        </w:rPr>
        <w:t xml:space="preserve">, and samples called </w:t>
      </w:r>
      <w:r w:rsidR="00CA27D2" w:rsidRPr="00334DA5">
        <w:rPr>
          <w:i/>
          <w:iCs/>
          <w:lang w:val="en-AU"/>
        </w:rPr>
        <w:t>“out-loading</w:t>
      </w:r>
      <w:r w:rsidR="00B65302" w:rsidRPr="00334DA5">
        <w:rPr>
          <w:i/>
          <w:iCs/>
          <w:lang w:val="en-AU"/>
        </w:rPr>
        <w:t>”</w:t>
      </w:r>
      <w:r w:rsidR="00CA27D2" w:rsidRPr="00334DA5">
        <w:rPr>
          <w:lang w:val="en-AU"/>
        </w:rPr>
        <w:t xml:space="preserve"> </w:t>
      </w:r>
      <w:r w:rsidR="001C5824" w:rsidRPr="00334DA5">
        <w:rPr>
          <w:lang w:val="en-AU"/>
        </w:rPr>
        <w:t xml:space="preserve">refer </w:t>
      </w:r>
      <w:r w:rsidR="00CA27D2" w:rsidRPr="00334DA5">
        <w:rPr>
          <w:lang w:val="en-AU"/>
        </w:rPr>
        <w:t xml:space="preserve">to the samples </w:t>
      </w:r>
      <w:r w:rsidR="00BE1183" w:rsidRPr="00334DA5">
        <w:rPr>
          <w:lang w:val="en-AU"/>
        </w:rPr>
        <w:t xml:space="preserve">from the out-loading </w:t>
      </w:r>
      <w:r w:rsidR="001C5824" w:rsidRPr="00334DA5">
        <w:rPr>
          <w:lang w:val="en-AU"/>
        </w:rPr>
        <w:t>(</w:t>
      </w:r>
      <w:r w:rsidR="00BE1183" w:rsidRPr="00334DA5">
        <w:rPr>
          <w:lang w:val="en-AU"/>
        </w:rPr>
        <w:t>after conveying/storage</w:t>
      </w:r>
      <w:r w:rsidR="001C5824" w:rsidRPr="00334DA5">
        <w:rPr>
          <w:lang w:val="en-AU"/>
        </w:rPr>
        <w:t>)</w:t>
      </w:r>
      <w:r w:rsidR="00BE1183" w:rsidRPr="00334DA5">
        <w:rPr>
          <w:lang w:val="en-AU"/>
        </w:rPr>
        <w:t xml:space="preserve">. </w:t>
      </w:r>
      <w:r w:rsidR="00D1267E" w:rsidRPr="00334DA5">
        <w:rPr>
          <w:lang w:val="en-AU"/>
        </w:rPr>
        <w:t>T</w:t>
      </w:r>
      <w:r w:rsidR="00137F12" w:rsidRPr="00334DA5">
        <w:rPr>
          <w:lang w:val="en-AU"/>
        </w:rPr>
        <w:t xml:space="preserve">he biosolids samples </w:t>
      </w:r>
      <w:r w:rsidR="00D1267E" w:rsidRPr="00334DA5">
        <w:rPr>
          <w:lang w:val="en-AU"/>
        </w:rPr>
        <w:t xml:space="preserve">were </w:t>
      </w:r>
      <w:r w:rsidR="00137F12" w:rsidRPr="00334DA5">
        <w:rPr>
          <w:lang w:val="en-AU"/>
        </w:rPr>
        <w:t>transported to UNSW Sydney for emission assessment</w:t>
      </w:r>
      <w:r w:rsidR="00886CA7" w:rsidRPr="00334DA5">
        <w:rPr>
          <w:lang w:val="en-AU"/>
        </w:rPr>
        <w:t xml:space="preserve"> and</w:t>
      </w:r>
      <w:r w:rsidR="00892F92" w:rsidRPr="00334DA5">
        <w:rPr>
          <w:lang w:val="en-AU"/>
        </w:rPr>
        <w:t xml:space="preserve"> </w:t>
      </w:r>
      <w:r w:rsidR="00C20B01" w:rsidRPr="00334DA5">
        <w:rPr>
          <w:lang w:val="en-AU"/>
        </w:rPr>
        <w:t xml:space="preserve">placed and stored in </w:t>
      </w:r>
      <w:r w:rsidR="007E56EC" w:rsidRPr="00334DA5">
        <w:rPr>
          <w:lang w:val="en-AU"/>
        </w:rPr>
        <w:t xml:space="preserve">duplicate </w:t>
      </w:r>
      <w:r w:rsidR="00C20B01" w:rsidRPr="00334DA5">
        <w:rPr>
          <w:lang w:val="en-AU"/>
        </w:rPr>
        <w:t>shallow storage containers for 15 days</w:t>
      </w:r>
      <w:r w:rsidR="007E56EC" w:rsidRPr="00334DA5">
        <w:rPr>
          <w:lang w:val="en-AU"/>
        </w:rPr>
        <w:t xml:space="preserve"> (Figure 1</w:t>
      </w:r>
      <w:r w:rsidR="00E64860" w:rsidRPr="00334DA5">
        <w:rPr>
          <w:lang w:val="en-AU"/>
        </w:rPr>
        <w:t>(</w:t>
      </w:r>
      <w:r w:rsidR="007E56EC" w:rsidRPr="00334DA5">
        <w:rPr>
          <w:lang w:val="en-AU"/>
        </w:rPr>
        <w:t>a</w:t>
      </w:r>
      <w:r w:rsidR="00E64860" w:rsidRPr="00334DA5">
        <w:rPr>
          <w:lang w:val="en-AU"/>
        </w:rPr>
        <w:t>)</w:t>
      </w:r>
      <w:r w:rsidR="007E56EC" w:rsidRPr="00334DA5">
        <w:rPr>
          <w:lang w:val="en-AU"/>
        </w:rPr>
        <w:t>)</w:t>
      </w:r>
      <w:r w:rsidR="00886CA7" w:rsidRPr="00334DA5">
        <w:rPr>
          <w:lang w:val="en-AU"/>
        </w:rPr>
        <w:t>. T</w:t>
      </w:r>
      <w:r w:rsidR="00C20B01" w:rsidRPr="00334DA5">
        <w:rPr>
          <w:lang w:val="en-AU"/>
        </w:rPr>
        <w:t xml:space="preserve">he </w:t>
      </w:r>
      <w:r w:rsidR="00886CA7" w:rsidRPr="00334DA5">
        <w:rPr>
          <w:lang w:val="en-AU"/>
        </w:rPr>
        <w:t xml:space="preserve">biosolids </w:t>
      </w:r>
      <w:r w:rsidR="00C20B01" w:rsidRPr="00334DA5">
        <w:rPr>
          <w:lang w:val="en-AU"/>
        </w:rPr>
        <w:t xml:space="preserve">emissions were extracted during </w:t>
      </w:r>
      <w:r w:rsidR="003A505E" w:rsidRPr="00334DA5">
        <w:rPr>
          <w:lang w:val="en-AU"/>
        </w:rPr>
        <w:t xml:space="preserve">six sampling </w:t>
      </w:r>
      <w:r w:rsidR="00B710B9" w:rsidRPr="00334DA5">
        <w:rPr>
          <w:lang w:val="en-AU"/>
        </w:rPr>
        <w:t xml:space="preserve">rounds </w:t>
      </w:r>
      <w:r w:rsidR="000F45BD" w:rsidRPr="00334DA5">
        <w:rPr>
          <w:lang w:val="en-AU"/>
        </w:rPr>
        <w:t xml:space="preserve">– </w:t>
      </w:r>
      <w:r w:rsidR="00B710B9" w:rsidRPr="00334DA5">
        <w:rPr>
          <w:lang w:val="en-AU"/>
        </w:rPr>
        <w:t xml:space="preserve">on </w:t>
      </w:r>
      <w:r w:rsidR="000F45BD" w:rsidRPr="00334DA5">
        <w:rPr>
          <w:lang w:val="en-AU"/>
        </w:rPr>
        <w:t xml:space="preserve">days </w:t>
      </w:r>
      <w:r w:rsidR="00C20B01" w:rsidRPr="00334DA5">
        <w:rPr>
          <w:lang w:val="en-AU"/>
        </w:rPr>
        <w:t>0, 2, 5, 8, 12 and 15</w:t>
      </w:r>
      <w:r w:rsidR="000F45BD" w:rsidRPr="00334DA5">
        <w:rPr>
          <w:lang w:val="en-AU"/>
        </w:rPr>
        <w:t xml:space="preserve"> – of </w:t>
      </w:r>
      <w:r w:rsidR="009F36E3">
        <w:rPr>
          <w:lang w:val="en-AU"/>
        </w:rPr>
        <w:t xml:space="preserve">15 days of </w:t>
      </w:r>
      <w:r w:rsidR="00C20B01" w:rsidRPr="00334DA5">
        <w:rPr>
          <w:lang w:val="en-AU"/>
        </w:rPr>
        <w:t>laboratory storage</w:t>
      </w:r>
      <w:r w:rsidR="0030130D" w:rsidRPr="00334DA5">
        <w:rPr>
          <w:lang w:val="en-AU"/>
        </w:rPr>
        <w:t xml:space="preserve">, </w:t>
      </w:r>
      <w:r w:rsidR="006A33EC" w:rsidRPr="00334DA5">
        <w:rPr>
          <w:lang w:val="en-AU"/>
        </w:rPr>
        <w:t xml:space="preserve">using a US EPA dynamic flux hood, following AS/NZS 4323.4:2009, and collected in </w:t>
      </w:r>
      <w:proofErr w:type="spellStart"/>
      <w:r w:rsidR="006A33EC" w:rsidRPr="00334DA5">
        <w:rPr>
          <w:lang w:val="en-AU"/>
        </w:rPr>
        <w:t>Nalophan</w:t>
      </w:r>
      <w:proofErr w:type="spellEnd"/>
      <w:r w:rsidR="006A33EC" w:rsidRPr="00334DA5">
        <w:rPr>
          <w:lang w:val="en-AU"/>
        </w:rPr>
        <w:t xml:space="preserve"> bags</w:t>
      </w:r>
      <w:r w:rsidR="00320E98" w:rsidRPr="00334DA5">
        <w:rPr>
          <w:lang w:val="en-AU"/>
        </w:rPr>
        <w:t xml:space="preserve"> in duplicate (Figure 1</w:t>
      </w:r>
      <w:r w:rsidR="00E64860" w:rsidRPr="00334DA5">
        <w:rPr>
          <w:lang w:val="en-AU"/>
        </w:rPr>
        <w:t>(</w:t>
      </w:r>
      <w:r w:rsidR="00320E98" w:rsidRPr="00334DA5">
        <w:rPr>
          <w:lang w:val="en-AU"/>
        </w:rPr>
        <w:t>b</w:t>
      </w:r>
      <w:r w:rsidR="00E64860" w:rsidRPr="00334DA5">
        <w:rPr>
          <w:lang w:val="en-AU"/>
        </w:rPr>
        <w:t>)</w:t>
      </w:r>
      <w:r w:rsidR="00320E98" w:rsidRPr="00334DA5">
        <w:rPr>
          <w:lang w:val="en-AU"/>
        </w:rPr>
        <w:t>)</w:t>
      </w:r>
      <w:r w:rsidR="006A33EC" w:rsidRPr="00334DA5">
        <w:rPr>
          <w:lang w:val="en-AU"/>
        </w:rPr>
        <w:t>.</w:t>
      </w:r>
      <w:r w:rsidR="008E5745" w:rsidRPr="00334DA5">
        <w:rPr>
          <w:lang w:val="en-AU"/>
        </w:rPr>
        <w:t xml:space="preserve"> </w:t>
      </w:r>
    </w:p>
    <w:p w14:paraId="21B6601C" w14:textId="54CC6420" w:rsidR="00EB769A" w:rsidRPr="00334DA5" w:rsidRDefault="00B65089" w:rsidP="00453E24">
      <w:pPr>
        <w:pStyle w:val="CETBodytext"/>
        <w:rPr>
          <w:lang w:val="en-AU"/>
        </w:rPr>
      </w:pPr>
      <w:r w:rsidRPr="00334DA5">
        <w:rPr>
          <w:lang w:val="en-AU"/>
        </w:rPr>
        <w:t xml:space="preserve"> </w:t>
      </w:r>
    </w:p>
    <w:tbl>
      <w:tblPr>
        <w:tblStyle w:val="TableGrid"/>
        <w:tblW w:w="0" w:type="auto"/>
        <w:tblLook w:val="04A0" w:firstRow="1" w:lastRow="0" w:firstColumn="1" w:lastColumn="0" w:noHBand="0" w:noVBand="1"/>
      </w:tblPr>
      <w:tblGrid>
        <w:gridCol w:w="2376"/>
        <w:gridCol w:w="2715"/>
        <w:gridCol w:w="2200"/>
      </w:tblGrid>
      <w:tr w:rsidR="00233C1E" w:rsidRPr="00334DA5" w14:paraId="5F1CF48A" w14:textId="77777777" w:rsidTr="00654515">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D55881" w14:textId="0F029747" w:rsidR="00233C1E" w:rsidRPr="00334DA5" w:rsidRDefault="0000482D" w:rsidP="00654515">
            <w:pPr>
              <w:pStyle w:val="CETBodytext"/>
              <w:jc w:val="left"/>
              <w:rPr>
                <w:b/>
                <w:bCs/>
                <w:lang w:val="en-AU"/>
              </w:rPr>
            </w:pPr>
            <w:r w:rsidRPr="00334DA5">
              <w:rPr>
                <w:b/>
                <w:bCs/>
                <w:noProof/>
                <w:lang w:val="en-AU"/>
              </w:rPr>
              <w:t>(a)</w:t>
            </w:r>
            <w:r w:rsidR="009316C7" w:rsidRPr="00334DA5">
              <w:rPr>
                <w:b/>
                <w:bCs/>
                <w:noProof/>
                <w:lang w:val="en-AU"/>
              </w:rPr>
              <w:t xml:space="preserve"> </w:t>
            </w:r>
            <w:r w:rsidR="0072021E" w:rsidRPr="00334DA5">
              <w:rPr>
                <w:b/>
                <w:bCs/>
                <w:noProof/>
                <w:lang w:val="en-AU"/>
              </w:rPr>
              <w:drawing>
                <wp:inline distT="0" distB="0" distL="0" distR="0" wp14:anchorId="30F1DEDF" wp14:editId="0023F32C">
                  <wp:extent cx="1193731" cy="1440000"/>
                  <wp:effectExtent l="0" t="0" r="6985" b="8255"/>
                  <wp:docPr id="92162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0784" name=""/>
                          <pic:cNvPicPr/>
                        </pic:nvPicPr>
                        <pic:blipFill rotWithShape="1">
                          <a:blip r:embed="rId10"/>
                          <a:srcRect t="9527"/>
                          <a:stretch/>
                        </pic:blipFill>
                        <pic:spPr bwMode="auto">
                          <a:xfrm>
                            <a:off x="0" y="0"/>
                            <a:ext cx="119373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9E079B" w14:textId="3366EA99" w:rsidR="00233C1E" w:rsidRPr="00334DA5" w:rsidRDefault="0000482D" w:rsidP="00654515">
            <w:pPr>
              <w:pStyle w:val="CETBodytext"/>
              <w:jc w:val="left"/>
              <w:rPr>
                <w:b/>
                <w:bCs/>
                <w:lang w:val="en-AU"/>
              </w:rPr>
            </w:pPr>
            <w:r w:rsidRPr="00334DA5">
              <w:rPr>
                <w:b/>
                <w:bCs/>
                <w:noProof/>
                <w:lang w:val="en-AU"/>
              </w:rPr>
              <w:t>(b)</w:t>
            </w:r>
            <w:r w:rsidR="00654515" w:rsidRPr="00334DA5">
              <w:rPr>
                <w:b/>
                <w:bCs/>
                <w:noProof/>
                <w:lang w:val="en-AU"/>
              </w:rPr>
              <w:t xml:space="preserve"> </w:t>
            </w:r>
            <w:r w:rsidR="009316C7" w:rsidRPr="00334DA5">
              <w:rPr>
                <w:b/>
                <w:bCs/>
                <w:noProof/>
                <w:lang w:val="en-AU"/>
              </w:rPr>
              <w:t xml:space="preserve"> </w:t>
            </w:r>
            <w:r w:rsidR="00CC785C" w:rsidRPr="00334DA5">
              <w:rPr>
                <w:b/>
                <w:bCs/>
                <w:noProof/>
                <w:lang w:val="en-AU"/>
              </w:rPr>
              <w:drawing>
                <wp:inline distT="0" distB="0" distL="0" distR="0" wp14:anchorId="3E368C55" wp14:editId="0900EFC8">
                  <wp:extent cx="1377388" cy="1439545"/>
                  <wp:effectExtent l="0" t="0" r="0" b="8255"/>
                  <wp:docPr id="75142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20945" name=""/>
                          <pic:cNvPicPr/>
                        </pic:nvPicPr>
                        <pic:blipFill rotWithShape="1">
                          <a:blip r:embed="rId11"/>
                          <a:srcRect t="18640" r="10100" b="10892"/>
                          <a:stretch/>
                        </pic:blipFill>
                        <pic:spPr bwMode="auto">
                          <a:xfrm>
                            <a:off x="0" y="0"/>
                            <a:ext cx="1377823"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B14E7D" w14:textId="7B0F5446" w:rsidR="00233C1E" w:rsidRPr="00334DA5" w:rsidRDefault="0000482D" w:rsidP="00654515">
            <w:pPr>
              <w:pStyle w:val="CETBodytext"/>
              <w:keepNext/>
              <w:jc w:val="left"/>
              <w:rPr>
                <w:b/>
                <w:bCs/>
                <w:lang w:val="en-AU"/>
              </w:rPr>
            </w:pPr>
            <w:r w:rsidRPr="00334DA5">
              <w:rPr>
                <w:b/>
                <w:bCs/>
                <w:lang w:val="en-AU"/>
              </w:rPr>
              <w:t>(c)</w:t>
            </w:r>
            <w:r w:rsidR="00EB3C92" w:rsidRPr="00334DA5">
              <w:rPr>
                <w:b/>
                <w:bCs/>
                <w:lang w:val="en-AU"/>
              </w:rPr>
              <w:t xml:space="preserve"> </w:t>
            </w:r>
            <w:r w:rsidR="008C2061" w:rsidRPr="00334DA5">
              <w:rPr>
                <w:b/>
                <w:bCs/>
                <w:noProof/>
                <w:lang w:val="en-AU"/>
              </w:rPr>
              <w:drawing>
                <wp:inline distT="0" distB="0" distL="0" distR="0" wp14:anchorId="08D24237" wp14:editId="49672A2E">
                  <wp:extent cx="1440000" cy="1079959"/>
                  <wp:effectExtent l="8573" t="0" r="0" b="0"/>
                  <wp:docPr id="52471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440000" cy="1079959"/>
                          </a:xfrm>
                          <a:prstGeom prst="rect">
                            <a:avLst/>
                          </a:prstGeom>
                          <a:noFill/>
                          <a:ln>
                            <a:noFill/>
                          </a:ln>
                        </pic:spPr>
                      </pic:pic>
                    </a:graphicData>
                  </a:graphic>
                </wp:inline>
              </w:drawing>
            </w:r>
          </w:p>
        </w:tc>
      </w:tr>
    </w:tbl>
    <w:p w14:paraId="36B45A3D" w14:textId="60BC1B19" w:rsidR="00EB769A" w:rsidRPr="00334DA5" w:rsidRDefault="00A404DF" w:rsidP="00077C33">
      <w:pPr>
        <w:pStyle w:val="CETCaption"/>
        <w:rPr>
          <w:lang w:val="en-AU"/>
        </w:rPr>
      </w:pPr>
      <w:bookmarkStart w:id="1" w:name="_Ref170235583"/>
      <w:r w:rsidRPr="00334DA5">
        <w:rPr>
          <w:lang w:val="en-AU"/>
        </w:rPr>
        <w:t>Figure</w:t>
      </w:r>
      <w:bookmarkEnd w:id="1"/>
      <w:r w:rsidR="005D50C4" w:rsidRPr="00334DA5">
        <w:rPr>
          <w:lang w:val="en-AU"/>
        </w:rPr>
        <w:t xml:space="preserve"> 1</w:t>
      </w:r>
      <w:r w:rsidRPr="00334DA5">
        <w:rPr>
          <w:lang w:val="en-AU"/>
        </w:rPr>
        <w:t xml:space="preserve">: Experimental set-up </w:t>
      </w:r>
      <w:r w:rsidR="00D47F6A" w:rsidRPr="00334DA5">
        <w:rPr>
          <w:lang w:val="en-AU"/>
        </w:rPr>
        <w:t xml:space="preserve">(a) biosolids, (b) biosolids emission sampling, </w:t>
      </w:r>
      <w:r w:rsidRPr="00334DA5">
        <w:rPr>
          <w:lang w:val="en-AU"/>
        </w:rPr>
        <w:t xml:space="preserve">and </w:t>
      </w:r>
      <w:r w:rsidR="00D47F6A" w:rsidRPr="00334DA5">
        <w:rPr>
          <w:lang w:val="en-AU"/>
        </w:rPr>
        <w:t xml:space="preserve">(c) </w:t>
      </w:r>
      <w:r w:rsidRPr="00334DA5">
        <w:rPr>
          <w:lang w:val="en-AU"/>
        </w:rPr>
        <w:t>sensory emission analysis</w:t>
      </w:r>
      <w:r w:rsidR="00D47F6A" w:rsidRPr="00334DA5">
        <w:rPr>
          <w:lang w:val="en-AU"/>
        </w:rPr>
        <w:t>.</w:t>
      </w:r>
      <w:r w:rsidR="009316C7" w:rsidRPr="00334DA5">
        <w:rPr>
          <w:lang w:val="en-AU"/>
        </w:rPr>
        <w:t xml:space="preserve"> </w:t>
      </w:r>
    </w:p>
    <w:p w14:paraId="18BAFA6F" w14:textId="044B0624" w:rsidR="00453E24" w:rsidRPr="00334DA5" w:rsidRDefault="00B60B6C" w:rsidP="00453E24">
      <w:pPr>
        <w:pStyle w:val="CETheadingx"/>
        <w:rPr>
          <w:lang w:val="en-AU"/>
        </w:rPr>
      </w:pPr>
      <w:r w:rsidRPr="00334DA5">
        <w:rPr>
          <w:lang w:val="en-AU"/>
        </w:rPr>
        <w:t>Sensory</w:t>
      </w:r>
      <w:r w:rsidR="005D0627" w:rsidRPr="00334DA5">
        <w:rPr>
          <w:lang w:val="en-AU"/>
        </w:rPr>
        <w:t xml:space="preserve"> emissio</w:t>
      </w:r>
      <w:r w:rsidR="004206F8" w:rsidRPr="00334DA5">
        <w:rPr>
          <w:lang w:val="en-AU"/>
        </w:rPr>
        <w:t>n analysis</w:t>
      </w:r>
    </w:p>
    <w:p w14:paraId="47AB8403" w14:textId="2394C676" w:rsidR="00EC7D61" w:rsidRPr="00334DA5" w:rsidRDefault="0077349B" w:rsidP="00EC7D61">
      <w:pPr>
        <w:pStyle w:val="CETBodytext"/>
        <w:rPr>
          <w:lang w:val="en-AU"/>
        </w:rPr>
      </w:pPr>
      <w:r w:rsidRPr="00334DA5">
        <w:rPr>
          <w:lang w:val="en-AU"/>
        </w:rPr>
        <w:t>Sensory assessment was conducted using an olfactory detection port (ODP) from Gerstel GmbH &amp; Co., Germany, connected to a TD-GC-MS</w:t>
      </w:r>
      <w:r w:rsidR="002162A8" w:rsidRPr="00334DA5">
        <w:rPr>
          <w:lang w:val="en-AU"/>
        </w:rPr>
        <w:t xml:space="preserve"> (GC-MS – Agilent 6890 N GC, 5973NS MS, Agilent Technologies)</w:t>
      </w:r>
      <w:r w:rsidR="00E64860" w:rsidRPr="00334DA5">
        <w:rPr>
          <w:lang w:val="en-AU"/>
        </w:rPr>
        <w:t xml:space="preserve"> (Figure 1(c))</w:t>
      </w:r>
      <w:r w:rsidRPr="00334DA5">
        <w:rPr>
          <w:lang w:val="en-AU"/>
        </w:rPr>
        <w:t xml:space="preserve">. Two trained </w:t>
      </w:r>
      <w:r w:rsidR="00646B7F" w:rsidRPr="00334DA5">
        <w:rPr>
          <w:lang w:val="en-AU"/>
        </w:rPr>
        <w:t>panellists</w:t>
      </w:r>
      <w:r w:rsidR="00AA2640" w:rsidRPr="00334DA5">
        <w:rPr>
          <w:lang w:val="en-AU"/>
        </w:rPr>
        <w:t xml:space="preserve">, </w:t>
      </w:r>
      <w:r w:rsidR="003238C5" w:rsidRPr="00334DA5">
        <w:rPr>
          <w:lang w:val="en-AU"/>
        </w:rPr>
        <w:t xml:space="preserve">here identified as </w:t>
      </w:r>
      <w:r w:rsidR="00AA2640" w:rsidRPr="00334DA5">
        <w:rPr>
          <w:lang w:val="en-AU"/>
        </w:rPr>
        <w:t xml:space="preserve">ODP P1 and ODP P2, </w:t>
      </w:r>
      <w:r w:rsidRPr="00334DA5">
        <w:rPr>
          <w:lang w:val="en-AU"/>
        </w:rPr>
        <w:t xml:space="preserve">described the </w:t>
      </w:r>
      <w:r w:rsidR="00646B7F" w:rsidRPr="00334DA5">
        <w:rPr>
          <w:lang w:val="en-AU"/>
        </w:rPr>
        <w:t>odours</w:t>
      </w:r>
      <w:r w:rsidRPr="00334DA5">
        <w:rPr>
          <w:lang w:val="en-AU"/>
        </w:rPr>
        <w:t xml:space="preserve"> and rated the intensity on a scale from 1 (weak) to 4 (strong). </w:t>
      </w:r>
      <w:r w:rsidR="0061207E" w:rsidRPr="00334DA5">
        <w:rPr>
          <w:lang w:val="en-AU"/>
        </w:rPr>
        <w:t>Odour sensitivity tests were performed on the panellists to ensure their sensitivity to odours</w:t>
      </w:r>
      <w:r w:rsidR="003238C5" w:rsidRPr="00334DA5">
        <w:rPr>
          <w:lang w:val="en-AU"/>
        </w:rPr>
        <w:t xml:space="preserve"> was acceptable</w:t>
      </w:r>
      <w:r w:rsidR="0061207E" w:rsidRPr="00334DA5">
        <w:rPr>
          <w:lang w:val="en-AU"/>
        </w:rPr>
        <w:t xml:space="preserve">. </w:t>
      </w:r>
      <w:r w:rsidR="00D47A93" w:rsidRPr="00334DA5">
        <w:rPr>
          <w:lang w:val="en-AU"/>
        </w:rPr>
        <w:t xml:space="preserve">In total </w:t>
      </w:r>
      <w:r w:rsidR="00F81A0B" w:rsidRPr="00334DA5">
        <w:rPr>
          <w:lang w:val="en-AU"/>
        </w:rPr>
        <w:t>48</w:t>
      </w:r>
      <w:r w:rsidRPr="00334DA5">
        <w:rPr>
          <w:lang w:val="en-AU"/>
        </w:rPr>
        <w:t xml:space="preserve"> samples </w:t>
      </w:r>
      <w:r w:rsidR="00D47A93" w:rsidRPr="00334DA5">
        <w:rPr>
          <w:lang w:val="en-AU"/>
        </w:rPr>
        <w:t>were analysed</w:t>
      </w:r>
      <w:r w:rsidRPr="00334DA5">
        <w:rPr>
          <w:lang w:val="en-AU"/>
        </w:rPr>
        <w:t xml:space="preserve">, </w:t>
      </w:r>
      <w:r w:rsidR="00F81A0B" w:rsidRPr="00334DA5">
        <w:rPr>
          <w:lang w:val="en-AU"/>
        </w:rPr>
        <w:t>24</w:t>
      </w:r>
      <w:r w:rsidRPr="00334DA5">
        <w:rPr>
          <w:lang w:val="en-AU"/>
        </w:rPr>
        <w:t xml:space="preserve"> each </w:t>
      </w:r>
      <w:r w:rsidR="003C222C" w:rsidRPr="00334DA5">
        <w:rPr>
          <w:lang w:val="en-AU"/>
        </w:rPr>
        <w:t xml:space="preserve">per </w:t>
      </w:r>
      <w:r w:rsidRPr="00334DA5">
        <w:rPr>
          <w:lang w:val="en-AU"/>
        </w:rPr>
        <w:t>biosolids</w:t>
      </w:r>
      <w:r w:rsidR="003C222C" w:rsidRPr="00334DA5">
        <w:rPr>
          <w:lang w:val="en-AU"/>
        </w:rPr>
        <w:t xml:space="preserve"> type – centrifuge and out-loading</w:t>
      </w:r>
      <w:r w:rsidRPr="00334DA5">
        <w:rPr>
          <w:lang w:val="en-AU"/>
        </w:rPr>
        <w:t>.</w:t>
      </w:r>
      <w:r w:rsidR="005E04E5" w:rsidRPr="00334DA5">
        <w:rPr>
          <w:lang w:val="en-AU"/>
        </w:rPr>
        <w:t xml:space="preserve"> </w:t>
      </w:r>
      <w:r w:rsidR="00D5301D" w:rsidRPr="00334DA5">
        <w:rPr>
          <w:lang w:val="en-AU"/>
        </w:rPr>
        <w:t xml:space="preserve">Odour descriptors </w:t>
      </w:r>
      <w:r w:rsidR="007C7CA0" w:rsidRPr="00334DA5">
        <w:rPr>
          <w:lang w:val="en-AU"/>
        </w:rPr>
        <w:t xml:space="preserve">between panellists </w:t>
      </w:r>
      <w:r w:rsidR="00D5301D" w:rsidRPr="00334DA5">
        <w:rPr>
          <w:lang w:val="en-AU"/>
        </w:rPr>
        <w:t xml:space="preserve">were matched </w:t>
      </w:r>
      <w:r w:rsidR="000D5C69" w:rsidRPr="00334DA5">
        <w:rPr>
          <w:lang w:val="en-AU"/>
        </w:rPr>
        <w:t xml:space="preserve">based on </w:t>
      </w:r>
      <w:r w:rsidR="00E67AD7" w:rsidRPr="00334DA5">
        <w:rPr>
          <w:lang w:val="en-AU"/>
        </w:rPr>
        <w:t xml:space="preserve">similar characteristics and </w:t>
      </w:r>
      <w:r w:rsidR="000D5C69" w:rsidRPr="00334DA5">
        <w:rPr>
          <w:lang w:val="en-AU"/>
        </w:rPr>
        <w:t>retention time</w:t>
      </w:r>
      <w:r w:rsidR="007A3BB5" w:rsidRPr="00334DA5">
        <w:rPr>
          <w:lang w:val="en-AU"/>
        </w:rPr>
        <w:t>. T</w:t>
      </w:r>
      <w:r w:rsidR="00696AFE" w:rsidRPr="00334DA5">
        <w:rPr>
          <w:lang w:val="en-AU"/>
        </w:rPr>
        <w:t>he Modified Frequency (MF%)</w:t>
      </w:r>
      <w:r w:rsidR="008B32D7" w:rsidRPr="00334DA5">
        <w:rPr>
          <w:lang w:val="en-AU"/>
        </w:rPr>
        <w:t xml:space="preserve">, as </w:t>
      </w:r>
      <w:r w:rsidR="000A642E" w:rsidRPr="00334DA5">
        <w:rPr>
          <w:lang w:val="en-AU"/>
        </w:rPr>
        <w:t xml:space="preserve">a </w:t>
      </w:r>
      <w:r w:rsidR="008B32D7" w:rsidRPr="00334DA5">
        <w:rPr>
          <w:lang w:val="en-AU"/>
        </w:rPr>
        <w:t>method that integrates both detection frequency and mean intensity</w:t>
      </w:r>
      <w:r w:rsidR="000E13A3" w:rsidRPr="00334DA5">
        <w:rPr>
          <w:lang w:val="en-AU"/>
        </w:rPr>
        <w:t xml:space="preserve"> (Brattoli et al., 2013)</w:t>
      </w:r>
      <w:r w:rsidR="008B32D7" w:rsidRPr="00334DA5">
        <w:rPr>
          <w:lang w:val="en-AU"/>
        </w:rPr>
        <w:t xml:space="preserve">, </w:t>
      </w:r>
      <w:r w:rsidR="00696AFE" w:rsidRPr="00334DA5">
        <w:rPr>
          <w:lang w:val="en-AU"/>
        </w:rPr>
        <w:t>was used to determine the main odour events</w:t>
      </w:r>
      <w:r w:rsidR="007A3BB5" w:rsidRPr="00334DA5">
        <w:rPr>
          <w:lang w:val="en-AU"/>
        </w:rPr>
        <w:t xml:space="preserve">, as </w:t>
      </w:r>
      <w:r w:rsidR="00EA2B30" w:rsidRPr="00334DA5">
        <w:rPr>
          <w:lang w:val="en-AU"/>
        </w:rPr>
        <w:t xml:space="preserve">showed </w:t>
      </w:r>
      <w:r w:rsidR="00376EB6" w:rsidRPr="00334DA5">
        <w:rPr>
          <w:lang w:val="en-AU"/>
        </w:rPr>
        <w:t>by</w:t>
      </w:r>
      <w:r w:rsidR="00EA2B30" w:rsidRPr="00334DA5">
        <w:rPr>
          <w:lang w:val="en-AU"/>
        </w:rPr>
        <w:t xml:space="preserve"> Equations (1) to (3).  </w:t>
      </w:r>
    </w:p>
    <w:p w14:paraId="3ABBBF8F" w14:textId="77777777" w:rsidR="007604C5" w:rsidRPr="00334DA5" w:rsidRDefault="007604C5" w:rsidP="00EC7D61">
      <w:pPr>
        <w:pStyle w:val="CETBodytext"/>
        <w:rPr>
          <w:lang w:val="en-AU"/>
        </w:rPr>
      </w:pPr>
    </w:p>
    <w:tbl>
      <w:tblPr>
        <w:tblStyle w:val="TableGridLight"/>
        <w:tblW w:w="5221" w:type="pct"/>
        <w:tblInd w:w="-147" w:type="dxa"/>
        <w:tblLook w:val="04A0" w:firstRow="1" w:lastRow="0" w:firstColumn="1" w:lastColumn="0" w:noHBand="0" w:noVBand="1"/>
      </w:tblPr>
      <w:tblGrid>
        <w:gridCol w:w="2103"/>
        <w:gridCol w:w="436"/>
        <w:gridCol w:w="3556"/>
        <w:gridCol w:w="436"/>
        <w:gridCol w:w="2198"/>
        <w:gridCol w:w="436"/>
      </w:tblGrid>
      <w:tr w:rsidR="006537C3" w:rsidRPr="00334DA5" w14:paraId="70186C92" w14:textId="3694777A" w:rsidTr="009B21E9">
        <w:tc>
          <w:tcPr>
            <w:tcW w:w="11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6D30CC" w14:textId="3119B511" w:rsidR="005A5A11" w:rsidRPr="00334DA5" w:rsidRDefault="005A5A11" w:rsidP="006537C3">
            <w:pPr>
              <w:pStyle w:val="CETBodytext"/>
              <w:jc w:val="left"/>
              <w:rPr>
                <w:sz w:val="16"/>
                <w:szCs w:val="18"/>
                <w:lang w:val="en-AU"/>
              </w:rPr>
            </w:pPr>
            <m:oMathPara>
              <m:oMath>
                <m:r>
                  <w:rPr>
                    <w:rFonts w:ascii="Cambria Math" w:hAnsi="Cambria Math" w:cs="Arial"/>
                    <w:sz w:val="16"/>
                    <w:szCs w:val="18"/>
                    <w:lang w:val="en-AU"/>
                  </w:rPr>
                  <m:t xml:space="preserve">MF </m:t>
                </m:r>
                <m:d>
                  <m:dPr>
                    <m:ctrlPr>
                      <w:rPr>
                        <w:rFonts w:ascii="Cambria Math" w:hAnsi="Cambria Math" w:cs="Arial"/>
                        <w:i/>
                        <w:sz w:val="16"/>
                        <w:szCs w:val="18"/>
                        <w:lang w:val="en-AU"/>
                      </w:rPr>
                    </m:ctrlPr>
                  </m:dPr>
                  <m:e>
                    <m:r>
                      <w:rPr>
                        <w:rFonts w:ascii="Cambria Math" w:hAnsi="Cambria Math" w:cs="Arial"/>
                        <w:sz w:val="16"/>
                        <w:szCs w:val="18"/>
                        <w:lang w:val="en-AU"/>
                      </w:rPr>
                      <m:t>%</m:t>
                    </m:r>
                  </m:e>
                </m:d>
                <m:r>
                  <w:rPr>
                    <w:rFonts w:ascii="Cambria Math" w:hAnsi="Cambria Math" w:cs="Arial"/>
                    <w:sz w:val="16"/>
                    <w:szCs w:val="18"/>
                    <w:lang w:val="en-AU"/>
                  </w:rPr>
                  <m:t xml:space="preserve">= </m:t>
                </m:r>
                <m:rad>
                  <m:radPr>
                    <m:degHide m:val="1"/>
                    <m:ctrlPr>
                      <w:rPr>
                        <w:rFonts w:ascii="Cambria Math" w:hAnsi="Cambria Math" w:cs="Arial"/>
                        <w:i/>
                        <w:sz w:val="16"/>
                        <w:szCs w:val="18"/>
                        <w:lang w:val="en-AU"/>
                      </w:rPr>
                    </m:ctrlPr>
                  </m:radPr>
                  <m:deg/>
                  <m:e>
                    <m:r>
                      <w:rPr>
                        <w:rFonts w:ascii="Cambria Math" w:hAnsi="Cambria Math" w:cs="Arial"/>
                        <w:sz w:val="16"/>
                        <w:szCs w:val="18"/>
                        <w:lang w:val="en-AU"/>
                      </w:rPr>
                      <m:t>F</m:t>
                    </m:r>
                    <m:d>
                      <m:dPr>
                        <m:ctrlPr>
                          <w:rPr>
                            <w:rFonts w:ascii="Cambria Math" w:hAnsi="Cambria Math" w:cs="Arial"/>
                            <w:i/>
                            <w:sz w:val="16"/>
                            <w:szCs w:val="18"/>
                            <w:lang w:val="en-AU"/>
                          </w:rPr>
                        </m:ctrlPr>
                      </m:dPr>
                      <m:e>
                        <m:r>
                          <w:rPr>
                            <w:rFonts w:ascii="Cambria Math" w:hAnsi="Cambria Math" w:cs="Arial"/>
                            <w:sz w:val="16"/>
                            <w:szCs w:val="18"/>
                            <w:lang w:val="en-AU"/>
                          </w:rPr>
                          <m:t>%</m:t>
                        </m:r>
                      </m:e>
                    </m:d>
                    <m:r>
                      <w:rPr>
                        <w:rFonts w:ascii="Cambria Math" w:hAnsi="Cambria Math" w:cs="Arial"/>
                        <w:sz w:val="16"/>
                        <w:szCs w:val="18"/>
                        <w:lang w:val="en-AU"/>
                      </w:rPr>
                      <m:t>×I(%)</m:t>
                    </m:r>
                  </m:e>
                </m:rad>
              </m:oMath>
            </m:oMathPara>
          </w:p>
        </w:tc>
        <w:tc>
          <w:tcPr>
            <w:tcW w:w="238" w:type="pct"/>
            <w:tcBorders>
              <w:top w:val="single" w:sz="4" w:space="0" w:color="FFFFFF" w:themeColor="background1"/>
              <w:left w:val="single" w:sz="4" w:space="0" w:color="FFFFFF" w:themeColor="background1"/>
              <w:bottom w:val="single" w:sz="4" w:space="0" w:color="FFFFFF" w:themeColor="background1"/>
            </w:tcBorders>
            <w:vAlign w:val="center"/>
          </w:tcPr>
          <w:p w14:paraId="6CD94685" w14:textId="48D3ED5D" w:rsidR="005A5A11" w:rsidRPr="00334DA5" w:rsidRDefault="005A5A11" w:rsidP="006537C3">
            <w:pPr>
              <w:pStyle w:val="CETBodytext"/>
              <w:jc w:val="left"/>
              <w:rPr>
                <w:sz w:val="16"/>
                <w:szCs w:val="18"/>
                <w:lang w:val="en-AU"/>
              </w:rPr>
            </w:pPr>
            <w:r w:rsidRPr="00334DA5">
              <w:rPr>
                <w:lang w:val="en-AU"/>
              </w:rPr>
              <w:t>(1)</w:t>
            </w:r>
          </w:p>
        </w:tc>
        <w:tc>
          <w:tcPr>
            <w:tcW w:w="1940" w:type="pct"/>
            <w:tcBorders>
              <w:top w:val="single" w:sz="4" w:space="0" w:color="FFFFFF" w:themeColor="background1"/>
              <w:bottom w:val="single" w:sz="4" w:space="0" w:color="FFFFFF" w:themeColor="background1"/>
              <w:right w:val="single" w:sz="4" w:space="0" w:color="FFFFFF" w:themeColor="background1"/>
            </w:tcBorders>
            <w:vAlign w:val="center"/>
          </w:tcPr>
          <w:p w14:paraId="00F5C879" w14:textId="40866F62" w:rsidR="005A5A11" w:rsidRPr="00334DA5" w:rsidRDefault="005A5A11" w:rsidP="009B21E9">
            <w:pPr>
              <w:pStyle w:val="CETBodytext"/>
              <w:ind w:hanging="245"/>
              <w:jc w:val="left"/>
              <w:rPr>
                <w:sz w:val="16"/>
                <w:szCs w:val="18"/>
                <w:lang w:val="en-AU"/>
              </w:rPr>
            </w:pPr>
            <m:oMathPara>
              <m:oMath>
                <m:r>
                  <w:rPr>
                    <w:rFonts w:ascii="Cambria Math" w:hAnsi="Cambria Math" w:cs="Arial"/>
                    <w:sz w:val="16"/>
                    <w:szCs w:val="18"/>
                    <w:lang w:val="en-AU"/>
                  </w:rPr>
                  <m:t>F</m:t>
                </m:r>
                <m:d>
                  <m:dPr>
                    <m:ctrlPr>
                      <w:rPr>
                        <w:rFonts w:ascii="Cambria Math" w:hAnsi="Cambria Math" w:cs="Arial"/>
                        <w:i/>
                        <w:sz w:val="16"/>
                        <w:szCs w:val="18"/>
                        <w:lang w:val="en-AU"/>
                      </w:rPr>
                    </m:ctrlPr>
                  </m:dPr>
                  <m:e>
                    <m:r>
                      <w:rPr>
                        <w:rFonts w:ascii="Cambria Math" w:hAnsi="Cambria Math" w:cs="Arial"/>
                        <w:sz w:val="16"/>
                        <w:szCs w:val="18"/>
                        <w:lang w:val="en-AU"/>
                      </w:rPr>
                      <m:t>%</m:t>
                    </m:r>
                  </m:e>
                </m:d>
                <m:r>
                  <w:rPr>
                    <w:rFonts w:ascii="Cambria Math" w:hAnsi="Cambria Math" w:cs="Arial"/>
                    <w:sz w:val="16"/>
                    <w:szCs w:val="18"/>
                    <w:lang w:val="en-AU"/>
                  </w:rPr>
                  <m:t>=</m:t>
                </m:r>
                <m:f>
                  <m:fPr>
                    <m:ctrlPr>
                      <w:rPr>
                        <w:rFonts w:ascii="Cambria Math" w:hAnsi="Cambria Math" w:cs="Arial"/>
                        <w:i/>
                        <w:sz w:val="16"/>
                        <w:szCs w:val="18"/>
                        <w:lang w:val="en-AU"/>
                      </w:rPr>
                    </m:ctrlPr>
                  </m:fPr>
                  <m:num>
                    <m:r>
                      <w:rPr>
                        <w:rFonts w:ascii="Cambria Math" w:hAnsi="Cambria Math" w:cs="Arial"/>
                        <w:sz w:val="16"/>
                        <w:szCs w:val="18"/>
                        <w:lang w:val="en-AU"/>
                      </w:rPr>
                      <m:t>Number of samples with occurences</m:t>
                    </m:r>
                  </m:num>
                  <m:den>
                    <m:r>
                      <w:rPr>
                        <w:rFonts w:ascii="Cambria Math" w:hAnsi="Cambria Math" w:cs="Arial"/>
                        <w:sz w:val="16"/>
                        <w:szCs w:val="18"/>
                        <w:lang w:val="en-AU"/>
                      </w:rPr>
                      <m:t>Total number of samples</m:t>
                    </m:r>
                  </m:den>
                </m:f>
              </m:oMath>
            </m:oMathPara>
          </w:p>
        </w:tc>
        <w:tc>
          <w:tcPr>
            <w:tcW w:w="238" w:type="pct"/>
            <w:tcBorders>
              <w:top w:val="single" w:sz="4" w:space="0" w:color="FFFFFF" w:themeColor="background1"/>
              <w:left w:val="single" w:sz="4" w:space="0" w:color="FFFFFF" w:themeColor="background1"/>
              <w:bottom w:val="single" w:sz="4" w:space="0" w:color="FFFFFF" w:themeColor="background1"/>
            </w:tcBorders>
            <w:vAlign w:val="center"/>
          </w:tcPr>
          <w:p w14:paraId="54E56929" w14:textId="56CD57BA" w:rsidR="005A5A11" w:rsidRPr="00334DA5" w:rsidRDefault="005A5A11" w:rsidP="006537C3">
            <w:pPr>
              <w:pStyle w:val="CETBodytext"/>
              <w:jc w:val="left"/>
              <w:rPr>
                <w:rFonts w:cs="Arial"/>
                <w:i/>
                <w:sz w:val="16"/>
                <w:szCs w:val="18"/>
                <w:lang w:val="en-AU"/>
              </w:rPr>
            </w:pPr>
            <w:r w:rsidRPr="00334DA5">
              <w:rPr>
                <w:lang w:val="en-AU"/>
              </w:rPr>
              <w:t>(2)</w:t>
            </w:r>
          </w:p>
        </w:tc>
        <w:tc>
          <w:tcPr>
            <w:tcW w:w="1199" w:type="pct"/>
            <w:tcBorders>
              <w:top w:val="single" w:sz="4" w:space="0" w:color="FFFFFF" w:themeColor="background1"/>
              <w:bottom w:val="single" w:sz="4" w:space="0" w:color="FFFFFF" w:themeColor="background1"/>
              <w:right w:val="single" w:sz="4" w:space="0" w:color="FFFFFF" w:themeColor="background1"/>
            </w:tcBorders>
            <w:vAlign w:val="center"/>
          </w:tcPr>
          <w:p w14:paraId="5384CF57" w14:textId="3EF3B387" w:rsidR="005A5A11" w:rsidRPr="00334DA5" w:rsidRDefault="005A5A11" w:rsidP="006537C3">
            <w:pPr>
              <w:pStyle w:val="CETBodytext"/>
              <w:jc w:val="left"/>
              <w:rPr>
                <w:sz w:val="16"/>
                <w:szCs w:val="18"/>
                <w:lang w:val="en-AU"/>
              </w:rPr>
            </w:pPr>
            <m:oMathPara>
              <m:oMath>
                <m:r>
                  <w:rPr>
                    <w:rFonts w:ascii="Cambria Math" w:hAnsi="Cambria Math" w:cs="Arial"/>
                    <w:sz w:val="16"/>
                    <w:szCs w:val="18"/>
                    <w:lang w:val="en-AU"/>
                  </w:rPr>
                  <m:t>I</m:t>
                </m:r>
                <m:d>
                  <m:dPr>
                    <m:ctrlPr>
                      <w:rPr>
                        <w:rFonts w:ascii="Cambria Math" w:hAnsi="Cambria Math" w:cs="Arial"/>
                        <w:i/>
                        <w:sz w:val="16"/>
                        <w:szCs w:val="18"/>
                        <w:lang w:val="en-AU"/>
                      </w:rPr>
                    </m:ctrlPr>
                  </m:dPr>
                  <m:e>
                    <m:r>
                      <w:rPr>
                        <w:rFonts w:ascii="Cambria Math" w:hAnsi="Cambria Math" w:cs="Arial"/>
                        <w:sz w:val="16"/>
                        <w:szCs w:val="18"/>
                        <w:lang w:val="en-AU"/>
                      </w:rPr>
                      <m:t>%</m:t>
                    </m:r>
                  </m:e>
                </m:d>
                <m:r>
                  <w:rPr>
                    <w:rFonts w:ascii="Cambria Math" w:hAnsi="Cambria Math" w:cs="Arial"/>
                    <w:sz w:val="16"/>
                    <w:szCs w:val="18"/>
                    <w:lang w:val="en-AU"/>
                  </w:rPr>
                  <m:t>=</m:t>
                </m:r>
                <m:f>
                  <m:fPr>
                    <m:ctrlPr>
                      <w:rPr>
                        <w:rFonts w:ascii="Cambria Math" w:hAnsi="Cambria Math" w:cs="Arial"/>
                        <w:i/>
                        <w:sz w:val="16"/>
                        <w:szCs w:val="18"/>
                        <w:lang w:val="en-AU"/>
                      </w:rPr>
                    </m:ctrlPr>
                  </m:fPr>
                  <m:num>
                    <m:r>
                      <w:rPr>
                        <w:rFonts w:ascii="Cambria Math" w:hAnsi="Cambria Math" w:cs="Arial"/>
                        <w:sz w:val="16"/>
                        <w:szCs w:val="18"/>
                        <w:lang w:val="en-AU"/>
                      </w:rPr>
                      <m:t>Average intensity</m:t>
                    </m:r>
                  </m:num>
                  <m:den>
                    <m:r>
                      <w:rPr>
                        <w:rFonts w:ascii="Cambria Math" w:hAnsi="Cambria Math" w:cs="Arial"/>
                        <w:sz w:val="16"/>
                        <w:szCs w:val="18"/>
                        <w:lang w:val="en-AU"/>
                      </w:rPr>
                      <m:t>Maximum intensity</m:t>
                    </m:r>
                  </m:den>
                </m:f>
              </m:oMath>
            </m:oMathPara>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B85D9B" w14:textId="3A3DBFE5" w:rsidR="005A5A11" w:rsidRPr="00334DA5" w:rsidRDefault="005A5A11" w:rsidP="006537C3">
            <w:pPr>
              <w:pStyle w:val="CETBodytext"/>
              <w:jc w:val="left"/>
              <w:rPr>
                <w:rFonts w:cs="Arial"/>
                <w:lang w:val="en-AU"/>
              </w:rPr>
            </w:pPr>
            <w:r w:rsidRPr="00334DA5">
              <w:rPr>
                <w:lang w:val="en-AU"/>
              </w:rPr>
              <w:t>(3)</w:t>
            </w:r>
          </w:p>
        </w:tc>
      </w:tr>
    </w:tbl>
    <w:p w14:paraId="48ABAC83" w14:textId="77777777" w:rsidR="007604C5" w:rsidRPr="00334DA5" w:rsidRDefault="007604C5" w:rsidP="00EC7D61">
      <w:pPr>
        <w:pStyle w:val="CETBodytext"/>
        <w:rPr>
          <w:lang w:val="en-AU"/>
        </w:rPr>
      </w:pPr>
    </w:p>
    <w:p w14:paraId="1B452348" w14:textId="5D384459" w:rsidR="00A83218" w:rsidRPr="00334DA5" w:rsidRDefault="00EC7D61" w:rsidP="00EC7D61">
      <w:pPr>
        <w:pStyle w:val="CETBodytext"/>
        <w:rPr>
          <w:lang w:val="en-AU"/>
        </w:rPr>
      </w:pPr>
      <w:r w:rsidRPr="00334DA5">
        <w:rPr>
          <w:lang w:val="en-AU"/>
        </w:rPr>
        <w:t xml:space="preserve">Where </w:t>
      </w:r>
      <w:r w:rsidR="00F02DFD" w:rsidRPr="00334DA5">
        <w:rPr>
          <w:i/>
          <w:iCs/>
          <w:lang w:val="en-AU"/>
        </w:rPr>
        <w:t>‘</w:t>
      </w:r>
      <w:r w:rsidRPr="00334DA5">
        <w:rPr>
          <w:i/>
          <w:iCs/>
          <w:lang w:val="en-AU"/>
        </w:rPr>
        <w:t>F (%)</w:t>
      </w:r>
      <w:r w:rsidR="00F02DFD" w:rsidRPr="00334DA5">
        <w:rPr>
          <w:i/>
          <w:iCs/>
          <w:lang w:val="en-AU"/>
        </w:rPr>
        <w:t>’</w:t>
      </w:r>
      <w:r w:rsidRPr="00334DA5">
        <w:rPr>
          <w:lang w:val="en-AU"/>
        </w:rPr>
        <w:t xml:space="preserve"> is the detection frequency expressed as percentage</w:t>
      </w:r>
      <w:r w:rsidR="00F02DFD" w:rsidRPr="00334DA5">
        <w:rPr>
          <w:lang w:val="en-AU"/>
        </w:rPr>
        <w:t xml:space="preserve"> and</w:t>
      </w:r>
      <w:r w:rsidR="00DC2633" w:rsidRPr="00334DA5">
        <w:rPr>
          <w:lang w:val="en-AU"/>
        </w:rPr>
        <w:t xml:space="preserve"> </w:t>
      </w:r>
      <w:r w:rsidR="00F02DFD" w:rsidRPr="00334DA5">
        <w:rPr>
          <w:i/>
          <w:iCs/>
          <w:lang w:val="en-AU"/>
        </w:rPr>
        <w:t>‘</w:t>
      </w:r>
      <w:r w:rsidRPr="00334DA5">
        <w:rPr>
          <w:i/>
          <w:iCs/>
          <w:lang w:val="en-AU"/>
        </w:rPr>
        <w:t>I (%)</w:t>
      </w:r>
      <w:r w:rsidR="00F02DFD" w:rsidRPr="00334DA5">
        <w:rPr>
          <w:i/>
          <w:iCs/>
          <w:lang w:val="en-AU"/>
        </w:rPr>
        <w:t>’</w:t>
      </w:r>
      <w:r w:rsidRPr="00334DA5">
        <w:rPr>
          <w:lang w:val="en-AU"/>
        </w:rPr>
        <w:t xml:space="preserve"> is the average intensity expressed as a percentage of the maximum intensity</w:t>
      </w:r>
      <w:r w:rsidR="00F02DFD" w:rsidRPr="00334DA5">
        <w:rPr>
          <w:lang w:val="en-AU"/>
        </w:rPr>
        <w:t xml:space="preserve">. </w:t>
      </w:r>
      <w:r w:rsidR="007006DC" w:rsidRPr="00334DA5">
        <w:rPr>
          <w:i/>
          <w:iCs/>
          <w:lang w:val="en-AU"/>
        </w:rPr>
        <w:t>‘</w:t>
      </w:r>
      <w:r w:rsidR="00F02DFD" w:rsidRPr="00334DA5">
        <w:rPr>
          <w:i/>
          <w:iCs/>
          <w:lang w:val="en-AU"/>
        </w:rPr>
        <w:t>Total number of samples</w:t>
      </w:r>
      <w:r w:rsidR="007006DC" w:rsidRPr="00334DA5">
        <w:rPr>
          <w:i/>
          <w:iCs/>
          <w:lang w:val="en-AU"/>
        </w:rPr>
        <w:t>’</w:t>
      </w:r>
      <w:r w:rsidR="00F02DFD" w:rsidRPr="00334DA5">
        <w:rPr>
          <w:lang w:val="en-AU"/>
        </w:rPr>
        <w:t xml:space="preserve"> </w:t>
      </w:r>
      <w:r w:rsidR="007006DC" w:rsidRPr="00334DA5">
        <w:rPr>
          <w:lang w:val="en-AU"/>
        </w:rPr>
        <w:t xml:space="preserve">was 24, while </w:t>
      </w:r>
      <w:r w:rsidR="007006DC" w:rsidRPr="00334DA5">
        <w:rPr>
          <w:i/>
          <w:iCs/>
          <w:lang w:val="en-AU"/>
        </w:rPr>
        <w:t>‘</w:t>
      </w:r>
      <w:r w:rsidR="00DC2633" w:rsidRPr="00334DA5">
        <w:rPr>
          <w:i/>
          <w:iCs/>
          <w:lang w:val="en-AU"/>
        </w:rPr>
        <w:t>Maximum intensity</w:t>
      </w:r>
      <w:r w:rsidR="007006DC" w:rsidRPr="00334DA5">
        <w:rPr>
          <w:i/>
          <w:iCs/>
          <w:lang w:val="en-AU"/>
        </w:rPr>
        <w:t>’</w:t>
      </w:r>
      <w:r w:rsidR="00DC2633" w:rsidRPr="00334DA5">
        <w:rPr>
          <w:lang w:val="en-AU"/>
        </w:rPr>
        <w:t xml:space="preserve"> </w:t>
      </w:r>
      <w:r w:rsidR="007006DC" w:rsidRPr="00334DA5">
        <w:rPr>
          <w:lang w:val="en-AU"/>
        </w:rPr>
        <w:t>was</w:t>
      </w:r>
      <w:r w:rsidR="00DC2633" w:rsidRPr="00334DA5">
        <w:rPr>
          <w:lang w:val="en-AU"/>
        </w:rPr>
        <w:t xml:space="preserve"> 4</w:t>
      </w:r>
      <w:r w:rsidRPr="00334DA5">
        <w:rPr>
          <w:lang w:val="en-AU"/>
        </w:rPr>
        <w:t>.</w:t>
      </w:r>
    </w:p>
    <w:p w14:paraId="677EBFF0" w14:textId="123A5786" w:rsidR="00600535" w:rsidRPr="00334DA5" w:rsidRDefault="00B60B6C" w:rsidP="00600535">
      <w:pPr>
        <w:pStyle w:val="CETHeading1"/>
        <w:tabs>
          <w:tab w:val="clear" w:pos="360"/>
          <w:tab w:val="right" w:pos="7100"/>
        </w:tabs>
        <w:jc w:val="both"/>
        <w:rPr>
          <w:lang w:val="en-AU"/>
        </w:rPr>
      </w:pPr>
      <w:r w:rsidRPr="00334DA5">
        <w:rPr>
          <w:lang w:val="en-AU"/>
        </w:rPr>
        <w:t>Results and discussion</w:t>
      </w:r>
    </w:p>
    <w:p w14:paraId="04963A06" w14:textId="2F285CD4" w:rsidR="00600535" w:rsidRPr="00334DA5" w:rsidRDefault="00063626" w:rsidP="00FA5F5F">
      <w:pPr>
        <w:pStyle w:val="CETheadingx"/>
        <w:rPr>
          <w:lang w:val="en-AU"/>
        </w:rPr>
      </w:pPr>
      <w:r w:rsidRPr="00334DA5">
        <w:rPr>
          <w:lang w:val="en-AU"/>
        </w:rPr>
        <w:t>Sensory impact</w:t>
      </w:r>
      <w:r w:rsidR="006126E7" w:rsidRPr="00334DA5">
        <w:rPr>
          <w:lang w:val="en-AU"/>
        </w:rPr>
        <w:t xml:space="preserve"> of wastewater treatment processes</w:t>
      </w:r>
    </w:p>
    <w:p w14:paraId="50D02787" w14:textId="640FD9A3" w:rsidR="00551930" w:rsidRPr="00334DA5" w:rsidRDefault="00882123" w:rsidP="00717EF5">
      <w:pPr>
        <w:pStyle w:val="CETBodytext"/>
        <w:rPr>
          <w:lang w:val="en-AU"/>
        </w:rPr>
      </w:pPr>
      <w:r w:rsidRPr="00334DA5">
        <w:rPr>
          <w:lang w:val="en-AU"/>
        </w:rPr>
        <w:t xml:space="preserve">In total, 44 </w:t>
      </w:r>
      <w:r w:rsidR="003C52FF" w:rsidRPr="00334DA5">
        <w:rPr>
          <w:lang w:val="en-AU"/>
        </w:rPr>
        <w:t xml:space="preserve">different </w:t>
      </w:r>
      <w:r w:rsidRPr="00334DA5">
        <w:rPr>
          <w:lang w:val="en-AU"/>
        </w:rPr>
        <w:t xml:space="preserve">odour events </w:t>
      </w:r>
      <w:r w:rsidR="002D1BA8" w:rsidRPr="00334DA5">
        <w:rPr>
          <w:lang w:val="en-AU"/>
        </w:rPr>
        <w:t xml:space="preserve">were detected </w:t>
      </w:r>
      <w:r w:rsidRPr="00334DA5">
        <w:rPr>
          <w:lang w:val="en-AU"/>
        </w:rPr>
        <w:t>during the 15 days of laboratory storage for the two types of biosolids (Figure 2). Odour events frequently detected are likely to cause nuisance (Brattoli et al., 2011). For centrifuge biosolids, the two panellists detected ‘putrid-like sulfur’, ‘musty earthy’, and ‘musty chemical’ in more than half of the overall samples</w:t>
      </w:r>
      <w:r w:rsidR="005C67AD" w:rsidRPr="00334DA5">
        <w:rPr>
          <w:lang w:val="en-AU"/>
        </w:rPr>
        <w:t>. W</w:t>
      </w:r>
      <w:r w:rsidRPr="00334DA5">
        <w:rPr>
          <w:lang w:val="en-AU"/>
        </w:rPr>
        <w:t xml:space="preserve">hile for out-loading </w:t>
      </w:r>
      <w:r w:rsidR="005C67AD" w:rsidRPr="00334DA5">
        <w:rPr>
          <w:lang w:val="en-AU"/>
        </w:rPr>
        <w:t>biosolids</w:t>
      </w:r>
      <w:r w:rsidRPr="00334DA5">
        <w:rPr>
          <w:lang w:val="en-AU"/>
        </w:rPr>
        <w:t>, ‘fishy’, ‘putrid garlic’ and ‘putrid-like sulfur’</w:t>
      </w:r>
      <w:r w:rsidR="00434315" w:rsidRPr="00334DA5">
        <w:rPr>
          <w:lang w:val="en-AU"/>
        </w:rPr>
        <w:t xml:space="preserve"> were frequent</w:t>
      </w:r>
      <w:r w:rsidRPr="00334DA5">
        <w:rPr>
          <w:lang w:val="en-AU"/>
        </w:rPr>
        <w:t xml:space="preserve">. ODP P1, however, was overall more sensitive than ODP P2 (Figure 2). Odour sensitivity tests </w:t>
      </w:r>
      <w:r w:rsidR="00434315" w:rsidRPr="00334DA5">
        <w:rPr>
          <w:lang w:val="en-AU"/>
        </w:rPr>
        <w:t xml:space="preserve">based on </w:t>
      </w:r>
      <w:r w:rsidR="00EF6874" w:rsidRPr="00334DA5">
        <w:rPr>
          <w:lang w:val="en-AU"/>
        </w:rPr>
        <w:t>hexana</w:t>
      </w:r>
      <w:r w:rsidR="00434315" w:rsidRPr="00334DA5">
        <w:rPr>
          <w:lang w:val="en-AU"/>
        </w:rPr>
        <w:t xml:space="preserve">l and geosmin </w:t>
      </w:r>
      <w:r w:rsidRPr="00334DA5">
        <w:rPr>
          <w:lang w:val="en-AU"/>
        </w:rPr>
        <w:t>conducted with the two panellists agreed to this difference in sensitivity</w:t>
      </w:r>
      <w:r w:rsidR="00434315" w:rsidRPr="00334DA5">
        <w:rPr>
          <w:lang w:val="en-AU"/>
        </w:rPr>
        <w:t>. H</w:t>
      </w:r>
      <w:r w:rsidRPr="00334DA5">
        <w:rPr>
          <w:lang w:val="en-AU"/>
        </w:rPr>
        <w:t xml:space="preserve">owever, </w:t>
      </w:r>
      <w:r w:rsidRPr="00334DA5">
        <w:rPr>
          <w:lang w:val="en-AU"/>
        </w:rPr>
        <w:lastRenderedPageBreak/>
        <w:t xml:space="preserve">ODP P2 detected geosmin at 5 ng/L, slightly outperforming ODP P1, who detected it at 10 ng/L. Although both panellists detected hexanal at same concentration of 100 ng/L and </w:t>
      </w:r>
      <w:r w:rsidR="00F13A00" w:rsidRPr="00334DA5">
        <w:rPr>
          <w:lang w:val="en-AU"/>
        </w:rPr>
        <w:t>were</w:t>
      </w:r>
      <w:r w:rsidRPr="00334DA5">
        <w:rPr>
          <w:lang w:val="en-AU"/>
        </w:rPr>
        <w:t xml:space="preserve"> considered sensitive panellists. </w:t>
      </w:r>
      <w:r w:rsidR="00DA5159" w:rsidRPr="00334DA5">
        <w:rPr>
          <w:lang w:val="en-AU"/>
        </w:rPr>
        <w:t>S</w:t>
      </w:r>
      <w:r w:rsidRPr="00334DA5">
        <w:rPr>
          <w:lang w:val="en-AU"/>
        </w:rPr>
        <w:t xml:space="preserve">ensory methods </w:t>
      </w:r>
      <w:r w:rsidR="00AC7DE0" w:rsidRPr="00334DA5">
        <w:rPr>
          <w:lang w:val="en-AU"/>
        </w:rPr>
        <w:t>can</w:t>
      </w:r>
      <w:r w:rsidRPr="00334DA5">
        <w:rPr>
          <w:lang w:val="en-AU"/>
        </w:rPr>
        <w:t xml:space="preserve"> </w:t>
      </w:r>
      <w:r w:rsidR="00DA5159" w:rsidRPr="00334DA5">
        <w:rPr>
          <w:lang w:val="en-AU"/>
        </w:rPr>
        <w:t xml:space="preserve">not only </w:t>
      </w:r>
      <w:r w:rsidR="00AC7DE0" w:rsidRPr="00334DA5">
        <w:rPr>
          <w:lang w:val="en-AU"/>
        </w:rPr>
        <w:t>identify</w:t>
      </w:r>
      <w:r w:rsidRPr="00334DA5">
        <w:rPr>
          <w:lang w:val="en-AU"/>
        </w:rPr>
        <w:t xml:space="preserve"> significant odour events that might cause nuisance to a larger group</w:t>
      </w:r>
      <w:r w:rsidR="00DA5159" w:rsidRPr="00334DA5">
        <w:rPr>
          <w:lang w:val="en-AU"/>
        </w:rPr>
        <w:t xml:space="preserve">, but also </w:t>
      </w:r>
      <w:r w:rsidRPr="00334DA5">
        <w:rPr>
          <w:lang w:val="en-AU"/>
        </w:rPr>
        <w:t>recogniz</w:t>
      </w:r>
      <w:r w:rsidR="00DA5159" w:rsidRPr="00334DA5">
        <w:rPr>
          <w:lang w:val="en-AU"/>
        </w:rPr>
        <w:t>e</w:t>
      </w:r>
      <w:r w:rsidRPr="00334DA5">
        <w:rPr>
          <w:lang w:val="en-AU"/>
        </w:rPr>
        <w:t xml:space="preserve"> individual sensitivities. This is particularly important in addressing odour complaints.</w:t>
      </w:r>
    </w:p>
    <w:p w14:paraId="4AC245E9" w14:textId="77777777" w:rsidR="00882123" w:rsidRPr="00334DA5" w:rsidRDefault="00882123" w:rsidP="00717EF5">
      <w:pPr>
        <w:pStyle w:val="CETBodytext"/>
        <w:rPr>
          <w:lang w:val="en-AU"/>
        </w:rPr>
      </w:pPr>
    </w:p>
    <w:tbl>
      <w:tblPr>
        <w:tblStyle w:val="TableGrid"/>
        <w:tblW w:w="0" w:type="auto"/>
        <w:tblInd w:w="340" w:type="dxa"/>
        <w:tblLook w:val="04A0" w:firstRow="1" w:lastRow="0" w:firstColumn="1" w:lastColumn="0" w:noHBand="0" w:noVBand="1"/>
      </w:tblPr>
      <w:tblGrid>
        <w:gridCol w:w="8437"/>
      </w:tblGrid>
      <w:tr w:rsidR="004C2159" w:rsidRPr="00334DA5" w14:paraId="5DE93E07" w14:textId="77777777" w:rsidTr="004A3F32">
        <w:tc>
          <w:tcPr>
            <w:tcW w:w="8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495FB4" w14:textId="76602DB4" w:rsidR="004C2159" w:rsidRPr="00334DA5" w:rsidRDefault="004C2159" w:rsidP="00070BD8">
            <w:pPr>
              <w:pStyle w:val="CETListbullets"/>
              <w:ind w:left="0" w:firstLine="0"/>
              <w:jc w:val="left"/>
              <w:rPr>
                <w:lang w:val="en-AU"/>
              </w:rPr>
            </w:pPr>
            <w:r w:rsidRPr="00334DA5">
              <w:rPr>
                <w:b/>
                <w:bCs/>
                <w:sz w:val="16"/>
                <w:szCs w:val="18"/>
                <w:lang w:val="en-AU"/>
              </w:rPr>
              <w:t xml:space="preserve">(a) </w:t>
            </w:r>
            <w:r w:rsidR="00070BD8" w:rsidRPr="00334DA5">
              <w:rPr>
                <w:b/>
                <w:bCs/>
                <w:sz w:val="16"/>
                <w:szCs w:val="18"/>
                <w:lang w:val="en-AU"/>
              </w:rPr>
              <w:t>Centrifug</w:t>
            </w:r>
            <w:r w:rsidR="00E53DC3" w:rsidRPr="00334DA5">
              <w:rPr>
                <w:b/>
                <w:bCs/>
                <w:sz w:val="16"/>
                <w:szCs w:val="18"/>
                <w:lang w:val="en-AU"/>
              </w:rPr>
              <w:t>e biosolids</w:t>
            </w:r>
            <w:r w:rsidR="00387FE2" w:rsidRPr="00334DA5">
              <w:rPr>
                <w:noProof/>
                <w:lang w:val="en-AU"/>
              </w:rPr>
              <w:drawing>
                <wp:inline distT="0" distB="0" distL="0" distR="0" wp14:anchorId="7EF24615" wp14:editId="519E69DD">
                  <wp:extent cx="5312587" cy="2088000"/>
                  <wp:effectExtent l="0" t="0" r="2540" b="7620"/>
                  <wp:docPr id="9541385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3" t="3864" r="1832" b="17150"/>
                          <a:stretch/>
                        </pic:blipFill>
                        <pic:spPr bwMode="auto">
                          <a:xfrm>
                            <a:off x="0" y="0"/>
                            <a:ext cx="5312587" cy="20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5F80" w:rsidRPr="00334DA5" w14:paraId="71005567" w14:textId="77777777" w:rsidTr="004A3F32">
        <w:tc>
          <w:tcPr>
            <w:tcW w:w="8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C5D81A" w14:textId="77777777" w:rsidR="00685F80" w:rsidRPr="00334DA5" w:rsidRDefault="00685F80" w:rsidP="00070BD8">
            <w:pPr>
              <w:pStyle w:val="CETListbullets"/>
              <w:ind w:left="0" w:firstLine="0"/>
              <w:jc w:val="left"/>
              <w:rPr>
                <w:b/>
                <w:bCs/>
                <w:sz w:val="16"/>
                <w:szCs w:val="18"/>
                <w:lang w:val="en-AU"/>
              </w:rPr>
            </w:pPr>
          </w:p>
        </w:tc>
      </w:tr>
      <w:tr w:rsidR="004C2159" w:rsidRPr="00334DA5" w14:paraId="30E03584" w14:textId="77777777" w:rsidTr="004A3F32">
        <w:tc>
          <w:tcPr>
            <w:tcW w:w="8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FD70E0" w14:textId="5AA28FF8" w:rsidR="004C2159" w:rsidRPr="00334DA5" w:rsidRDefault="004C2159" w:rsidP="00C3324B">
            <w:pPr>
              <w:pStyle w:val="CETListbullets"/>
              <w:keepNext/>
              <w:ind w:left="0" w:firstLine="0"/>
              <w:jc w:val="left"/>
              <w:rPr>
                <w:lang w:val="en-AU"/>
              </w:rPr>
            </w:pPr>
            <w:r w:rsidRPr="00334DA5">
              <w:rPr>
                <w:b/>
                <w:bCs/>
                <w:sz w:val="16"/>
                <w:szCs w:val="18"/>
                <w:lang w:val="en-AU"/>
              </w:rPr>
              <w:t xml:space="preserve">(b) </w:t>
            </w:r>
            <w:r w:rsidR="00070BD8" w:rsidRPr="00334DA5">
              <w:rPr>
                <w:b/>
                <w:bCs/>
                <w:sz w:val="16"/>
                <w:szCs w:val="18"/>
                <w:lang w:val="en-AU"/>
              </w:rPr>
              <w:t>Out-loading</w:t>
            </w:r>
            <w:r w:rsidR="00E53DC3" w:rsidRPr="00334DA5">
              <w:rPr>
                <w:b/>
                <w:bCs/>
                <w:sz w:val="16"/>
                <w:szCs w:val="18"/>
                <w:lang w:val="en-AU"/>
              </w:rPr>
              <w:t xml:space="preserve"> biosolids</w:t>
            </w:r>
            <w:r w:rsidR="004A3F32" w:rsidRPr="00334DA5">
              <w:rPr>
                <w:noProof/>
                <w:lang w:val="en-AU"/>
              </w:rPr>
              <w:t xml:space="preserve"> </w:t>
            </w:r>
            <w:r w:rsidR="009B188C" w:rsidRPr="00334DA5">
              <w:rPr>
                <w:noProof/>
                <w:lang w:val="en-AU"/>
              </w:rPr>
              <w:drawing>
                <wp:inline distT="0" distB="0" distL="0" distR="0" wp14:anchorId="5F47BCC4" wp14:editId="34C277C1">
                  <wp:extent cx="5543550" cy="2070100"/>
                  <wp:effectExtent l="0" t="0" r="0" b="6350"/>
                  <wp:docPr id="1449616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t="3864" b="17391"/>
                          <a:stretch/>
                        </pic:blipFill>
                        <pic:spPr bwMode="auto">
                          <a:xfrm>
                            <a:off x="0" y="0"/>
                            <a:ext cx="5543550" cy="2070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909E94" w14:textId="57F34553" w:rsidR="00A66774" w:rsidRPr="00334DA5" w:rsidRDefault="00C3324B" w:rsidP="005A1F19">
      <w:pPr>
        <w:pStyle w:val="CETCaption"/>
        <w:rPr>
          <w:lang w:val="en-AU"/>
        </w:rPr>
      </w:pPr>
      <w:bookmarkStart w:id="2" w:name="_Ref170236347"/>
      <w:r w:rsidRPr="00334DA5">
        <w:rPr>
          <w:lang w:val="en-AU"/>
        </w:rPr>
        <w:t>Figure</w:t>
      </w:r>
      <w:bookmarkEnd w:id="2"/>
      <w:r w:rsidR="0023216F" w:rsidRPr="00334DA5">
        <w:rPr>
          <w:lang w:val="en-AU"/>
        </w:rPr>
        <w:t xml:space="preserve"> </w:t>
      </w:r>
      <w:r w:rsidR="00841B28" w:rsidRPr="00334DA5">
        <w:rPr>
          <w:lang w:val="en-AU"/>
        </w:rPr>
        <w:t>2</w:t>
      </w:r>
      <w:r w:rsidRPr="00334DA5">
        <w:rPr>
          <w:lang w:val="en-AU"/>
        </w:rPr>
        <w:t xml:space="preserve">: </w:t>
      </w:r>
      <w:r w:rsidR="00274F6A" w:rsidRPr="00334DA5">
        <w:rPr>
          <w:lang w:val="en-AU"/>
        </w:rPr>
        <w:t>Number of occurrences of odour descriptors as identified by sensory panellists</w:t>
      </w:r>
      <w:r w:rsidR="00D019AF" w:rsidRPr="00334DA5">
        <w:rPr>
          <w:lang w:val="en-AU"/>
        </w:rPr>
        <w:t xml:space="preserve"> (ODP P1, ODP P2)</w:t>
      </w:r>
      <w:r w:rsidR="00274F6A" w:rsidRPr="00334DA5">
        <w:rPr>
          <w:lang w:val="en-AU"/>
        </w:rPr>
        <w:t xml:space="preserve"> using the olfactory detection port (ODP) over a period of 15 days for </w:t>
      </w:r>
      <w:r w:rsidR="00A86314" w:rsidRPr="00334DA5">
        <w:rPr>
          <w:lang w:val="en-AU"/>
        </w:rPr>
        <w:t>c</w:t>
      </w:r>
      <w:r w:rsidR="00274F6A" w:rsidRPr="00334DA5">
        <w:rPr>
          <w:lang w:val="en-AU"/>
        </w:rPr>
        <w:t xml:space="preserve">entrifuge and </w:t>
      </w:r>
      <w:r w:rsidR="00A86314" w:rsidRPr="00334DA5">
        <w:rPr>
          <w:lang w:val="en-AU"/>
        </w:rPr>
        <w:t>o</w:t>
      </w:r>
      <w:r w:rsidR="00274F6A" w:rsidRPr="00334DA5">
        <w:rPr>
          <w:lang w:val="en-AU"/>
        </w:rPr>
        <w:t>ut-loading biosolids.</w:t>
      </w:r>
      <w:r w:rsidR="00E974A8" w:rsidRPr="00334DA5">
        <w:rPr>
          <w:lang w:val="en-AU"/>
        </w:rPr>
        <w:t xml:space="preserve"> </w:t>
      </w:r>
    </w:p>
    <w:p w14:paraId="7C3D55CA" w14:textId="0E016E94" w:rsidR="00CF608F" w:rsidRPr="00334DA5" w:rsidRDefault="003D5485" w:rsidP="00DA567F">
      <w:pPr>
        <w:rPr>
          <w:lang w:val="en-AU"/>
        </w:rPr>
      </w:pPr>
      <w:r w:rsidRPr="00334DA5">
        <w:rPr>
          <w:lang w:val="en-AU"/>
        </w:rPr>
        <w:t xml:space="preserve">Seven odour events were prioritised based on their </w:t>
      </w:r>
      <w:r w:rsidR="00C00754" w:rsidRPr="00334DA5">
        <w:rPr>
          <w:lang w:val="en-AU"/>
        </w:rPr>
        <w:t>frequency</w:t>
      </w:r>
      <w:r w:rsidRPr="00334DA5">
        <w:rPr>
          <w:lang w:val="en-AU"/>
        </w:rPr>
        <w:t xml:space="preserve"> and intensity (Figure 3). </w:t>
      </w:r>
      <w:r w:rsidR="00C502E3" w:rsidRPr="00334DA5">
        <w:rPr>
          <w:lang w:val="en-AU"/>
        </w:rPr>
        <w:t xml:space="preserve">Their frequencies of </w:t>
      </w:r>
      <w:r w:rsidRPr="00334DA5">
        <w:rPr>
          <w:lang w:val="en-AU"/>
        </w:rPr>
        <w:t xml:space="preserve">occurrence </w:t>
      </w:r>
      <w:r w:rsidR="00AC7A2E" w:rsidRPr="00334DA5">
        <w:rPr>
          <w:lang w:val="en-AU"/>
        </w:rPr>
        <w:t xml:space="preserve">fluctuated </w:t>
      </w:r>
      <w:r w:rsidRPr="00334DA5">
        <w:rPr>
          <w:lang w:val="en-AU"/>
        </w:rPr>
        <w:t>differently over the period of laboratory storage. ‘Fishy’ was only detected in the early stages for the centrifuge biosolids</w:t>
      </w:r>
      <w:r w:rsidR="00C502E3" w:rsidRPr="00334DA5">
        <w:rPr>
          <w:lang w:val="en-AU"/>
        </w:rPr>
        <w:t xml:space="preserve"> storage</w:t>
      </w:r>
      <w:r w:rsidRPr="00334DA5">
        <w:rPr>
          <w:lang w:val="en-AU"/>
        </w:rPr>
        <w:t xml:space="preserve">, while detected in almost all samples for out-loading. </w:t>
      </w:r>
      <w:r w:rsidR="002830C8" w:rsidRPr="00334DA5">
        <w:rPr>
          <w:lang w:val="en-AU"/>
        </w:rPr>
        <w:t>T</w:t>
      </w:r>
      <w:r w:rsidRPr="00334DA5">
        <w:rPr>
          <w:lang w:val="en-AU"/>
        </w:rPr>
        <w:t xml:space="preserve">he two panellists </w:t>
      </w:r>
      <w:r w:rsidR="002830C8" w:rsidRPr="00334DA5">
        <w:rPr>
          <w:lang w:val="en-AU"/>
        </w:rPr>
        <w:t>presented</w:t>
      </w:r>
      <w:r w:rsidRPr="00334DA5">
        <w:rPr>
          <w:lang w:val="en-AU"/>
        </w:rPr>
        <w:t xml:space="preserve"> similar </w:t>
      </w:r>
      <w:r w:rsidR="002830C8" w:rsidRPr="00334DA5">
        <w:rPr>
          <w:lang w:val="en-AU"/>
        </w:rPr>
        <w:t xml:space="preserve">overall </w:t>
      </w:r>
      <w:r w:rsidRPr="00334DA5">
        <w:rPr>
          <w:lang w:val="en-AU"/>
        </w:rPr>
        <w:t xml:space="preserve">sensitivity to ‘fishy’. ‘Putrid garlic’ was also detected more frequently in out-loading samples than centrifuge, with ODP P1 detecting it more halfway through the sampling campaign and ODP P2 in the beginning for out-loading. For centrifuge samples, this odour event seemed to appear towards the end. ‘Musty chemical’ followed a similar pattern over time to ‘putrid garlic’, although being detected more frequently in the centrifuge than in the out-loading biosolids. ‘Putrid-like sulfur’ was detected for both biosolids in all six sampling days </w:t>
      </w:r>
      <w:r w:rsidR="003B6C00" w:rsidRPr="00334DA5">
        <w:rPr>
          <w:lang w:val="en-AU"/>
        </w:rPr>
        <w:t xml:space="preserve">by </w:t>
      </w:r>
      <w:r w:rsidRPr="00334DA5">
        <w:rPr>
          <w:lang w:val="en-AU"/>
        </w:rPr>
        <w:t xml:space="preserve">ODP P1, while ODP P2 </w:t>
      </w:r>
      <w:r w:rsidR="00976A57" w:rsidRPr="00334DA5">
        <w:rPr>
          <w:lang w:val="en-AU"/>
        </w:rPr>
        <w:t xml:space="preserve">detected it in all but four samples. </w:t>
      </w:r>
      <w:r w:rsidRPr="00334DA5">
        <w:rPr>
          <w:lang w:val="en-AU"/>
        </w:rPr>
        <w:t>This odour event, thus, is likely to be of concern for the odour management of these biosolids. ‘Putrid-like sulfur’ is likely associated with emissions of volatile sulfur compounds (VSCs) (Fisher et al., 2018)</w:t>
      </w:r>
      <w:r w:rsidR="000E18F5" w:rsidRPr="00334DA5">
        <w:rPr>
          <w:lang w:val="en-AU"/>
        </w:rPr>
        <w:t xml:space="preserve">, which </w:t>
      </w:r>
      <w:r w:rsidRPr="00334DA5">
        <w:rPr>
          <w:lang w:val="en-AU"/>
        </w:rPr>
        <w:t>are microbial degradation byproducts of sulfur-containing amino acids (Higgins et al., 2006).</w:t>
      </w:r>
      <w:r w:rsidR="000E18F5" w:rsidRPr="00334DA5">
        <w:rPr>
          <w:lang w:val="en-AU"/>
        </w:rPr>
        <w:t xml:space="preserve"> </w:t>
      </w:r>
    </w:p>
    <w:p w14:paraId="21814297" w14:textId="77777777" w:rsidR="00CF608F" w:rsidRPr="00334DA5" w:rsidRDefault="00CF608F" w:rsidP="00DA567F">
      <w:pPr>
        <w:rPr>
          <w:lang w:val="en-AU"/>
        </w:rPr>
      </w:pPr>
    </w:p>
    <w:p w14:paraId="2E04688B" w14:textId="75DAD171" w:rsidR="00074E1C" w:rsidRPr="00334DA5" w:rsidRDefault="00074E1C" w:rsidP="00DA567F">
      <w:pPr>
        <w:rPr>
          <w:lang w:val="en-AU"/>
        </w:rPr>
      </w:pPr>
      <w:r w:rsidRPr="00334DA5">
        <w:rPr>
          <w:lang w:val="en-AU"/>
        </w:rPr>
        <w:t xml:space="preserve">Furthermore, ‘wood’ and ‘minty eucalyptus’ varied throughout the sampling campaign for both panellists and biosolids, being detected in scattered days. ‘Musty earthy’ was only detected towards the end of sampling period – after day 5 – and more frequently in the centrifuge than in the out-loading biosolids. These odour events could be associated with volatile organic compounds (VOCs), which can be produced after VSCs dissipate and are difficult to degrade, persisting for </w:t>
      </w:r>
      <w:r w:rsidR="00CF608F" w:rsidRPr="00334DA5">
        <w:rPr>
          <w:lang w:val="en-AU"/>
        </w:rPr>
        <w:t>a</w:t>
      </w:r>
      <w:r w:rsidRPr="00334DA5">
        <w:rPr>
          <w:lang w:val="en-AU"/>
        </w:rPr>
        <w:t xml:space="preserve"> longer period of time (Chen et al., 2011). As VOCs can also have low </w:t>
      </w:r>
      <w:r w:rsidRPr="00334DA5">
        <w:rPr>
          <w:lang w:val="en-AU"/>
        </w:rPr>
        <w:lastRenderedPageBreak/>
        <w:t xml:space="preserve">threshold concentrations to human olfactory, it is likely that humans can still experience nuisance from these compounds. This odour impact, however, might be of concern for communities that live further </w:t>
      </w:r>
      <w:r w:rsidR="00474050" w:rsidRPr="00334DA5">
        <w:rPr>
          <w:lang w:val="en-AU"/>
        </w:rPr>
        <w:t>a</w:t>
      </w:r>
      <w:r w:rsidRPr="00334DA5">
        <w:rPr>
          <w:lang w:val="en-AU"/>
        </w:rPr>
        <w:t>way from the treatment plant or during land application, depending on transportation and spreading time.</w:t>
      </w:r>
    </w:p>
    <w:p w14:paraId="4F3E4E92" w14:textId="77777777" w:rsidR="003410BF" w:rsidRPr="00334DA5" w:rsidRDefault="003410BF" w:rsidP="00DA567F">
      <w:pPr>
        <w:rPr>
          <w:lang w:val="en-AU"/>
        </w:rPr>
      </w:pPr>
    </w:p>
    <w:tbl>
      <w:tblPr>
        <w:tblStyle w:val="TableGrid"/>
        <w:tblW w:w="0" w:type="auto"/>
        <w:tblLook w:val="04A0" w:firstRow="1" w:lastRow="0" w:firstColumn="1" w:lastColumn="0" w:noHBand="0" w:noVBand="1"/>
      </w:tblPr>
      <w:tblGrid>
        <w:gridCol w:w="4388"/>
        <w:gridCol w:w="4389"/>
      </w:tblGrid>
      <w:tr w:rsidR="004605D1" w:rsidRPr="00334DA5" w14:paraId="1A77BF09" w14:textId="77777777" w:rsidTr="00FE416F">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17A6D8" w14:textId="2D4D35E5" w:rsidR="001964C6" w:rsidRDefault="004605D1" w:rsidP="00514D3A">
            <w:pPr>
              <w:pStyle w:val="CETBodytext"/>
              <w:jc w:val="left"/>
              <w:rPr>
                <w:sz w:val="16"/>
                <w:szCs w:val="18"/>
                <w:lang w:val="en-AU"/>
              </w:rPr>
            </w:pPr>
            <w:r w:rsidRPr="00334DA5">
              <w:rPr>
                <w:b/>
                <w:bCs/>
                <w:sz w:val="16"/>
                <w:szCs w:val="18"/>
                <w:lang w:val="en-AU"/>
              </w:rPr>
              <w:t>(a)</w:t>
            </w:r>
            <w:r w:rsidR="00514D3A" w:rsidRPr="00334DA5">
              <w:rPr>
                <w:b/>
                <w:bCs/>
                <w:sz w:val="16"/>
                <w:szCs w:val="18"/>
                <w:lang w:val="en-AU"/>
              </w:rPr>
              <w:t xml:space="preserve"> Centrifuge </w:t>
            </w:r>
            <w:r w:rsidR="00E53DC3" w:rsidRPr="00334DA5">
              <w:rPr>
                <w:b/>
                <w:bCs/>
                <w:sz w:val="16"/>
                <w:szCs w:val="18"/>
                <w:lang w:val="en-AU"/>
              </w:rPr>
              <w:t xml:space="preserve">biosolids </w:t>
            </w:r>
            <w:r w:rsidR="00274F6A" w:rsidRPr="00334DA5">
              <w:rPr>
                <w:b/>
                <w:bCs/>
                <w:sz w:val="16"/>
                <w:szCs w:val="18"/>
                <w:lang w:val="en-AU"/>
              </w:rPr>
              <w:t xml:space="preserve">- </w:t>
            </w:r>
            <w:r w:rsidR="00514D3A" w:rsidRPr="00334DA5">
              <w:rPr>
                <w:b/>
                <w:bCs/>
                <w:sz w:val="16"/>
                <w:szCs w:val="18"/>
                <w:lang w:val="en-AU"/>
              </w:rPr>
              <w:t>ODP P1</w:t>
            </w:r>
            <w:r w:rsidR="00514D3A" w:rsidRPr="00334DA5">
              <w:rPr>
                <w:sz w:val="16"/>
                <w:szCs w:val="18"/>
                <w:lang w:val="en-AU"/>
              </w:rPr>
              <w:t xml:space="preserve"> </w:t>
            </w:r>
          </w:p>
          <w:p w14:paraId="3DB8B042" w14:textId="77777777" w:rsidR="004605D1" w:rsidRDefault="002C0A1C" w:rsidP="00514D3A">
            <w:pPr>
              <w:pStyle w:val="CETBodytext"/>
              <w:jc w:val="left"/>
              <w:rPr>
                <w:sz w:val="16"/>
                <w:szCs w:val="18"/>
                <w:lang w:val="en-AU"/>
              </w:rPr>
            </w:pPr>
            <w:r w:rsidRPr="00334DA5">
              <w:rPr>
                <w:noProof/>
                <w:lang w:val="en-AU"/>
              </w:rPr>
              <w:drawing>
                <wp:inline distT="0" distB="0" distL="0" distR="0" wp14:anchorId="572FA303" wp14:editId="3F2E3757">
                  <wp:extent cx="2844000" cy="1434869"/>
                  <wp:effectExtent l="0" t="0" r="0" b="0"/>
                  <wp:docPr id="1079110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t="7451" b="5098"/>
                          <a:stretch/>
                        </pic:blipFill>
                        <pic:spPr bwMode="auto">
                          <a:xfrm>
                            <a:off x="0" y="0"/>
                            <a:ext cx="2844000" cy="1434869"/>
                          </a:xfrm>
                          <a:prstGeom prst="rect">
                            <a:avLst/>
                          </a:prstGeom>
                          <a:noFill/>
                          <a:ln>
                            <a:noFill/>
                          </a:ln>
                          <a:extLst>
                            <a:ext uri="{53640926-AAD7-44D8-BBD7-CCE9431645EC}">
                              <a14:shadowObscured xmlns:a14="http://schemas.microsoft.com/office/drawing/2010/main"/>
                            </a:ext>
                          </a:extLst>
                        </pic:spPr>
                      </pic:pic>
                    </a:graphicData>
                  </a:graphic>
                </wp:inline>
              </w:drawing>
            </w:r>
          </w:p>
          <w:p w14:paraId="2A43368E" w14:textId="34E408E8" w:rsidR="001964C6" w:rsidRPr="00334DA5" w:rsidRDefault="001964C6" w:rsidP="00514D3A">
            <w:pPr>
              <w:pStyle w:val="CETBodytext"/>
              <w:jc w:val="left"/>
              <w:rPr>
                <w:sz w:val="16"/>
                <w:szCs w:val="18"/>
                <w:lang w:val="en-AU"/>
              </w:rPr>
            </w:pP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48FAE" w14:textId="0BA5940D" w:rsidR="001964C6" w:rsidRDefault="004605D1" w:rsidP="00514D3A">
            <w:pPr>
              <w:pStyle w:val="CETBodytext"/>
              <w:jc w:val="left"/>
              <w:rPr>
                <w:sz w:val="16"/>
                <w:szCs w:val="18"/>
                <w:lang w:val="en-AU"/>
              </w:rPr>
            </w:pPr>
            <w:r w:rsidRPr="00334DA5">
              <w:rPr>
                <w:b/>
                <w:bCs/>
                <w:sz w:val="16"/>
                <w:szCs w:val="18"/>
                <w:lang w:val="en-AU"/>
              </w:rPr>
              <w:t>(b)</w:t>
            </w:r>
            <w:r w:rsidR="00514D3A" w:rsidRPr="00334DA5">
              <w:rPr>
                <w:b/>
                <w:bCs/>
                <w:sz w:val="16"/>
                <w:szCs w:val="18"/>
                <w:lang w:val="en-AU"/>
              </w:rPr>
              <w:t xml:space="preserve"> Centrifuge </w:t>
            </w:r>
            <w:r w:rsidR="00E53DC3" w:rsidRPr="00334DA5">
              <w:rPr>
                <w:b/>
                <w:bCs/>
                <w:sz w:val="16"/>
                <w:szCs w:val="18"/>
                <w:lang w:val="en-AU"/>
              </w:rPr>
              <w:t xml:space="preserve">biosolids </w:t>
            </w:r>
            <w:r w:rsidR="00274F6A" w:rsidRPr="00334DA5">
              <w:rPr>
                <w:b/>
                <w:bCs/>
                <w:sz w:val="16"/>
                <w:szCs w:val="18"/>
                <w:lang w:val="en-AU"/>
              </w:rPr>
              <w:t xml:space="preserve">- </w:t>
            </w:r>
            <w:r w:rsidR="00514D3A" w:rsidRPr="00334DA5">
              <w:rPr>
                <w:b/>
                <w:bCs/>
                <w:sz w:val="16"/>
                <w:szCs w:val="18"/>
                <w:lang w:val="en-AU"/>
              </w:rPr>
              <w:t>ODP P2</w:t>
            </w:r>
            <w:r w:rsidR="00514D3A" w:rsidRPr="00334DA5">
              <w:rPr>
                <w:sz w:val="16"/>
                <w:szCs w:val="18"/>
                <w:lang w:val="en-AU"/>
              </w:rPr>
              <w:t xml:space="preserve"> </w:t>
            </w:r>
          </w:p>
          <w:p w14:paraId="706C73BF" w14:textId="77777777" w:rsidR="004605D1" w:rsidRDefault="002C0A1C" w:rsidP="00514D3A">
            <w:pPr>
              <w:pStyle w:val="CETBodytext"/>
              <w:jc w:val="left"/>
              <w:rPr>
                <w:sz w:val="16"/>
                <w:szCs w:val="18"/>
                <w:lang w:val="en-AU"/>
              </w:rPr>
            </w:pPr>
            <w:r w:rsidRPr="00334DA5">
              <w:rPr>
                <w:noProof/>
                <w:lang w:val="en-AU"/>
              </w:rPr>
              <w:drawing>
                <wp:inline distT="0" distB="0" distL="0" distR="0" wp14:anchorId="374569EB" wp14:editId="6360DF7D">
                  <wp:extent cx="2844000" cy="1434869"/>
                  <wp:effectExtent l="0" t="0" r="0" b="0"/>
                  <wp:docPr id="922265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7843" b="4706"/>
                          <a:stretch/>
                        </pic:blipFill>
                        <pic:spPr bwMode="auto">
                          <a:xfrm>
                            <a:off x="0" y="0"/>
                            <a:ext cx="2844000" cy="1434869"/>
                          </a:xfrm>
                          <a:prstGeom prst="rect">
                            <a:avLst/>
                          </a:prstGeom>
                          <a:noFill/>
                          <a:ln>
                            <a:noFill/>
                          </a:ln>
                          <a:extLst>
                            <a:ext uri="{53640926-AAD7-44D8-BBD7-CCE9431645EC}">
                              <a14:shadowObscured xmlns:a14="http://schemas.microsoft.com/office/drawing/2010/main"/>
                            </a:ext>
                          </a:extLst>
                        </pic:spPr>
                      </pic:pic>
                    </a:graphicData>
                  </a:graphic>
                </wp:inline>
              </w:drawing>
            </w:r>
          </w:p>
          <w:p w14:paraId="6F90A0DA" w14:textId="549CDFDA" w:rsidR="001964C6" w:rsidRPr="00334DA5" w:rsidRDefault="001964C6" w:rsidP="00514D3A">
            <w:pPr>
              <w:pStyle w:val="CETBodytext"/>
              <w:jc w:val="left"/>
              <w:rPr>
                <w:sz w:val="16"/>
                <w:szCs w:val="18"/>
                <w:lang w:val="en-AU"/>
              </w:rPr>
            </w:pPr>
          </w:p>
        </w:tc>
      </w:tr>
      <w:tr w:rsidR="004605D1" w:rsidRPr="00334DA5" w14:paraId="1ADB0712" w14:textId="77777777" w:rsidTr="00FE416F">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B8CCAE" w14:textId="5E451967" w:rsidR="001964C6" w:rsidRDefault="004605D1" w:rsidP="00514D3A">
            <w:pPr>
              <w:pStyle w:val="CETBodytext"/>
              <w:jc w:val="left"/>
              <w:rPr>
                <w:sz w:val="16"/>
                <w:szCs w:val="18"/>
                <w:lang w:val="en-AU"/>
              </w:rPr>
            </w:pPr>
            <w:r w:rsidRPr="00334DA5">
              <w:rPr>
                <w:b/>
                <w:bCs/>
                <w:sz w:val="16"/>
                <w:szCs w:val="18"/>
                <w:lang w:val="en-AU"/>
              </w:rPr>
              <w:t>(c)</w:t>
            </w:r>
            <w:r w:rsidR="00514D3A" w:rsidRPr="00334DA5">
              <w:rPr>
                <w:b/>
                <w:bCs/>
                <w:sz w:val="16"/>
                <w:szCs w:val="18"/>
                <w:lang w:val="en-AU"/>
              </w:rPr>
              <w:t xml:space="preserve"> Out-loading </w:t>
            </w:r>
            <w:r w:rsidR="00E53DC3" w:rsidRPr="00334DA5">
              <w:rPr>
                <w:b/>
                <w:bCs/>
                <w:sz w:val="16"/>
                <w:szCs w:val="18"/>
                <w:lang w:val="en-AU"/>
              </w:rPr>
              <w:t xml:space="preserve">biosolids </w:t>
            </w:r>
            <w:r w:rsidR="00274F6A" w:rsidRPr="00334DA5">
              <w:rPr>
                <w:b/>
                <w:bCs/>
                <w:sz w:val="16"/>
                <w:szCs w:val="18"/>
                <w:lang w:val="en-AU"/>
              </w:rPr>
              <w:t xml:space="preserve">- </w:t>
            </w:r>
            <w:r w:rsidR="00514D3A" w:rsidRPr="00334DA5">
              <w:rPr>
                <w:b/>
                <w:bCs/>
                <w:sz w:val="16"/>
                <w:szCs w:val="18"/>
                <w:lang w:val="en-AU"/>
              </w:rPr>
              <w:t>ODP P1</w:t>
            </w:r>
            <w:r w:rsidR="00514D3A" w:rsidRPr="00334DA5">
              <w:rPr>
                <w:sz w:val="16"/>
                <w:szCs w:val="18"/>
                <w:lang w:val="en-AU"/>
              </w:rPr>
              <w:t xml:space="preserve"> </w:t>
            </w:r>
          </w:p>
          <w:p w14:paraId="7EE88F36" w14:textId="629DE075" w:rsidR="004605D1" w:rsidRPr="00334DA5" w:rsidRDefault="003949C5" w:rsidP="00514D3A">
            <w:pPr>
              <w:pStyle w:val="CETBodytext"/>
              <w:jc w:val="left"/>
              <w:rPr>
                <w:sz w:val="16"/>
                <w:szCs w:val="18"/>
                <w:lang w:val="en-AU"/>
              </w:rPr>
            </w:pPr>
            <w:r w:rsidRPr="00334DA5">
              <w:rPr>
                <w:noProof/>
                <w:lang w:val="en-AU"/>
              </w:rPr>
              <w:drawing>
                <wp:inline distT="0" distB="0" distL="0" distR="0" wp14:anchorId="5427AB58" wp14:editId="466C7239">
                  <wp:extent cx="2844000" cy="1447738"/>
                  <wp:effectExtent l="0" t="0" r="0" b="635"/>
                  <wp:docPr id="1280932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a:extLst>
                              <a:ext uri="{28A0092B-C50C-407E-A947-70E740481C1C}">
                                <a14:useLocalDpi xmlns:a14="http://schemas.microsoft.com/office/drawing/2010/main" val="0"/>
                              </a:ext>
                            </a:extLst>
                          </a:blip>
                          <a:srcRect t="6274" b="5491"/>
                          <a:stretch/>
                        </pic:blipFill>
                        <pic:spPr bwMode="auto">
                          <a:xfrm>
                            <a:off x="0" y="0"/>
                            <a:ext cx="2844000" cy="1447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0799D" w14:textId="263EBD12" w:rsidR="001964C6" w:rsidRDefault="004605D1" w:rsidP="00514D3A">
            <w:pPr>
              <w:pStyle w:val="CETBodytext"/>
              <w:keepNext/>
              <w:jc w:val="left"/>
              <w:rPr>
                <w:sz w:val="16"/>
                <w:szCs w:val="18"/>
                <w:lang w:val="en-AU"/>
              </w:rPr>
            </w:pPr>
            <w:r w:rsidRPr="00334DA5">
              <w:rPr>
                <w:b/>
                <w:bCs/>
                <w:sz w:val="16"/>
                <w:szCs w:val="18"/>
                <w:lang w:val="en-AU"/>
              </w:rPr>
              <w:t>(d)</w:t>
            </w:r>
            <w:r w:rsidR="00514D3A" w:rsidRPr="00334DA5">
              <w:rPr>
                <w:b/>
                <w:bCs/>
                <w:sz w:val="16"/>
                <w:szCs w:val="18"/>
                <w:lang w:val="en-AU"/>
              </w:rPr>
              <w:t xml:space="preserve"> Out-loading </w:t>
            </w:r>
            <w:r w:rsidR="00E53DC3" w:rsidRPr="00334DA5">
              <w:rPr>
                <w:b/>
                <w:bCs/>
                <w:sz w:val="16"/>
                <w:szCs w:val="18"/>
                <w:lang w:val="en-AU"/>
              </w:rPr>
              <w:t xml:space="preserve">biosolids </w:t>
            </w:r>
            <w:r w:rsidR="00274F6A" w:rsidRPr="00334DA5">
              <w:rPr>
                <w:b/>
                <w:bCs/>
                <w:sz w:val="16"/>
                <w:szCs w:val="18"/>
                <w:lang w:val="en-AU"/>
              </w:rPr>
              <w:t xml:space="preserve">- </w:t>
            </w:r>
            <w:r w:rsidR="00514D3A" w:rsidRPr="00334DA5">
              <w:rPr>
                <w:b/>
                <w:bCs/>
                <w:sz w:val="16"/>
                <w:szCs w:val="18"/>
                <w:lang w:val="en-AU"/>
              </w:rPr>
              <w:t>ODP P2</w:t>
            </w:r>
            <w:r w:rsidR="00514D3A" w:rsidRPr="00334DA5">
              <w:rPr>
                <w:sz w:val="16"/>
                <w:szCs w:val="18"/>
                <w:lang w:val="en-AU"/>
              </w:rPr>
              <w:t xml:space="preserve"> </w:t>
            </w:r>
          </w:p>
          <w:p w14:paraId="3ACB0DBE" w14:textId="1849034E" w:rsidR="004605D1" w:rsidRPr="00334DA5" w:rsidRDefault="003949C5" w:rsidP="00514D3A">
            <w:pPr>
              <w:pStyle w:val="CETBodytext"/>
              <w:keepNext/>
              <w:jc w:val="left"/>
              <w:rPr>
                <w:sz w:val="16"/>
                <w:szCs w:val="18"/>
                <w:lang w:val="en-AU"/>
              </w:rPr>
            </w:pPr>
            <w:r w:rsidRPr="00334DA5">
              <w:rPr>
                <w:noProof/>
                <w:lang w:val="en-AU"/>
              </w:rPr>
              <w:drawing>
                <wp:inline distT="0" distB="0" distL="0" distR="0" wp14:anchorId="042A978D" wp14:editId="2C514BF6">
                  <wp:extent cx="2844000" cy="1428434"/>
                  <wp:effectExtent l="0" t="0" r="0" b="635"/>
                  <wp:docPr id="1525940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t="7059" b="5882"/>
                          <a:stretch/>
                        </pic:blipFill>
                        <pic:spPr bwMode="auto">
                          <a:xfrm>
                            <a:off x="0" y="0"/>
                            <a:ext cx="2844000" cy="14284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7219D8" w14:textId="483FC1CD" w:rsidR="00FE416F" w:rsidRPr="00334DA5" w:rsidRDefault="00514D3A" w:rsidP="00FE416F">
      <w:pPr>
        <w:pStyle w:val="CETCaption"/>
        <w:rPr>
          <w:lang w:val="en-AU"/>
        </w:rPr>
      </w:pPr>
      <w:bookmarkStart w:id="3" w:name="_Ref170385370"/>
      <w:r w:rsidRPr="00334DA5">
        <w:rPr>
          <w:lang w:val="en-AU"/>
        </w:rPr>
        <w:t>Figure</w:t>
      </w:r>
      <w:bookmarkEnd w:id="3"/>
      <w:r w:rsidR="001D536D" w:rsidRPr="00334DA5">
        <w:rPr>
          <w:lang w:val="en-AU"/>
        </w:rPr>
        <w:t xml:space="preserve"> </w:t>
      </w:r>
      <w:r w:rsidR="00841B28" w:rsidRPr="00334DA5">
        <w:rPr>
          <w:lang w:val="en-AU"/>
        </w:rPr>
        <w:t>3</w:t>
      </w:r>
      <w:r w:rsidRPr="00334DA5">
        <w:rPr>
          <w:lang w:val="en-AU"/>
        </w:rPr>
        <w:t xml:space="preserve">: </w:t>
      </w:r>
      <w:r w:rsidR="00274F6A" w:rsidRPr="00334DA5">
        <w:rPr>
          <w:lang w:val="en-AU"/>
        </w:rPr>
        <w:t xml:space="preserve">Number of occurrences of </w:t>
      </w:r>
      <w:r w:rsidR="00447685" w:rsidRPr="00334DA5">
        <w:rPr>
          <w:lang w:val="en-AU"/>
        </w:rPr>
        <w:t>main</w:t>
      </w:r>
      <w:r w:rsidR="00274F6A" w:rsidRPr="00334DA5">
        <w:rPr>
          <w:lang w:val="en-AU"/>
        </w:rPr>
        <w:t xml:space="preserve"> odour descriptors for each of the six sampling days identified by sensory panellists ODP P1 and ODP P2 for </w:t>
      </w:r>
      <w:r w:rsidR="00A86314" w:rsidRPr="00334DA5">
        <w:rPr>
          <w:lang w:val="en-AU"/>
        </w:rPr>
        <w:t>c</w:t>
      </w:r>
      <w:r w:rsidR="00274F6A" w:rsidRPr="00334DA5">
        <w:rPr>
          <w:lang w:val="en-AU"/>
        </w:rPr>
        <w:t>entrifuge</w:t>
      </w:r>
      <w:r w:rsidR="00A86314" w:rsidRPr="00334DA5">
        <w:rPr>
          <w:lang w:val="en-AU"/>
        </w:rPr>
        <w:t xml:space="preserve"> and o</w:t>
      </w:r>
      <w:r w:rsidR="00274F6A" w:rsidRPr="00334DA5">
        <w:rPr>
          <w:lang w:val="en-AU"/>
        </w:rPr>
        <w:t>ut-loading</w:t>
      </w:r>
      <w:r w:rsidR="00447685" w:rsidRPr="00334DA5">
        <w:rPr>
          <w:lang w:val="en-AU"/>
        </w:rPr>
        <w:t xml:space="preserve"> biosolids</w:t>
      </w:r>
      <w:r w:rsidR="00274F6A" w:rsidRPr="00334DA5">
        <w:rPr>
          <w:lang w:val="en-AU"/>
        </w:rPr>
        <w:t xml:space="preserve">. </w:t>
      </w:r>
    </w:p>
    <w:p w14:paraId="2AD715A1" w14:textId="507AADA4" w:rsidR="003F0DCD" w:rsidRPr="00334DA5" w:rsidRDefault="001E04A2" w:rsidP="00732AF8">
      <w:pPr>
        <w:pStyle w:val="CETBodytext"/>
        <w:rPr>
          <w:lang w:val="en-AU"/>
        </w:rPr>
      </w:pPr>
      <w:r w:rsidRPr="00334DA5">
        <w:rPr>
          <w:lang w:val="en-AU"/>
        </w:rPr>
        <w:t>Sensorial methods are also efficient in identifying intensity of odour events</w:t>
      </w:r>
      <w:r w:rsidR="004B27D2" w:rsidRPr="00334DA5">
        <w:rPr>
          <w:lang w:val="en-AU"/>
        </w:rPr>
        <w:t xml:space="preserve"> </w:t>
      </w:r>
      <w:r w:rsidRPr="00334DA5">
        <w:rPr>
          <w:lang w:val="en-AU"/>
        </w:rPr>
        <w:t xml:space="preserve">(Brattoli et al., 2011). Even though the intensity for the majority of the prioritised odour events were 1, </w:t>
      </w:r>
      <w:r w:rsidR="007E18E6" w:rsidRPr="00334DA5">
        <w:rPr>
          <w:lang w:val="en-AU"/>
        </w:rPr>
        <w:t xml:space="preserve">mean intensities were &gt; 1 </w:t>
      </w:r>
      <w:r w:rsidR="00D45556" w:rsidRPr="00334DA5">
        <w:rPr>
          <w:lang w:val="en-AU"/>
        </w:rPr>
        <w:t xml:space="preserve">in </w:t>
      </w:r>
      <w:r w:rsidRPr="00334DA5">
        <w:rPr>
          <w:lang w:val="en-AU"/>
        </w:rPr>
        <w:t xml:space="preserve">some days for ‘fishy’, ‘putrid garlic’, ‘putrid-like sulfur’, ‘musty earthy’ and ‘musty chemical’ (Figure </w:t>
      </w:r>
      <w:r w:rsidR="00841B28" w:rsidRPr="00334DA5">
        <w:rPr>
          <w:lang w:val="en-AU"/>
        </w:rPr>
        <w:t>4</w:t>
      </w:r>
      <w:r w:rsidRPr="00334DA5">
        <w:rPr>
          <w:lang w:val="en-AU"/>
        </w:rPr>
        <w:t xml:space="preserve">). In the case of centrifuge biosolids, ‘fishy’, ‘putrid garlic’ and ‘musty earthy’ had these higher intensities closer to the last day of sampling. On the contrary, for out-loading biosolids, ‘fishy’ and ‘putrid garlic’ had higher intensities towards the beginning of the sampling period. Similarly, out-loading ‘musty chemical’ had mean intensity &gt; 1 at day 0. ‘Musty earthy’ was only detected in the last few days of sampling and had higher mean intensities on day 12 for both </w:t>
      </w:r>
      <w:r w:rsidR="007C3FC5" w:rsidRPr="00334DA5">
        <w:rPr>
          <w:lang w:val="en-AU"/>
        </w:rPr>
        <w:t xml:space="preserve">types of </w:t>
      </w:r>
      <w:r w:rsidRPr="00334DA5">
        <w:rPr>
          <w:lang w:val="en-AU"/>
        </w:rPr>
        <w:t xml:space="preserve">biosolids. </w:t>
      </w:r>
      <w:r w:rsidR="007C3FC5" w:rsidRPr="00334DA5">
        <w:rPr>
          <w:lang w:val="en-AU"/>
        </w:rPr>
        <w:t xml:space="preserve">In turn, </w:t>
      </w:r>
      <w:r w:rsidRPr="00334DA5">
        <w:rPr>
          <w:lang w:val="en-AU"/>
        </w:rPr>
        <w:t xml:space="preserve">‘putrid-like sulfur’ had </w:t>
      </w:r>
      <w:r w:rsidR="005C4ABE" w:rsidRPr="00334DA5">
        <w:rPr>
          <w:lang w:val="en-AU"/>
        </w:rPr>
        <w:t xml:space="preserve">intensities fluctuating during the sampling period, but with </w:t>
      </w:r>
      <w:r w:rsidRPr="00334DA5">
        <w:rPr>
          <w:lang w:val="en-AU"/>
        </w:rPr>
        <w:t xml:space="preserve">mean intensities &gt; 1 for all six sampling days, </w:t>
      </w:r>
      <w:r w:rsidR="005C4ABE" w:rsidRPr="00334DA5">
        <w:rPr>
          <w:lang w:val="en-AU"/>
        </w:rPr>
        <w:t>except</w:t>
      </w:r>
      <w:r w:rsidRPr="00334DA5">
        <w:rPr>
          <w:lang w:val="en-AU"/>
        </w:rPr>
        <w:t xml:space="preserve"> day 8 for centrifuge samples. Shearing of biosolids results in greater odour (Chen et al., 2011) due to disruptions in the methanogenic population (Higgins et al., 2006). This could explain the higher odour intensity at the beginning </w:t>
      </w:r>
      <w:r w:rsidR="00DB0107" w:rsidRPr="00334DA5">
        <w:rPr>
          <w:lang w:val="en-AU"/>
        </w:rPr>
        <w:t>for</w:t>
      </w:r>
      <w:r w:rsidRPr="00334DA5">
        <w:rPr>
          <w:lang w:val="en-AU"/>
        </w:rPr>
        <w:t xml:space="preserve"> out-loading </w:t>
      </w:r>
      <w:r w:rsidR="00DB0107" w:rsidRPr="00334DA5">
        <w:rPr>
          <w:lang w:val="en-AU"/>
        </w:rPr>
        <w:t>samples</w:t>
      </w:r>
      <w:r w:rsidRPr="00334DA5">
        <w:rPr>
          <w:lang w:val="en-AU"/>
        </w:rPr>
        <w:t xml:space="preserve">, as shearing releases sulfur-containing proteins and other organics that act as substrates for microbial growth and odour production. </w:t>
      </w:r>
    </w:p>
    <w:p w14:paraId="54330EF9" w14:textId="77777777" w:rsidR="001E04A2" w:rsidRPr="00334DA5" w:rsidRDefault="001E04A2" w:rsidP="00732AF8">
      <w:pPr>
        <w:pStyle w:val="CETBodytext"/>
        <w:rPr>
          <w:lang w:val="en-AU"/>
        </w:rPr>
      </w:pPr>
    </w:p>
    <w:tbl>
      <w:tblPr>
        <w:tblStyle w:val="TableGrid"/>
        <w:tblW w:w="0" w:type="auto"/>
        <w:tblLook w:val="04A0" w:firstRow="1" w:lastRow="0" w:firstColumn="1" w:lastColumn="0" w:noHBand="0" w:noVBand="1"/>
      </w:tblPr>
      <w:tblGrid>
        <w:gridCol w:w="4388"/>
        <w:gridCol w:w="4389"/>
      </w:tblGrid>
      <w:tr w:rsidR="001668A0" w:rsidRPr="00334DA5" w14:paraId="4D7A0986" w14:textId="77777777" w:rsidTr="00346D28">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9EBF0" w14:textId="77777777" w:rsidR="001964C6" w:rsidRDefault="001668A0" w:rsidP="001668A0">
            <w:pPr>
              <w:pStyle w:val="CETBodytext"/>
              <w:jc w:val="left"/>
              <w:rPr>
                <w:b/>
                <w:bCs/>
                <w:sz w:val="16"/>
                <w:szCs w:val="18"/>
                <w:lang w:val="en-AU"/>
              </w:rPr>
            </w:pPr>
            <w:r w:rsidRPr="00334DA5">
              <w:rPr>
                <w:b/>
                <w:bCs/>
                <w:sz w:val="16"/>
                <w:szCs w:val="18"/>
                <w:lang w:val="en-AU"/>
              </w:rPr>
              <w:t>(a) Centrifuge</w:t>
            </w:r>
            <w:r w:rsidR="00E53DC3" w:rsidRPr="00334DA5">
              <w:rPr>
                <w:b/>
                <w:bCs/>
                <w:sz w:val="16"/>
                <w:szCs w:val="18"/>
                <w:lang w:val="en-AU"/>
              </w:rPr>
              <w:t xml:space="preserve"> biosolids</w:t>
            </w:r>
          </w:p>
          <w:p w14:paraId="2C1B50DD" w14:textId="77777777" w:rsidR="001964C6" w:rsidRDefault="001964C6" w:rsidP="001668A0">
            <w:pPr>
              <w:pStyle w:val="CETBodytext"/>
              <w:jc w:val="left"/>
              <w:rPr>
                <w:sz w:val="16"/>
                <w:szCs w:val="18"/>
                <w:lang w:val="en-AU"/>
              </w:rPr>
            </w:pPr>
          </w:p>
          <w:p w14:paraId="4C980126" w14:textId="03D561F3" w:rsidR="001668A0" w:rsidRPr="00334DA5" w:rsidRDefault="004D3CBF" w:rsidP="001668A0">
            <w:pPr>
              <w:pStyle w:val="CETBodytext"/>
              <w:jc w:val="left"/>
              <w:rPr>
                <w:sz w:val="16"/>
                <w:szCs w:val="18"/>
                <w:lang w:val="en-AU"/>
              </w:rPr>
            </w:pPr>
            <w:r w:rsidRPr="00334DA5">
              <w:rPr>
                <w:noProof/>
                <w:lang w:val="en-AU"/>
              </w:rPr>
              <w:drawing>
                <wp:inline distT="0" distB="0" distL="0" distR="0" wp14:anchorId="63DBE6A6" wp14:editId="20DDBD70">
                  <wp:extent cx="2880000" cy="1433571"/>
                  <wp:effectExtent l="0" t="0" r="0" b="0"/>
                  <wp:docPr id="835554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a:extLst>
                              <a:ext uri="{28A0092B-C50C-407E-A947-70E740481C1C}">
                                <a14:useLocalDpi xmlns:a14="http://schemas.microsoft.com/office/drawing/2010/main" val="0"/>
                              </a:ext>
                            </a:extLst>
                          </a:blip>
                          <a:srcRect t="7059" b="5491"/>
                          <a:stretch/>
                        </pic:blipFill>
                        <pic:spPr bwMode="auto">
                          <a:xfrm>
                            <a:off x="0" y="0"/>
                            <a:ext cx="2880000" cy="1433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FB1D7" w14:textId="77777777" w:rsidR="001964C6" w:rsidRDefault="001668A0" w:rsidP="00433838">
            <w:pPr>
              <w:pStyle w:val="CETBodytext"/>
              <w:keepNext/>
              <w:jc w:val="left"/>
              <w:rPr>
                <w:sz w:val="16"/>
                <w:szCs w:val="18"/>
                <w:lang w:val="en-AU"/>
              </w:rPr>
            </w:pPr>
            <w:r w:rsidRPr="00334DA5">
              <w:rPr>
                <w:b/>
                <w:bCs/>
                <w:sz w:val="16"/>
                <w:szCs w:val="18"/>
                <w:lang w:val="en-AU"/>
              </w:rPr>
              <w:t>(b) Out-loading</w:t>
            </w:r>
            <w:r w:rsidR="00E53DC3" w:rsidRPr="00334DA5">
              <w:rPr>
                <w:b/>
                <w:bCs/>
                <w:sz w:val="16"/>
                <w:szCs w:val="18"/>
                <w:lang w:val="en-AU"/>
              </w:rPr>
              <w:t xml:space="preserve"> biosolids</w:t>
            </w:r>
            <w:r w:rsidRPr="00334DA5">
              <w:rPr>
                <w:sz w:val="16"/>
                <w:szCs w:val="18"/>
                <w:lang w:val="en-AU"/>
              </w:rPr>
              <w:t xml:space="preserve"> </w:t>
            </w:r>
          </w:p>
          <w:p w14:paraId="09DE008F" w14:textId="77777777" w:rsidR="001964C6" w:rsidRDefault="001964C6" w:rsidP="00433838">
            <w:pPr>
              <w:pStyle w:val="CETBodytext"/>
              <w:keepNext/>
              <w:jc w:val="left"/>
              <w:rPr>
                <w:sz w:val="16"/>
                <w:szCs w:val="18"/>
                <w:lang w:val="en-AU"/>
              </w:rPr>
            </w:pPr>
          </w:p>
          <w:p w14:paraId="7E70EE7C" w14:textId="37566E9B" w:rsidR="001668A0" w:rsidRPr="00334DA5" w:rsidRDefault="004D3CBF" w:rsidP="00433838">
            <w:pPr>
              <w:pStyle w:val="CETBodytext"/>
              <w:keepNext/>
              <w:jc w:val="left"/>
              <w:rPr>
                <w:sz w:val="16"/>
                <w:szCs w:val="18"/>
                <w:lang w:val="en-AU"/>
              </w:rPr>
            </w:pPr>
            <w:r w:rsidRPr="00334DA5">
              <w:rPr>
                <w:noProof/>
                <w:lang w:val="en-AU"/>
              </w:rPr>
              <w:drawing>
                <wp:inline distT="0" distB="0" distL="0" distR="0" wp14:anchorId="7B9FD576" wp14:editId="453D8295">
                  <wp:extent cx="2880000" cy="1440000"/>
                  <wp:effectExtent l="0" t="0" r="0" b="8255"/>
                  <wp:docPr id="610810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a:extLst>
                              <a:ext uri="{28A0092B-C50C-407E-A947-70E740481C1C}">
                                <a14:useLocalDpi xmlns:a14="http://schemas.microsoft.com/office/drawing/2010/main" val="0"/>
                              </a:ext>
                            </a:extLst>
                          </a:blip>
                          <a:srcRect t="7059" b="5098"/>
                          <a:stretch/>
                        </pic:blipFill>
                        <pic:spPr bwMode="auto">
                          <a:xfrm>
                            <a:off x="0" y="0"/>
                            <a:ext cx="288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6351AD" w14:textId="41E9F4A8" w:rsidR="004605D1" w:rsidRPr="00334DA5" w:rsidRDefault="00433838" w:rsidP="00433838">
      <w:pPr>
        <w:pStyle w:val="CETCaption"/>
        <w:rPr>
          <w:lang w:val="en-AU"/>
        </w:rPr>
      </w:pPr>
      <w:bookmarkStart w:id="4" w:name="_Ref170386590"/>
      <w:r w:rsidRPr="00334DA5">
        <w:rPr>
          <w:lang w:val="en-AU"/>
        </w:rPr>
        <w:t>Figure</w:t>
      </w:r>
      <w:bookmarkEnd w:id="4"/>
      <w:r w:rsidR="00841B28" w:rsidRPr="00334DA5">
        <w:rPr>
          <w:lang w:val="en-AU"/>
        </w:rPr>
        <w:t xml:space="preserve"> 4</w:t>
      </w:r>
      <w:r w:rsidRPr="00334DA5">
        <w:rPr>
          <w:lang w:val="en-AU"/>
        </w:rPr>
        <w:t>: Mean intensity</w:t>
      </w:r>
      <w:r w:rsidR="00447685" w:rsidRPr="00334DA5">
        <w:rPr>
          <w:lang w:val="en-AU"/>
        </w:rPr>
        <w:t xml:space="preserve"> of main odour descriptors for each of the six sampling days over a period of 15 days identified by sensory panellists using ODP for </w:t>
      </w:r>
      <w:r w:rsidR="00A86314" w:rsidRPr="00334DA5">
        <w:rPr>
          <w:lang w:val="en-AU"/>
        </w:rPr>
        <w:t>c</w:t>
      </w:r>
      <w:r w:rsidR="00447685" w:rsidRPr="00334DA5">
        <w:rPr>
          <w:lang w:val="en-AU"/>
        </w:rPr>
        <w:t xml:space="preserve">entrifuge, and </w:t>
      </w:r>
      <w:r w:rsidR="00A86314" w:rsidRPr="00334DA5">
        <w:rPr>
          <w:lang w:val="en-AU"/>
        </w:rPr>
        <w:t>o</w:t>
      </w:r>
      <w:r w:rsidR="00447685" w:rsidRPr="00334DA5">
        <w:rPr>
          <w:lang w:val="en-AU"/>
        </w:rPr>
        <w:t>ut-loading biosolids</w:t>
      </w:r>
      <w:r w:rsidR="006D20AD" w:rsidRPr="00334DA5">
        <w:rPr>
          <w:lang w:val="en-AU"/>
        </w:rPr>
        <w:t>.</w:t>
      </w:r>
    </w:p>
    <w:p w14:paraId="77FE7A4D" w14:textId="2C1FDCE9" w:rsidR="005D3D2E" w:rsidRPr="00334DA5" w:rsidRDefault="00E15E61" w:rsidP="005D3D2E">
      <w:pPr>
        <w:pStyle w:val="CETBodytext"/>
        <w:rPr>
          <w:lang w:val="en-AU"/>
        </w:rPr>
      </w:pPr>
      <w:r w:rsidRPr="00334DA5">
        <w:rPr>
          <w:lang w:val="en-AU"/>
        </w:rPr>
        <w:lastRenderedPageBreak/>
        <w:t>The MF (%) is a valuable tool to combine frequency of detection and intensity, effectively identifying the most important odours</w:t>
      </w:r>
      <w:r w:rsidR="00B31953" w:rsidRPr="00334DA5">
        <w:rPr>
          <w:lang w:val="en-AU"/>
        </w:rPr>
        <w:t xml:space="preserve">, </w:t>
      </w:r>
      <w:r w:rsidR="009A3417" w:rsidRPr="00334DA5">
        <w:rPr>
          <w:lang w:val="en-AU"/>
        </w:rPr>
        <w:t xml:space="preserve">which </w:t>
      </w:r>
      <w:r w:rsidR="00EC5ECC" w:rsidRPr="00334DA5">
        <w:rPr>
          <w:lang w:val="en-AU"/>
        </w:rPr>
        <w:t xml:space="preserve">have MF (%) higher than 50% (Brattoli et al., 2011). MF (%) of ‘fishy’ were higher than or equal to 50% for all detected days, apart from day 15 </w:t>
      </w:r>
      <w:r w:rsidR="00631F74" w:rsidRPr="00334DA5">
        <w:rPr>
          <w:lang w:val="en-AU"/>
        </w:rPr>
        <w:t xml:space="preserve">for </w:t>
      </w:r>
      <w:r w:rsidR="00EC5ECC" w:rsidRPr="00334DA5">
        <w:rPr>
          <w:lang w:val="en-AU"/>
        </w:rPr>
        <w:t>panellist ODP P1</w:t>
      </w:r>
      <w:r w:rsidR="00B31953" w:rsidRPr="00334DA5">
        <w:rPr>
          <w:lang w:val="en-AU"/>
        </w:rPr>
        <w:t xml:space="preserve"> (Figure 5)</w:t>
      </w:r>
      <w:r w:rsidR="00EC5ECC" w:rsidRPr="00334DA5">
        <w:rPr>
          <w:lang w:val="en-AU"/>
        </w:rPr>
        <w:t>. ‘Fishy” MF (%) ranged from 61% to 79% for centrifuge biosolids, and from 35% up to 93% for out-loading. Similarly, MF (%) of ‘putrid garlic’ and ‘putrid-like sulfur’ were higher for the out-loading biosolids compared to the centrifuge. MF (%) for ‘putrid garlic’ ranged from 35% to 50%</w:t>
      </w:r>
      <w:r w:rsidR="00631F74" w:rsidRPr="00334DA5">
        <w:rPr>
          <w:lang w:val="en-AU"/>
        </w:rPr>
        <w:t xml:space="preserve"> for centrifuge</w:t>
      </w:r>
      <w:r w:rsidR="00EC5ECC" w:rsidRPr="00334DA5">
        <w:rPr>
          <w:lang w:val="en-AU"/>
        </w:rPr>
        <w:t xml:space="preserve">, and from 35% up to 71% for out-loading; while ‘putrid-like sulfur’ had MF (%) ranging from 35% up to 79% and from 50% up to 87% for centrifuge and out-loading biosolids, respectively. Likely due to shearing of the biosolids (Chen et al., 2011), conveying and storage are increasing the emissions of these odour events. Anecdotally, </w:t>
      </w:r>
      <w:r w:rsidR="00754C19" w:rsidRPr="00334DA5">
        <w:rPr>
          <w:lang w:val="en-AU"/>
        </w:rPr>
        <w:t xml:space="preserve">the </w:t>
      </w:r>
      <w:r w:rsidR="00EC5ECC" w:rsidRPr="00334DA5">
        <w:rPr>
          <w:lang w:val="en-AU"/>
        </w:rPr>
        <w:t xml:space="preserve">overall odour was </w:t>
      </w:r>
      <w:r w:rsidR="00FB347B" w:rsidRPr="00334DA5">
        <w:rPr>
          <w:lang w:val="en-AU"/>
        </w:rPr>
        <w:t xml:space="preserve">observed to be </w:t>
      </w:r>
      <w:r w:rsidR="00EC5ECC" w:rsidRPr="00334DA5">
        <w:rPr>
          <w:lang w:val="en-AU"/>
        </w:rPr>
        <w:t>stronger for out-loading biosolids than centrifuge</w:t>
      </w:r>
      <w:r w:rsidR="00FB347B" w:rsidRPr="00334DA5">
        <w:rPr>
          <w:lang w:val="en-AU"/>
        </w:rPr>
        <w:t xml:space="preserve"> during the emission sampling</w:t>
      </w:r>
      <w:r w:rsidR="00EC5ECC" w:rsidRPr="00334DA5">
        <w:rPr>
          <w:lang w:val="en-AU"/>
        </w:rPr>
        <w:t xml:space="preserve">. </w:t>
      </w:r>
    </w:p>
    <w:p w14:paraId="55646D4A" w14:textId="77777777" w:rsidR="00EC4D1E" w:rsidRPr="00334DA5" w:rsidRDefault="00EC4D1E" w:rsidP="00EC4D1E">
      <w:pPr>
        <w:pStyle w:val="CETBodytext"/>
        <w:rPr>
          <w:lang w:val="en-AU"/>
        </w:rPr>
      </w:pPr>
    </w:p>
    <w:tbl>
      <w:tblPr>
        <w:tblStyle w:val="TableGrid"/>
        <w:tblW w:w="0" w:type="auto"/>
        <w:tblLook w:val="04A0" w:firstRow="1" w:lastRow="0" w:firstColumn="1" w:lastColumn="0" w:noHBand="0" w:noVBand="1"/>
      </w:tblPr>
      <w:tblGrid>
        <w:gridCol w:w="4388"/>
        <w:gridCol w:w="4389"/>
      </w:tblGrid>
      <w:tr w:rsidR="00303704" w:rsidRPr="00334DA5" w14:paraId="572BA9ED" w14:textId="77777777" w:rsidTr="00303704">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D97E2" w14:textId="77777777" w:rsidR="00890DF7" w:rsidRDefault="003733BC" w:rsidP="003733BC">
            <w:pPr>
              <w:pStyle w:val="CETBodytext"/>
              <w:jc w:val="left"/>
              <w:rPr>
                <w:b/>
                <w:bCs/>
                <w:sz w:val="16"/>
                <w:szCs w:val="18"/>
                <w:lang w:val="en-AU"/>
              </w:rPr>
            </w:pPr>
            <w:r w:rsidRPr="00334DA5">
              <w:rPr>
                <w:b/>
                <w:bCs/>
                <w:sz w:val="16"/>
                <w:szCs w:val="18"/>
                <w:lang w:val="en-AU"/>
              </w:rPr>
              <w:t xml:space="preserve">(a) Fishy </w:t>
            </w:r>
            <w:r w:rsidR="00E53DC3" w:rsidRPr="00334DA5">
              <w:rPr>
                <w:b/>
                <w:bCs/>
                <w:sz w:val="16"/>
                <w:szCs w:val="18"/>
                <w:lang w:val="en-AU"/>
              </w:rPr>
              <w:t>–</w:t>
            </w:r>
            <w:r w:rsidR="00F04560" w:rsidRPr="00334DA5">
              <w:rPr>
                <w:b/>
                <w:bCs/>
                <w:sz w:val="16"/>
                <w:szCs w:val="18"/>
                <w:lang w:val="en-AU"/>
              </w:rPr>
              <w:t xml:space="preserve"> </w:t>
            </w:r>
            <w:r w:rsidRPr="00334DA5">
              <w:rPr>
                <w:b/>
                <w:bCs/>
                <w:sz w:val="16"/>
                <w:szCs w:val="18"/>
                <w:lang w:val="en-AU"/>
              </w:rPr>
              <w:t>Centrifuge</w:t>
            </w:r>
            <w:r w:rsidR="00E53DC3" w:rsidRPr="00334DA5">
              <w:rPr>
                <w:b/>
                <w:bCs/>
                <w:sz w:val="16"/>
                <w:szCs w:val="18"/>
                <w:lang w:val="en-AU"/>
              </w:rPr>
              <w:t xml:space="preserve"> biosolids</w:t>
            </w:r>
          </w:p>
          <w:p w14:paraId="78A96F25" w14:textId="61A7D404" w:rsidR="003733BC" w:rsidRPr="00334DA5" w:rsidRDefault="00AA0190" w:rsidP="003733BC">
            <w:pPr>
              <w:pStyle w:val="CETBodytext"/>
              <w:jc w:val="left"/>
              <w:rPr>
                <w:sz w:val="16"/>
                <w:szCs w:val="18"/>
                <w:lang w:val="en-AU"/>
              </w:rPr>
            </w:pPr>
            <w:r w:rsidRPr="00334DA5">
              <w:rPr>
                <w:noProof/>
                <w:lang w:val="en-AU"/>
              </w:rPr>
              <w:drawing>
                <wp:inline distT="0" distB="0" distL="0" distR="0" wp14:anchorId="6F123D2A" wp14:editId="5F8F9FE1">
                  <wp:extent cx="2844800" cy="1136650"/>
                  <wp:effectExtent l="0" t="0" r="0" b="6350"/>
                  <wp:docPr id="453064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a:extLst>
                              <a:ext uri="{28A0092B-C50C-407E-A947-70E740481C1C}">
                                <a14:useLocalDpi xmlns:a14="http://schemas.microsoft.com/office/drawing/2010/main" val="0"/>
                              </a:ext>
                            </a:extLst>
                          </a:blip>
                          <a:srcRect t="6481" b="10648"/>
                          <a:stretch/>
                        </pic:blipFill>
                        <pic:spPr bwMode="auto">
                          <a:xfrm>
                            <a:off x="0" y="0"/>
                            <a:ext cx="2844800" cy="113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9E324" w14:textId="53B68058" w:rsidR="003733BC" w:rsidRPr="00334DA5" w:rsidRDefault="003733BC" w:rsidP="003733BC">
            <w:pPr>
              <w:pStyle w:val="CETBodytext"/>
              <w:jc w:val="left"/>
              <w:rPr>
                <w:sz w:val="16"/>
                <w:szCs w:val="18"/>
                <w:lang w:val="en-AU"/>
              </w:rPr>
            </w:pPr>
            <w:r w:rsidRPr="00334DA5">
              <w:rPr>
                <w:b/>
                <w:bCs/>
                <w:sz w:val="16"/>
                <w:szCs w:val="18"/>
                <w:lang w:val="en-AU"/>
              </w:rPr>
              <w:t xml:space="preserve">(b) Fishy </w:t>
            </w:r>
            <w:r w:rsidR="00F04560" w:rsidRPr="00334DA5">
              <w:rPr>
                <w:b/>
                <w:bCs/>
                <w:sz w:val="16"/>
                <w:szCs w:val="18"/>
                <w:lang w:val="en-AU"/>
              </w:rPr>
              <w:t xml:space="preserve">- </w:t>
            </w:r>
            <w:r w:rsidRPr="00334DA5">
              <w:rPr>
                <w:b/>
                <w:bCs/>
                <w:sz w:val="16"/>
                <w:szCs w:val="18"/>
                <w:lang w:val="en-AU"/>
              </w:rPr>
              <w:t>Out-loading</w:t>
            </w:r>
            <w:r w:rsidR="00E53DC3" w:rsidRPr="00334DA5">
              <w:rPr>
                <w:b/>
                <w:bCs/>
                <w:sz w:val="16"/>
                <w:szCs w:val="18"/>
                <w:lang w:val="en-AU"/>
              </w:rPr>
              <w:t xml:space="preserve"> biosolids</w:t>
            </w:r>
            <w:r w:rsidR="00E96AF1" w:rsidRPr="00334DA5">
              <w:rPr>
                <w:noProof/>
                <w:lang w:val="en-AU"/>
              </w:rPr>
              <w:drawing>
                <wp:inline distT="0" distB="0" distL="0" distR="0" wp14:anchorId="68416B7B" wp14:editId="5857DAAE">
                  <wp:extent cx="2844800" cy="1136650"/>
                  <wp:effectExtent l="0" t="0" r="0" b="6350"/>
                  <wp:docPr id="149297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6944" b="10186"/>
                          <a:stretch/>
                        </pic:blipFill>
                        <pic:spPr bwMode="auto">
                          <a:xfrm>
                            <a:off x="0" y="0"/>
                            <a:ext cx="2844800" cy="1136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3704" w:rsidRPr="00334DA5" w14:paraId="152640C0" w14:textId="77777777" w:rsidTr="0020178D">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22DEBC" w14:textId="5A70E311" w:rsidR="003733BC" w:rsidRPr="00334DA5" w:rsidRDefault="003733BC" w:rsidP="003733BC">
            <w:pPr>
              <w:pStyle w:val="CETBodytext"/>
              <w:jc w:val="left"/>
              <w:rPr>
                <w:sz w:val="16"/>
                <w:szCs w:val="18"/>
                <w:lang w:val="en-AU"/>
              </w:rPr>
            </w:pPr>
            <w:r w:rsidRPr="00334DA5">
              <w:rPr>
                <w:b/>
                <w:bCs/>
                <w:sz w:val="16"/>
                <w:szCs w:val="18"/>
                <w:lang w:val="en-AU"/>
              </w:rPr>
              <w:t xml:space="preserve">(c) Putrid garlic </w:t>
            </w:r>
            <w:r w:rsidR="00E53DC3" w:rsidRPr="00334DA5">
              <w:rPr>
                <w:b/>
                <w:bCs/>
                <w:sz w:val="16"/>
                <w:szCs w:val="18"/>
                <w:lang w:val="en-AU"/>
              </w:rPr>
              <w:t>–</w:t>
            </w:r>
            <w:r w:rsidR="00F04560" w:rsidRPr="00334DA5">
              <w:rPr>
                <w:b/>
                <w:bCs/>
                <w:sz w:val="16"/>
                <w:szCs w:val="18"/>
                <w:lang w:val="en-AU"/>
              </w:rPr>
              <w:t xml:space="preserve"> </w:t>
            </w:r>
            <w:r w:rsidRPr="00334DA5">
              <w:rPr>
                <w:b/>
                <w:bCs/>
                <w:sz w:val="16"/>
                <w:szCs w:val="18"/>
                <w:lang w:val="en-AU"/>
              </w:rPr>
              <w:t>Centrifuge</w:t>
            </w:r>
            <w:r w:rsidR="00E53DC3" w:rsidRPr="00334DA5">
              <w:rPr>
                <w:b/>
                <w:bCs/>
                <w:sz w:val="16"/>
                <w:szCs w:val="18"/>
                <w:lang w:val="en-AU"/>
              </w:rPr>
              <w:t xml:space="preserve"> biosolids</w:t>
            </w:r>
            <w:r w:rsidR="0020178D" w:rsidRPr="00334DA5">
              <w:rPr>
                <w:noProof/>
                <w:lang w:val="en-AU"/>
              </w:rPr>
              <w:t xml:space="preserve"> </w:t>
            </w:r>
            <w:r w:rsidR="00AA0190" w:rsidRPr="00334DA5">
              <w:rPr>
                <w:noProof/>
                <w:lang w:val="en-AU"/>
              </w:rPr>
              <w:drawing>
                <wp:inline distT="0" distB="0" distL="0" distR="0" wp14:anchorId="5C5015BA" wp14:editId="3B372D90">
                  <wp:extent cx="2844800" cy="1117600"/>
                  <wp:effectExtent l="0" t="0" r="0" b="6350"/>
                  <wp:docPr id="15353369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a:extLst>
                              <a:ext uri="{28A0092B-C50C-407E-A947-70E740481C1C}">
                                <a14:useLocalDpi xmlns:a14="http://schemas.microsoft.com/office/drawing/2010/main" val="0"/>
                              </a:ext>
                            </a:extLst>
                          </a:blip>
                          <a:srcRect t="7870" b="10649"/>
                          <a:stretch/>
                        </pic:blipFill>
                        <pic:spPr bwMode="auto">
                          <a:xfrm>
                            <a:off x="0" y="0"/>
                            <a:ext cx="2844800" cy="111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CD8FD2" w14:textId="787F02A5" w:rsidR="003733BC" w:rsidRPr="00334DA5" w:rsidRDefault="003733BC" w:rsidP="0020178D">
            <w:pPr>
              <w:pStyle w:val="CETBodytext"/>
              <w:jc w:val="left"/>
              <w:rPr>
                <w:b/>
                <w:bCs/>
                <w:sz w:val="16"/>
                <w:szCs w:val="18"/>
                <w:lang w:val="en-AU"/>
              </w:rPr>
            </w:pPr>
            <w:r w:rsidRPr="00334DA5">
              <w:rPr>
                <w:b/>
                <w:bCs/>
                <w:sz w:val="16"/>
                <w:szCs w:val="18"/>
                <w:lang w:val="en-AU"/>
              </w:rPr>
              <w:t xml:space="preserve">(d) Putrid garlic </w:t>
            </w:r>
            <w:r w:rsidR="00F04560" w:rsidRPr="00334DA5">
              <w:rPr>
                <w:b/>
                <w:bCs/>
                <w:sz w:val="16"/>
                <w:szCs w:val="18"/>
                <w:lang w:val="en-AU"/>
              </w:rPr>
              <w:t xml:space="preserve">- </w:t>
            </w:r>
            <w:r w:rsidRPr="00334DA5">
              <w:rPr>
                <w:b/>
                <w:bCs/>
                <w:sz w:val="16"/>
                <w:szCs w:val="18"/>
                <w:lang w:val="en-AU"/>
              </w:rPr>
              <w:t>Out-loading</w:t>
            </w:r>
            <w:r w:rsidR="00E53DC3" w:rsidRPr="00334DA5">
              <w:rPr>
                <w:b/>
                <w:bCs/>
                <w:sz w:val="16"/>
                <w:szCs w:val="18"/>
                <w:lang w:val="en-AU"/>
              </w:rPr>
              <w:t xml:space="preserve"> biosolids</w:t>
            </w:r>
            <w:r w:rsidR="0020178D" w:rsidRPr="00334DA5">
              <w:rPr>
                <w:noProof/>
                <w:lang w:val="en-AU"/>
              </w:rPr>
              <w:t xml:space="preserve"> </w:t>
            </w:r>
            <w:r w:rsidR="00AA0190" w:rsidRPr="00334DA5">
              <w:rPr>
                <w:noProof/>
                <w:lang w:val="en-AU"/>
              </w:rPr>
              <w:drawing>
                <wp:inline distT="0" distB="0" distL="0" distR="0" wp14:anchorId="6B2CC70C" wp14:editId="23111F17">
                  <wp:extent cx="2844800" cy="1117600"/>
                  <wp:effectExtent l="0" t="0" r="0" b="6350"/>
                  <wp:docPr id="16007957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a:extLst>
                              <a:ext uri="{28A0092B-C50C-407E-A947-70E740481C1C}">
                                <a14:useLocalDpi xmlns:a14="http://schemas.microsoft.com/office/drawing/2010/main" val="0"/>
                              </a:ext>
                            </a:extLst>
                          </a:blip>
                          <a:srcRect t="7407" b="11111"/>
                          <a:stretch/>
                        </pic:blipFill>
                        <pic:spPr bwMode="auto">
                          <a:xfrm>
                            <a:off x="0" y="0"/>
                            <a:ext cx="2844800" cy="1117600"/>
                          </a:xfrm>
                          <a:prstGeom prst="rect">
                            <a:avLst/>
                          </a:prstGeom>
                          <a:noFill/>
                          <a:ln>
                            <a:noFill/>
                          </a:ln>
                          <a:extLst>
                            <a:ext uri="{53640926-AAD7-44D8-BBD7-CCE9431645EC}">
                              <a14:shadowObscured xmlns:a14="http://schemas.microsoft.com/office/drawing/2010/main"/>
                            </a:ext>
                          </a:extLst>
                        </pic:spPr>
                      </pic:pic>
                    </a:graphicData>
                  </a:graphic>
                </wp:inline>
              </w:drawing>
            </w:r>
          </w:p>
          <w:p w14:paraId="71C7B2E0" w14:textId="0D2A5EF0" w:rsidR="003733BC" w:rsidRPr="00334DA5" w:rsidRDefault="003733BC" w:rsidP="001E40F3">
            <w:pPr>
              <w:pStyle w:val="CETBodytext"/>
              <w:rPr>
                <w:sz w:val="16"/>
                <w:szCs w:val="18"/>
                <w:lang w:val="en-AU"/>
              </w:rPr>
            </w:pPr>
          </w:p>
        </w:tc>
      </w:tr>
      <w:tr w:rsidR="00303704" w:rsidRPr="00334DA5" w14:paraId="0D05A3A3" w14:textId="77777777" w:rsidTr="0020178D">
        <w:tc>
          <w:tcPr>
            <w:tcW w:w="4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EC583" w14:textId="0572EF07" w:rsidR="003733BC" w:rsidRPr="00334DA5" w:rsidRDefault="003733BC" w:rsidP="003733BC">
            <w:pPr>
              <w:pStyle w:val="CETBodytext"/>
              <w:jc w:val="left"/>
              <w:rPr>
                <w:sz w:val="16"/>
                <w:szCs w:val="18"/>
                <w:lang w:val="en-AU"/>
              </w:rPr>
            </w:pPr>
            <w:r w:rsidRPr="00334DA5">
              <w:rPr>
                <w:b/>
                <w:bCs/>
                <w:sz w:val="16"/>
                <w:szCs w:val="18"/>
                <w:lang w:val="en-AU"/>
              </w:rPr>
              <w:t xml:space="preserve">(e) Putrid-like sulfur </w:t>
            </w:r>
            <w:r w:rsidR="00E53DC3" w:rsidRPr="00334DA5">
              <w:rPr>
                <w:b/>
                <w:bCs/>
                <w:sz w:val="16"/>
                <w:szCs w:val="18"/>
                <w:lang w:val="en-AU"/>
              </w:rPr>
              <w:t>–</w:t>
            </w:r>
            <w:r w:rsidR="00F04560" w:rsidRPr="00334DA5">
              <w:rPr>
                <w:b/>
                <w:bCs/>
                <w:sz w:val="16"/>
                <w:szCs w:val="18"/>
                <w:lang w:val="en-AU"/>
              </w:rPr>
              <w:t xml:space="preserve"> </w:t>
            </w:r>
            <w:r w:rsidR="00A77CAF" w:rsidRPr="00334DA5">
              <w:rPr>
                <w:b/>
                <w:bCs/>
                <w:sz w:val="16"/>
                <w:szCs w:val="18"/>
                <w:lang w:val="en-AU"/>
              </w:rPr>
              <w:t>Centrifuge</w:t>
            </w:r>
            <w:r w:rsidR="00E53DC3" w:rsidRPr="00334DA5">
              <w:rPr>
                <w:b/>
                <w:bCs/>
                <w:sz w:val="16"/>
                <w:szCs w:val="18"/>
                <w:lang w:val="en-AU"/>
              </w:rPr>
              <w:t xml:space="preserve"> biosolids</w:t>
            </w:r>
            <w:r w:rsidR="0020178D" w:rsidRPr="00334DA5">
              <w:rPr>
                <w:noProof/>
                <w:lang w:val="en-AU"/>
              </w:rPr>
              <w:t xml:space="preserve"> </w:t>
            </w:r>
            <w:r w:rsidR="00AA0190" w:rsidRPr="00334DA5">
              <w:rPr>
                <w:noProof/>
                <w:lang w:val="en-AU"/>
              </w:rPr>
              <w:drawing>
                <wp:inline distT="0" distB="0" distL="0" distR="0" wp14:anchorId="02700EBC" wp14:editId="55F58596">
                  <wp:extent cx="2844800" cy="1123950"/>
                  <wp:effectExtent l="0" t="0" r="0" b="0"/>
                  <wp:docPr id="19004467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a:extLst>
                              <a:ext uri="{28A0092B-C50C-407E-A947-70E740481C1C}">
                                <a14:useLocalDpi xmlns:a14="http://schemas.microsoft.com/office/drawing/2010/main" val="0"/>
                              </a:ext>
                            </a:extLst>
                          </a:blip>
                          <a:srcRect t="7407" b="10647"/>
                          <a:stretch/>
                        </pic:blipFill>
                        <pic:spPr bwMode="auto">
                          <a:xfrm>
                            <a:off x="0" y="0"/>
                            <a:ext cx="2844800" cy="1123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52C56" w14:textId="16894788" w:rsidR="003733BC" w:rsidRPr="00334DA5" w:rsidRDefault="003733BC" w:rsidP="001E40F3">
            <w:pPr>
              <w:pStyle w:val="CETBodytext"/>
              <w:rPr>
                <w:b/>
                <w:bCs/>
                <w:sz w:val="16"/>
                <w:szCs w:val="18"/>
                <w:lang w:val="en-AU"/>
              </w:rPr>
            </w:pPr>
            <w:r w:rsidRPr="00334DA5">
              <w:rPr>
                <w:b/>
                <w:bCs/>
                <w:sz w:val="16"/>
                <w:szCs w:val="18"/>
                <w:lang w:val="en-AU"/>
              </w:rPr>
              <w:t>(f) Putrid-like sulfur</w:t>
            </w:r>
            <w:r w:rsidR="00A77CAF" w:rsidRPr="00334DA5">
              <w:rPr>
                <w:b/>
                <w:bCs/>
                <w:sz w:val="16"/>
                <w:szCs w:val="18"/>
                <w:lang w:val="en-AU"/>
              </w:rPr>
              <w:t xml:space="preserve"> </w:t>
            </w:r>
            <w:r w:rsidR="00CD4A0E" w:rsidRPr="00334DA5">
              <w:rPr>
                <w:b/>
                <w:bCs/>
                <w:sz w:val="16"/>
                <w:szCs w:val="18"/>
                <w:lang w:val="en-AU"/>
              </w:rPr>
              <w:t xml:space="preserve">- </w:t>
            </w:r>
            <w:r w:rsidR="00A77CAF" w:rsidRPr="00334DA5">
              <w:rPr>
                <w:b/>
                <w:bCs/>
                <w:sz w:val="16"/>
                <w:szCs w:val="18"/>
                <w:lang w:val="en-AU"/>
              </w:rPr>
              <w:t>Out-loading</w:t>
            </w:r>
            <w:r w:rsidR="00E53DC3" w:rsidRPr="00334DA5">
              <w:rPr>
                <w:b/>
                <w:bCs/>
                <w:sz w:val="16"/>
                <w:szCs w:val="18"/>
                <w:lang w:val="en-AU"/>
              </w:rPr>
              <w:t xml:space="preserve"> biosolids</w:t>
            </w:r>
          </w:p>
          <w:p w14:paraId="3B3C2289" w14:textId="51E751FD" w:rsidR="003733BC" w:rsidRPr="00334DA5" w:rsidRDefault="00AA0190" w:rsidP="00164AC4">
            <w:pPr>
              <w:pStyle w:val="CETBodytext"/>
              <w:keepNext/>
              <w:rPr>
                <w:sz w:val="16"/>
                <w:szCs w:val="18"/>
                <w:lang w:val="en-AU"/>
              </w:rPr>
            </w:pPr>
            <w:r w:rsidRPr="00334DA5">
              <w:rPr>
                <w:noProof/>
                <w:lang w:val="en-AU"/>
              </w:rPr>
              <w:drawing>
                <wp:inline distT="0" distB="0" distL="0" distR="0" wp14:anchorId="6B81A0BB" wp14:editId="72F62746">
                  <wp:extent cx="2844800" cy="1123950"/>
                  <wp:effectExtent l="0" t="0" r="0" b="0"/>
                  <wp:docPr id="9811195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6">
                            <a:extLst>
                              <a:ext uri="{28A0092B-C50C-407E-A947-70E740481C1C}">
                                <a14:useLocalDpi xmlns:a14="http://schemas.microsoft.com/office/drawing/2010/main" val="0"/>
                              </a:ext>
                            </a:extLst>
                          </a:blip>
                          <a:srcRect t="6944" b="11111"/>
                          <a:stretch/>
                        </pic:blipFill>
                        <pic:spPr bwMode="auto">
                          <a:xfrm>
                            <a:off x="0" y="0"/>
                            <a:ext cx="2844800" cy="1123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DCB48D" w14:textId="72E2954B" w:rsidR="00EC090D" w:rsidRPr="00334DA5" w:rsidRDefault="00164AC4" w:rsidP="008156CB">
      <w:pPr>
        <w:pStyle w:val="CETBodytextItalic"/>
        <w:rPr>
          <w:lang w:val="en-AU"/>
        </w:rPr>
      </w:pPr>
      <w:bookmarkStart w:id="5" w:name="_Ref170387180"/>
      <w:r w:rsidRPr="00334DA5">
        <w:rPr>
          <w:lang w:val="en-AU"/>
        </w:rPr>
        <w:t>Figure</w:t>
      </w:r>
      <w:bookmarkEnd w:id="5"/>
      <w:r w:rsidR="00142821" w:rsidRPr="00334DA5">
        <w:rPr>
          <w:lang w:val="en-AU"/>
        </w:rPr>
        <w:t xml:space="preserve"> 5</w:t>
      </w:r>
      <w:r w:rsidRPr="00334DA5">
        <w:rPr>
          <w:lang w:val="en-AU"/>
        </w:rPr>
        <w:t>:</w:t>
      </w:r>
      <w:r w:rsidR="008156CB" w:rsidRPr="00334DA5">
        <w:rPr>
          <w:lang w:val="en-AU"/>
        </w:rPr>
        <w:t xml:space="preserve"> Modified frequency (MF%) of </w:t>
      </w:r>
      <w:r w:rsidR="000C4D99" w:rsidRPr="00334DA5">
        <w:rPr>
          <w:lang w:val="en-AU"/>
        </w:rPr>
        <w:t>f</w:t>
      </w:r>
      <w:r w:rsidR="008156CB" w:rsidRPr="00334DA5">
        <w:rPr>
          <w:lang w:val="en-AU"/>
        </w:rPr>
        <w:t xml:space="preserve">ishy, </w:t>
      </w:r>
      <w:r w:rsidR="000C4D99" w:rsidRPr="00334DA5">
        <w:rPr>
          <w:lang w:val="en-AU"/>
        </w:rPr>
        <w:t>p</w:t>
      </w:r>
      <w:r w:rsidR="008156CB" w:rsidRPr="00334DA5">
        <w:rPr>
          <w:lang w:val="en-AU"/>
        </w:rPr>
        <w:t xml:space="preserve">utrid garlic, </w:t>
      </w:r>
      <w:r w:rsidR="000C4D99" w:rsidRPr="00334DA5">
        <w:rPr>
          <w:lang w:val="en-AU"/>
        </w:rPr>
        <w:t>and p</w:t>
      </w:r>
      <w:r w:rsidR="008156CB" w:rsidRPr="00334DA5">
        <w:rPr>
          <w:lang w:val="en-AU"/>
        </w:rPr>
        <w:t xml:space="preserve">utrid-like sulfur </w:t>
      </w:r>
      <w:r w:rsidR="000C4D99" w:rsidRPr="00334DA5">
        <w:rPr>
          <w:lang w:val="en-AU"/>
        </w:rPr>
        <w:t xml:space="preserve">odour events </w:t>
      </w:r>
      <w:r w:rsidR="008156CB" w:rsidRPr="00334DA5">
        <w:rPr>
          <w:lang w:val="en-AU"/>
        </w:rPr>
        <w:t xml:space="preserve">identified by sensory panellists ODP P1 and ODP P2 in </w:t>
      </w:r>
      <w:r w:rsidR="00A86314" w:rsidRPr="00334DA5">
        <w:rPr>
          <w:lang w:val="en-AU"/>
        </w:rPr>
        <w:t>c</w:t>
      </w:r>
      <w:r w:rsidR="008156CB" w:rsidRPr="00334DA5">
        <w:rPr>
          <w:lang w:val="en-AU"/>
        </w:rPr>
        <w:t xml:space="preserve">entrifuge and </w:t>
      </w:r>
      <w:r w:rsidR="00A86314" w:rsidRPr="00334DA5">
        <w:rPr>
          <w:lang w:val="en-AU"/>
        </w:rPr>
        <w:t>o</w:t>
      </w:r>
      <w:r w:rsidR="008156CB" w:rsidRPr="00334DA5">
        <w:rPr>
          <w:lang w:val="en-AU"/>
        </w:rPr>
        <w:t>ut-loading biosolids</w:t>
      </w:r>
      <w:r w:rsidR="000C4D99" w:rsidRPr="00334DA5">
        <w:rPr>
          <w:lang w:val="en-AU"/>
        </w:rPr>
        <w:t xml:space="preserve"> for the six sampling days</w:t>
      </w:r>
      <w:r w:rsidR="008156CB" w:rsidRPr="00334DA5">
        <w:rPr>
          <w:lang w:val="en-AU"/>
        </w:rPr>
        <w:t>.</w:t>
      </w:r>
    </w:p>
    <w:p w14:paraId="7F4AE283" w14:textId="77777777" w:rsidR="00CA4B67" w:rsidRPr="00334DA5" w:rsidRDefault="00CA4B67" w:rsidP="00CA4B67">
      <w:pPr>
        <w:pStyle w:val="CETBodytext"/>
        <w:rPr>
          <w:lang w:val="en-AU"/>
        </w:rPr>
      </w:pPr>
    </w:p>
    <w:p w14:paraId="69E2C358" w14:textId="58A1D178" w:rsidR="00CA4B67" w:rsidRPr="00334DA5" w:rsidRDefault="00CA4B67" w:rsidP="00CA4B67">
      <w:pPr>
        <w:pStyle w:val="CETBodytext"/>
        <w:rPr>
          <w:lang w:val="en-AU"/>
        </w:rPr>
      </w:pPr>
      <w:r w:rsidRPr="00334DA5">
        <w:rPr>
          <w:lang w:val="en-AU"/>
        </w:rPr>
        <w:t>Odour events with MF (%) ≥ 25% – overall detected in more than 19 out of the 4</w:t>
      </w:r>
      <w:r w:rsidR="00FB3B14" w:rsidRPr="00334DA5">
        <w:rPr>
          <w:lang w:val="en-AU"/>
        </w:rPr>
        <w:t>8</w:t>
      </w:r>
      <w:r w:rsidRPr="00334DA5">
        <w:rPr>
          <w:lang w:val="en-AU"/>
        </w:rPr>
        <w:t xml:space="preserve"> samples – are likely to be sensory important (Figure 6).</w:t>
      </w:r>
      <w:r w:rsidR="00BA405F" w:rsidRPr="00334DA5">
        <w:rPr>
          <w:lang w:val="en-AU"/>
        </w:rPr>
        <w:t xml:space="preserve"> Other than the previously discussed, odour events such as ‘bleach’, ‘musty plastic’, ‘paint/solvent’, ‘minty eucalyptus’, ‘woody plastic solvent’ and ‘musty chemical’ could also be </w:t>
      </w:r>
      <w:r w:rsidR="00072D0D" w:rsidRPr="00334DA5">
        <w:rPr>
          <w:lang w:val="en-AU"/>
        </w:rPr>
        <w:t>odour of concern</w:t>
      </w:r>
      <w:r w:rsidR="00BA405F" w:rsidRPr="00334DA5">
        <w:rPr>
          <w:lang w:val="en-AU"/>
        </w:rPr>
        <w:t xml:space="preserve"> for both biosolids samples.</w:t>
      </w:r>
      <w:r w:rsidR="00F85119" w:rsidRPr="00334DA5">
        <w:rPr>
          <w:lang w:val="en-AU"/>
        </w:rPr>
        <w:t xml:space="preserve"> I</w:t>
      </w:r>
      <w:r w:rsidR="00BA405F" w:rsidRPr="00334DA5">
        <w:rPr>
          <w:lang w:val="en-AU"/>
        </w:rPr>
        <w:t xml:space="preserve">ndividually, ‘chemical cleaning product’, ‘wood’, ‘musty earthy’, ‘earthy’ and ‘sweet floral’ for centrifuge biosolids; and ‘fresh woody chemical’ for out-loading. Overall MF (%) of these odour events ranged from 14% up to 58%, and from 18% up to 65%, </w:t>
      </w:r>
      <w:r w:rsidR="00F85119" w:rsidRPr="00334DA5">
        <w:rPr>
          <w:lang w:val="en-AU"/>
        </w:rPr>
        <w:t xml:space="preserve">for centrifuge and out-loading, </w:t>
      </w:r>
      <w:r w:rsidR="00BA405F" w:rsidRPr="00334DA5">
        <w:rPr>
          <w:lang w:val="en-AU"/>
        </w:rPr>
        <w:t xml:space="preserve">respectively. Comparing these odour descriptors with Fisher et al. (2018) odour wheel, </w:t>
      </w:r>
      <w:bookmarkStart w:id="6" w:name="_Hlk170976501"/>
      <w:r w:rsidR="00BA405F" w:rsidRPr="00334DA5">
        <w:rPr>
          <w:lang w:val="en-AU"/>
        </w:rPr>
        <w:t>it seems that emissions from centrifuge biosolids are potentially associated with the presence of VOCs, while out-loading biosolids with VSCs. Enhanced VSCs generation from the out-loading biosolids is likely caused by shearing of biosolids during conveyance, which disrupts methanogens (Adams et al., 2007), and the storage conditions that can develop anaerobic environments. VOCs can persist for a longer period of time after VSCs dissipate and are difficult to degrade (Chen et al., 2011), thus, the increase in the emissions of the overall odour events for centrifuge compared to out-loading (Figure 6).</w:t>
      </w:r>
      <w:bookmarkEnd w:id="6"/>
      <w:r w:rsidR="00BA405F" w:rsidRPr="00334DA5">
        <w:rPr>
          <w:lang w:val="en-AU"/>
        </w:rPr>
        <w:t xml:space="preserve"> </w:t>
      </w:r>
      <w:r w:rsidR="00D24457" w:rsidRPr="00334DA5">
        <w:rPr>
          <w:lang w:val="en-AU"/>
        </w:rPr>
        <w:t>S</w:t>
      </w:r>
      <w:r w:rsidR="00BA405F" w:rsidRPr="00334DA5">
        <w:rPr>
          <w:lang w:val="en-AU"/>
        </w:rPr>
        <w:t>ensory assessment prove</w:t>
      </w:r>
      <w:r w:rsidR="00D24457" w:rsidRPr="00334DA5">
        <w:rPr>
          <w:lang w:val="en-AU"/>
        </w:rPr>
        <w:t>d</w:t>
      </w:r>
      <w:r w:rsidR="00BA405F" w:rsidRPr="00334DA5">
        <w:rPr>
          <w:lang w:val="en-AU"/>
        </w:rPr>
        <w:t xml:space="preserve"> useful in identifying the impact of </w:t>
      </w:r>
      <w:r w:rsidR="00670F76" w:rsidRPr="00334DA5">
        <w:rPr>
          <w:lang w:val="en-AU"/>
        </w:rPr>
        <w:t xml:space="preserve">storage and </w:t>
      </w:r>
      <w:r w:rsidR="00DD240D" w:rsidRPr="00334DA5">
        <w:rPr>
          <w:lang w:val="en-AU"/>
        </w:rPr>
        <w:t>shear-inducing processes</w:t>
      </w:r>
      <w:r w:rsidR="00BA405F" w:rsidRPr="00334DA5">
        <w:rPr>
          <w:lang w:val="en-AU"/>
        </w:rPr>
        <w:t xml:space="preserve"> on odour emissions</w:t>
      </w:r>
      <w:r w:rsidR="00CF779B" w:rsidRPr="00334DA5">
        <w:rPr>
          <w:lang w:val="en-AU"/>
        </w:rPr>
        <w:t xml:space="preserve">. </w:t>
      </w:r>
      <w:r w:rsidR="006C26DF" w:rsidRPr="00334DA5">
        <w:rPr>
          <w:lang w:val="en-AU"/>
        </w:rPr>
        <w:t xml:space="preserve">Further research can link sensory assessment with its correspondent volatile </w:t>
      </w:r>
      <w:r w:rsidR="0078463D" w:rsidRPr="00334DA5">
        <w:rPr>
          <w:lang w:val="en-AU"/>
        </w:rPr>
        <w:t>compound improving</w:t>
      </w:r>
      <w:r w:rsidR="006C26DF" w:rsidRPr="00334DA5">
        <w:rPr>
          <w:lang w:val="en-AU"/>
        </w:rPr>
        <w:t xml:space="preserve"> </w:t>
      </w:r>
      <w:r w:rsidR="00CA7302" w:rsidRPr="00334DA5">
        <w:rPr>
          <w:lang w:val="en-AU"/>
        </w:rPr>
        <w:t xml:space="preserve">odour management </w:t>
      </w:r>
      <w:r w:rsidR="00AC41B9" w:rsidRPr="00334DA5">
        <w:rPr>
          <w:lang w:val="en-AU"/>
        </w:rPr>
        <w:t xml:space="preserve">and address the knowledge gap in the impact of VOCs on </w:t>
      </w:r>
      <w:r w:rsidR="00A34F35" w:rsidRPr="00334DA5">
        <w:rPr>
          <w:lang w:val="en-AU"/>
        </w:rPr>
        <w:t xml:space="preserve">the overall odour. </w:t>
      </w:r>
    </w:p>
    <w:p w14:paraId="6E0AAF7D" w14:textId="77777777" w:rsidR="00AA0190" w:rsidRPr="00334DA5" w:rsidRDefault="00AA0190" w:rsidP="00AA0190">
      <w:pPr>
        <w:pStyle w:val="CETBodytext"/>
        <w:rPr>
          <w:lang w:val="en-AU"/>
        </w:rPr>
      </w:pPr>
    </w:p>
    <w:p w14:paraId="63A1A9C2" w14:textId="71B47BB0" w:rsidR="001F43BD" w:rsidRPr="00334DA5" w:rsidRDefault="00AA0190" w:rsidP="00535476">
      <w:pPr>
        <w:pStyle w:val="CETBodytext"/>
        <w:keepNext/>
        <w:rPr>
          <w:lang w:val="en-AU"/>
        </w:rPr>
      </w:pPr>
      <w:r w:rsidRPr="00334DA5">
        <w:rPr>
          <w:noProof/>
          <w:lang w:val="en-AU"/>
        </w:rPr>
        <w:lastRenderedPageBreak/>
        <w:drawing>
          <wp:inline distT="0" distB="0" distL="0" distR="0" wp14:anchorId="7B0AA984" wp14:editId="22349516">
            <wp:extent cx="5579745" cy="1758950"/>
            <wp:effectExtent l="0" t="0" r="1905" b="0"/>
            <wp:docPr id="20735666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
                      <a:extLst>
                        <a:ext uri="{28A0092B-C50C-407E-A947-70E740481C1C}">
                          <a14:useLocalDpi xmlns:a14="http://schemas.microsoft.com/office/drawing/2010/main" val="0"/>
                        </a:ext>
                      </a:extLst>
                    </a:blip>
                    <a:srcRect t="4413" b="14093"/>
                    <a:stretch/>
                  </pic:blipFill>
                  <pic:spPr bwMode="auto">
                    <a:xfrm>
                      <a:off x="0" y="0"/>
                      <a:ext cx="5579745" cy="1758950"/>
                    </a:xfrm>
                    <a:prstGeom prst="rect">
                      <a:avLst/>
                    </a:prstGeom>
                    <a:noFill/>
                    <a:ln>
                      <a:noFill/>
                    </a:ln>
                    <a:extLst>
                      <a:ext uri="{53640926-AAD7-44D8-BBD7-CCE9431645EC}">
                        <a14:shadowObscured xmlns:a14="http://schemas.microsoft.com/office/drawing/2010/main"/>
                      </a:ext>
                    </a:extLst>
                  </pic:spPr>
                </pic:pic>
              </a:graphicData>
            </a:graphic>
          </wp:inline>
        </w:drawing>
      </w:r>
    </w:p>
    <w:p w14:paraId="273D1940" w14:textId="4A84E034" w:rsidR="001A048E" w:rsidRPr="00334DA5" w:rsidRDefault="00535476" w:rsidP="00DC64D9">
      <w:pPr>
        <w:pStyle w:val="CETCaption"/>
        <w:rPr>
          <w:lang w:val="en-AU"/>
        </w:rPr>
      </w:pPr>
      <w:bookmarkStart w:id="7" w:name="_Ref170237453"/>
      <w:r w:rsidRPr="00334DA5">
        <w:rPr>
          <w:lang w:val="en-AU"/>
        </w:rPr>
        <w:t>Figure</w:t>
      </w:r>
      <w:bookmarkEnd w:id="7"/>
      <w:r w:rsidR="00142821" w:rsidRPr="00334DA5">
        <w:rPr>
          <w:lang w:val="en-AU"/>
        </w:rPr>
        <w:t xml:space="preserve"> 6</w:t>
      </w:r>
      <w:r w:rsidR="00D4367D" w:rsidRPr="00334DA5">
        <w:rPr>
          <w:lang w:val="en-AU"/>
        </w:rPr>
        <w:t xml:space="preserve">: </w:t>
      </w:r>
      <w:r w:rsidR="000C4D99" w:rsidRPr="00334DA5">
        <w:rPr>
          <w:lang w:val="en-AU"/>
        </w:rPr>
        <w:t xml:space="preserve">Modified frequency (MF%) of main odour events identified by sensory panellists combined for </w:t>
      </w:r>
      <w:r w:rsidR="00A86314" w:rsidRPr="00334DA5">
        <w:rPr>
          <w:lang w:val="en-AU"/>
        </w:rPr>
        <w:t>c</w:t>
      </w:r>
      <w:r w:rsidR="000C4D99" w:rsidRPr="00334DA5">
        <w:rPr>
          <w:lang w:val="en-AU"/>
        </w:rPr>
        <w:t xml:space="preserve">entrifuge and </w:t>
      </w:r>
      <w:r w:rsidR="00A86314" w:rsidRPr="00334DA5">
        <w:rPr>
          <w:lang w:val="en-AU"/>
        </w:rPr>
        <w:t>o</w:t>
      </w:r>
      <w:r w:rsidR="000C4D99" w:rsidRPr="00334DA5">
        <w:rPr>
          <w:lang w:val="en-AU"/>
        </w:rPr>
        <w:t>ut-loading biosolids emissions.</w:t>
      </w:r>
      <w:r w:rsidR="00DC64D9" w:rsidRPr="00334DA5">
        <w:rPr>
          <w:lang w:val="en-AU"/>
        </w:rPr>
        <w:t xml:space="preserve"> </w:t>
      </w:r>
    </w:p>
    <w:p w14:paraId="68D26B83" w14:textId="664CB15D" w:rsidR="00600535" w:rsidRPr="00334DA5" w:rsidRDefault="00600535" w:rsidP="00600535">
      <w:pPr>
        <w:pStyle w:val="CETHeading1"/>
        <w:rPr>
          <w:lang w:val="en-AU"/>
        </w:rPr>
      </w:pPr>
      <w:r w:rsidRPr="00334DA5">
        <w:rPr>
          <w:lang w:val="en-AU"/>
        </w:rPr>
        <w:t>Conclusions</w:t>
      </w:r>
    </w:p>
    <w:p w14:paraId="39F176B2" w14:textId="7E87DCAB" w:rsidR="00334DA5" w:rsidRPr="00334DA5" w:rsidRDefault="00334DA5" w:rsidP="00C664B7">
      <w:pPr>
        <w:pStyle w:val="CETBodytext"/>
        <w:rPr>
          <w:lang w:val="en-AU"/>
        </w:rPr>
      </w:pPr>
      <w:r w:rsidRPr="00334DA5">
        <w:rPr>
          <w:lang w:val="en-AU"/>
        </w:rPr>
        <w:t xml:space="preserve">The relationship between shear-inducing processes and odour emissions requires targeted strategies for biosolids odour management. ODP results showed variations in occurrences, intensity, and frequency of odour events during wastewater solids processing and storage. Odour events of concern include ‘fishy,’ ‘putrid garlic,’ ‘putrid-like sulfur,’ ‘musty earthy,’ and ‘musty chemical.’ Emissions from centrifuge biosolids are potentially linked to VOCs, while out-loading biosolids are associated with VSCs. VOCs persist longer and are harder to degrade, increasing overall odour </w:t>
      </w:r>
      <w:r w:rsidR="00164D72">
        <w:rPr>
          <w:lang w:val="en-AU"/>
        </w:rPr>
        <w:t>events</w:t>
      </w:r>
      <w:r w:rsidRPr="00334DA5">
        <w:rPr>
          <w:lang w:val="en-AU"/>
        </w:rPr>
        <w:t xml:space="preserve"> from centrifuge compared to out-loading. Enhanced emissions from out-loading </w:t>
      </w:r>
      <w:r w:rsidR="007033DC">
        <w:rPr>
          <w:lang w:val="en-AU"/>
        </w:rPr>
        <w:t xml:space="preserve">biosolids </w:t>
      </w:r>
      <w:r w:rsidRPr="00334DA5">
        <w:rPr>
          <w:lang w:val="en-AU"/>
        </w:rPr>
        <w:t>are likely due to shearing during conveyance</w:t>
      </w:r>
      <w:r w:rsidR="00A614BC">
        <w:rPr>
          <w:lang w:val="en-AU"/>
        </w:rPr>
        <w:t xml:space="preserve">, </w:t>
      </w:r>
      <w:r w:rsidR="00A614BC">
        <w:t>which disturb the surface of the biosolids</w:t>
      </w:r>
      <w:r w:rsidR="0082743C">
        <w:t xml:space="preserve">, </w:t>
      </w:r>
      <w:r w:rsidRPr="00334DA5">
        <w:rPr>
          <w:lang w:val="en-AU"/>
        </w:rPr>
        <w:t>and storage conditions</w:t>
      </w:r>
      <w:r w:rsidR="0082743C">
        <w:rPr>
          <w:lang w:val="en-AU"/>
        </w:rPr>
        <w:t xml:space="preserve">, </w:t>
      </w:r>
      <w:r w:rsidR="002C4571">
        <w:rPr>
          <w:lang w:val="en-AU"/>
        </w:rPr>
        <w:t xml:space="preserve">which </w:t>
      </w:r>
      <w:r w:rsidR="0082743C">
        <w:t>can develop anaerobic environments</w:t>
      </w:r>
      <w:r w:rsidRPr="00334DA5">
        <w:rPr>
          <w:lang w:val="en-AU"/>
        </w:rPr>
        <w:t xml:space="preserve">. </w:t>
      </w:r>
      <w:r w:rsidR="00C1547C">
        <w:rPr>
          <w:lang w:val="en-AU"/>
        </w:rPr>
        <w:t>Odour</w:t>
      </w:r>
      <w:r w:rsidRPr="00334DA5">
        <w:rPr>
          <w:lang w:val="en-AU"/>
        </w:rPr>
        <w:t xml:space="preserve"> emissions challenge the beneficial reuse of biosolids, increasing costs and decreasing community acceptance. Thus, the use of sensory analyses provides crucial insights into understanding and controlling odour emissions in wastewater treatment plants, presenting opportunities to optimize operational parameters and enhance biosolids reuse efforts.</w:t>
      </w:r>
    </w:p>
    <w:p w14:paraId="459D05E6" w14:textId="2ACBF4A8" w:rsidR="00600535" w:rsidRPr="00334DA5" w:rsidRDefault="00600535" w:rsidP="00C664B7">
      <w:pPr>
        <w:pStyle w:val="CETAcknowledgementstitle"/>
        <w:rPr>
          <w:lang w:val="en-AU"/>
        </w:rPr>
      </w:pPr>
      <w:r w:rsidRPr="00334DA5">
        <w:rPr>
          <w:lang w:val="en-AU"/>
        </w:rPr>
        <w:t>Acknowledgments</w:t>
      </w:r>
    </w:p>
    <w:p w14:paraId="33F8138F" w14:textId="0DF1F995" w:rsidR="00600535" w:rsidRPr="00334DA5" w:rsidRDefault="00EA3CED" w:rsidP="00600535">
      <w:pPr>
        <w:pStyle w:val="CETBodytext"/>
        <w:rPr>
          <w:lang w:val="en-AU"/>
        </w:rPr>
      </w:pPr>
      <w:r w:rsidRPr="00334DA5">
        <w:rPr>
          <w:lang w:val="en-AU"/>
        </w:rPr>
        <w:t xml:space="preserve">Thais is a PhD researcher who is supported by UNSW University International Postgraduate Award (UIPA) scholarship and through the Australian Research Council Training Centre for Biosolids Transformation (IC190100033).  Samples for the study were supported with funding from the </w:t>
      </w:r>
      <w:r w:rsidR="00F25045" w:rsidRPr="00334DA5">
        <w:rPr>
          <w:lang w:val="en-AU"/>
        </w:rPr>
        <w:t>Australian Research Council Training Centre for Biosolids Transformation (IC190100033)</w:t>
      </w:r>
      <w:r w:rsidRPr="00334DA5">
        <w:rPr>
          <w:lang w:val="en-AU"/>
        </w:rPr>
        <w:t>.</w:t>
      </w:r>
      <w:r w:rsidR="00606B2E" w:rsidRPr="00334DA5">
        <w:rPr>
          <w:lang w:val="en-AU"/>
        </w:rPr>
        <w:t xml:space="preserve"> </w:t>
      </w:r>
      <w:r w:rsidR="009E2678" w:rsidRPr="00334DA5">
        <w:rPr>
          <w:lang w:val="en-AU"/>
        </w:rPr>
        <w:t>We t</w:t>
      </w:r>
      <w:r w:rsidR="00606B2E" w:rsidRPr="00334DA5">
        <w:rPr>
          <w:lang w:val="en-AU"/>
        </w:rPr>
        <w:t xml:space="preserve">hank </w:t>
      </w:r>
      <w:r w:rsidR="00B1355A" w:rsidRPr="00334DA5">
        <w:rPr>
          <w:lang w:val="en-AU"/>
        </w:rPr>
        <w:t xml:space="preserve">James Hayes (UNSW Sydney), </w:t>
      </w:r>
      <w:r w:rsidR="00FC2ADC" w:rsidRPr="00334DA5">
        <w:rPr>
          <w:lang w:val="en-AU"/>
        </w:rPr>
        <w:t xml:space="preserve">Matthew Wood (Sydney Water), </w:t>
      </w:r>
      <w:r w:rsidR="00606B2E" w:rsidRPr="00334DA5">
        <w:rPr>
          <w:lang w:val="en-AU"/>
        </w:rPr>
        <w:t>Water Research Australia (</w:t>
      </w:r>
      <w:proofErr w:type="spellStart"/>
      <w:r w:rsidR="00606B2E" w:rsidRPr="00334DA5">
        <w:rPr>
          <w:lang w:val="en-AU"/>
        </w:rPr>
        <w:t>WaterRA</w:t>
      </w:r>
      <w:proofErr w:type="spellEnd"/>
      <w:r w:rsidR="00606B2E" w:rsidRPr="00334DA5">
        <w:rPr>
          <w:lang w:val="en-AU"/>
        </w:rPr>
        <w:t xml:space="preserve"> Project #4952) and Lauren Randall (Hunter Water)</w:t>
      </w:r>
      <w:r w:rsidR="009E2678" w:rsidRPr="00334DA5">
        <w:rPr>
          <w:lang w:val="en-AU"/>
        </w:rPr>
        <w:t xml:space="preserve"> for their support and advice. A. Prata is a Visiting Fellow at the ARC Training Centre for the Transformation of Australia’s Biosolids Resources.</w:t>
      </w:r>
    </w:p>
    <w:p w14:paraId="4F1327F8" w14:textId="77777777" w:rsidR="00600535" w:rsidRPr="00334DA5" w:rsidRDefault="00600535" w:rsidP="00600535">
      <w:pPr>
        <w:pStyle w:val="CETReference"/>
        <w:rPr>
          <w:lang w:val="en-AU"/>
        </w:rPr>
      </w:pPr>
      <w:r w:rsidRPr="00334DA5">
        <w:rPr>
          <w:lang w:val="en-AU"/>
        </w:rPr>
        <w:t>References</w:t>
      </w:r>
    </w:p>
    <w:p w14:paraId="03AE414B" w14:textId="3F090956" w:rsidR="005249C1" w:rsidRPr="00334DA5" w:rsidRDefault="005249C1" w:rsidP="005249C1">
      <w:pPr>
        <w:pStyle w:val="CETReferencetext"/>
        <w:rPr>
          <w:lang w:val="en-AU"/>
        </w:rPr>
      </w:pPr>
      <w:r w:rsidRPr="00334DA5">
        <w:rPr>
          <w:lang w:val="en-AU"/>
        </w:rPr>
        <w:t xml:space="preserve">Adams, G.M., Witherspoon, J.R., Card, T., Erdal, Z., Forbes, R., </w:t>
      </w:r>
      <w:proofErr w:type="spellStart"/>
      <w:r w:rsidRPr="00334DA5">
        <w:rPr>
          <w:lang w:val="en-AU"/>
        </w:rPr>
        <w:t>Geselbracht</w:t>
      </w:r>
      <w:proofErr w:type="spellEnd"/>
      <w:r w:rsidRPr="00334DA5">
        <w:rPr>
          <w:lang w:val="en-AU"/>
        </w:rPr>
        <w:t>, J., Glindemann, D., Hargreaves, R., Hentz, L., Higgins, M.J., McEwen, D., Murthy, S.N., 2004, ‘Identifying and Controlling the Municipal Wastewater Odor Environment Phase 2: Impacts of In-plant Operational Parameters on Biosolids Odor Quality Water Environment Research Foundation Report No. 00-HHE-5T, Alexandria, VA, USA.</w:t>
      </w:r>
    </w:p>
    <w:p w14:paraId="578DDD3C" w14:textId="3FED0A3B" w:rsidR="007C5A9D" w:rsidRPr="00334DA5" w:rsidRDefault="007C5A9D" w:rsidP="007C5A9D">
      <w:pPr>
        <w:pStyle w:val="CETReferencetext"/>
        <w:rPr>
          <w:lang w:val="en-AU"/>
        </w:rPr>
      </w:pPr>
      <w:r w:rsidRPr="00334DA5">
        <w:rPr>
          <w:lang w:val="en-AU"/>
        </w:rPr>
        <w:t xml:space="preserve">Brattoli M., Cisternino E., </w:t>
      </w:r>
      <w:proofErr w:type="spellStart"/>
      <w:r w:rsidRPr="00334DA5">
        <w:rPr>
          <w:lang w:val="en-AU"/>
        </w:rPr>
        <w:t>Dambruoso</w:t>
      </w:r>
      <w:proofErr w:type="spellEnd"/>
      <w:r w:rsidRPr="00334DA5">
        <w:rPr>
          <w:lang w:val="en-AU"/>
        </w:rPr>
        <w:t xml:space="preserve"> P.R., de Gennaro G., </w:t>
      </w:r>
      <w:proofErr w:type="spellStart"/>
      <w:r w:rsidRPr="00334DA5">
        <w:rPr>
          <w:lang w:val="en-AU"/>
        </w:rPr>
        <w:t>Giungato</w:t>
      </w:r>
      <w:proofErr w:type="spellEnd"/>
      <w:r w:rsidRPr="00334DA5">
        <w:rPr>
          <w:lang w:val="en-AU"/>
        </w:rPr>
        <w:t xml:space="preserve"> P., Mazzone A., </w:t>
      </w:r>
      <w:proofErr w:type="spellStart"/>
      <w:r w:rsidRPr="00334DA5">
        <w:rPr>
          <w:lang w:val="en-AU"/>
        </w:rPr>
        <w:t>Palmisani</w:t>
      </w:r>
      <w:proofErr w:type="spellEnd"/>
      <w:r w:rsidRPr="00334DA5">
        <w:rPr>
          <w:lang w:val="en-AU"/>
        </w:rPr>
        <w:t xml:space="preserve"> J., Tutino M.</w:t>
      </w:r>
      <w:r w:rsidR="00700D33" w:rsidRPr="00334DA5">
        <w:rPr>
          <w:lang w:val="en-AU"/>
        </w:rPr>
        <w:t xml:space="preserve">, </w:t>
      </w:r>
      <w:r w:rsidRPr="00334DA5">
        <w:rPr>
          <w:lang w:val="en-AU"/>
        </w:rPr>
        <w:t>2013, ‘Gas chromatography analysis with olfactometric detection (GC-O) as a useful methodology for chemical characterization of odorous compounds’, Sensors (Basel) 13:16759-16800.</w:t>
      </w:r>
    </w:p>
    <w:p w14:paraId="510D1172" w14:textId="1FF75747" w:rsidR="00AA5107" w:rsidRPr="00334DA5" w:rsidRDefault="00AA5107" w:rsidP="00E155FA">
      <w:pPr>
        <w:pStyle w:val="CETReferencetext"/>
        <w:rPr>
          <w:lang w:val="en-AU"/>
        </w:rPr>
      </w:pPr>
      <w:r w:rsidRPr="00334DA5">
        <w:rPr>
          <w:lang w:val="en-AU"/>
        </w:rPr>
        <w:t>Chen Y-C</w:t>
      </w:r>
      <w:r w:rsidR="00BB0289" w:rsidRPr="00334DA5">
        <w:rPr>
          <w:lang w:val="en-AU"/>
        </w:rPr>
        <w:t>.</w:t>
      </w:r>
      <w:r w:rsidRPr="00334DA5">
        <w:rPr>
          <w:lang w:val="en-AU"/>
        </w:rPr>
        <w:t>, Higgins M</w:t>
      </w:r>
      <w:r w:rsidR="00BB0289" w:rsidRPr="00334DA5">
        <w:rPr>
          <w:lang w:val="en-AU"/>
        </w:rPr>
        <w:t>.</w:t>
      </w:r>
      <w:r w:rsidRPr="00334DA5">
        <w:rPr>
          <w:lang w:val="en-AU"/>
        </w:rPr>
        <w:t>J</w:t>
      </w:r>
      <w:r w:rsidR="00BB0289" w:rsidRPr="00334DA5">
        <w:rPr>
          <w:lang w:val="en-AU"/>
        </w:rPr>
        <w:t>.</w:t>
      </w:r>
      <w:r w:rsidRPr="00334DA5">
        <w:rPr>
          <w:lang w:val="en-AU"/>
        </w:rPr>
        <w:t>, Beightol S</w:t>
      </w:r>
      <w:r w:rsidR="00BB0289" w:rsidRPr="00334DA5">
        <w:rPr>
          <w:lang w:val="en-AU"/>
        </w:rPr>
        <w:t>.</w:t>
      </w:r>
      <w:r w:rsidRPr="00334DA5">
        <w:rPr>
          <w:lang w:val="en-AU"/>
        </w:rPr>
        <w:t>M</w:t>
      </w:r>
      <w:r w:rsidR="00BB0289" w:rsidRPr="00334DA5">
        <w:rPr>
          <w:lang w:val="en-AU"/>
        </w:rPr>
        <w:t>.</w:t>
      </w:r>
      <w:r w:rsidRPr="00334DA5">
        <w:rPr>
          <w:lang w:val="en-AU"/>
        </w:rPr>
        <w:t>, Murthy S</w:t>
      </w:r>
      <w:r w:rsidR="00BB0289" w:rsidRPr="00334DA5">
        <w:rPr>
          <w:lang w:val="en-AU"/>
        </w:rPr>
        <w:t>.</w:t>
      </w:r>
      <w:r w:rsidRPr="00334DA5">
        <w:rPr>
          <w:lang w:val="en-AU"/>
        </w:rPr>
        <w:t>N</w:t>
      </w:r>
      <w:r w:rsidR="00BB0289" w:rsidRPr="00334DA5">
        <w:rPr>
          <w:lang w:val="en-AU"/>
        </w:rPr>
        <w:t>.</w:t>
      </w:r>
      <w:r w:rsidRPr="00334DA5">
        <w:rPr>
          <w:lang w:val="en-AU"/>
        </w:rPr>
        <w:t>, Toffey W</w:t>
      </w:r>
      <w:r w:rsidR="00BB0289" w:rsidRPr="00334DA5">
        <w:rPr>
          <w:lang w:val="en-AU"/>
        </w:rPr>
        <w:t>.</w:t>
      </w:r>
      <w:r w:rsidRPr="00334DA5">
        <w:rPr>
          <w:lang w:val="en-AU"/>
        </w:rPr>
        <w:t>E</w:t>
      </w:r>
      <w:r w:rsidR="00BB0289" w:rsidRPr="00334DA5">
        <w:rPr>
          <w:lang w:val="en-AU"/>
        </w:rPr>
        <w:t>., 2011, ‘</w:t>
      </w:r>
      <w:r w:rsidRPr="00334DA5">
        <w:rPr>
          <w:lang w:val="en-AU"/>
        </w:rPr>
        <w:t xml:space="preserve">Anaerobically digested biosolids </w:t>
      </w:r>
      <w:proofErr w:type="spellStart"/>
      <w:r w:rsidRPr="00334DA5">
        <w:rPr>
          <w:lang w:val="en-AU"/>
        </w:rPr>
        <w:t>odor</w:t>
      </w:r>
      <w:proofErr w:type="spellEnd"/>
      <w:r w:rsidRPr="00334DA5">
        <w:rPr>
          <w:lang w:val="en-AU"/>
        </w:rPr>
        <w:t xml:space="preserve"> generation and pathogen indicator regrowth after dewatering</w:t>
      </w:r>
      <w:r w:rsidR="00BB0289" w:rsidRPr="00334DA5">
        <w:rPr>
          <w:lang w:val="en-AU"/>
        </w:rPr>
        <w:t xml:space="preserve">’, </w:t>
      </w:r>
      <w:r w:rsidRPr="00334DA5">
        <w:rPr>
          <w:lang w:val="en-AU"/>
        </w:rPr>
        <w:t>Water Research; 45: 2616-2626.</w:t>
      </w:r>
    </w:p>
    <w:p w14:paraId="25F7E906" w14:textId="78B7C4FA" w:rsidR="003B054F" w:rsidRPr="00334DA5" w:rsidRDefault="003B054F" w:rsidP="003B054F">
      <w:pPr>
        <w:pStyle w:val="CETReferencetext"/>
        <w:rPr>
          <w:lang w:val="en-AU"/>
        </w:rPr>
      </w:pPr>
      <w:r w:rsidRPr="00334DA5">
        <w:rPr>
          <w:lang w:val="en-AU"/>
        </w:rPr>
        <w:t>Fisher R.M., Alvarez-Gaitan J.P. and Stuetz R.M.</w:t>
      </w:r>
      <w:r w:rsidR="00700D33" w:rsidRPr="00334DA5">
        <w:rPr>
          <w:lang w:val="en-AU"/>
        </w:rPr>
        <w:t>,</w:t>
      </w:r>
      <w:r w:rsidRPr="00334DA5">
        <w:rPr>
          <w:lang w:val="en-AU"/>
        </w:rPr>
        <w:t xml:space="preserve"> 2019, ‘Review of the effects of wastewater biosolids stabilization processes on odour emissions’, Critical Reviews in Environmental Science and Technology 49:17 1515-1586.</w:t>
      </w:r>
    </w:p>
    <w:p w14:paraId="32B34434" w14:textId="1AB3A895" w:rsidR="003B054F" w:rsidRPr="00334DA5" w:rsidRDefault="003B054F" w:rsidP="003B054F">
      <w:pPr>
        <w:pStyle w:val="CETReferencetext"/>
        <w:rPr>
          <w:lang w:val="en-AU"/>
        </w:rPr>
      </w:pPr>
      <w:r w:rsidRPr="00334DA5">
        <w:rPr>
          <w:lang w:val="en-AU"/>
        </w:rPr>
        <w:t xml:space="preserve">Fisher R.M., Barczak R.J., </w:t>
      </w:r>
      <w:proofErr w:type="spellStart"/>
      <w:r w:rsidRPr="00334DA5">
        <w:rPr>
          <w:lang w:val="en-AU"/>
        </w:rPr>
        <w:t>Suffet</w:t>
      </w:r>
      <w:proofErr w:type="spellEnd"/>
      <w:r w:rsidRPr="00334DA5">
        <w:rPr>
          <w:lang w:val="en-AU"/>
        </w:rPr>
        <w:t xml:space="preserve"> I.H.”M.”, Hayes J.E., Stuetz R.M.</w:t>
      </w:r>
      <w:r w:rsidR="007E0AAE" w:rsidRPr="00334DA5">
        <w:rPr>
          <w:lang w:val="en-AU"/>
        </w:rPr>
        <w:t>,</w:t>
      </w:r>
      <w:r w:rsidRPr="00334DA5">
        <w:rPr>
          <w:lang w:val="en-AU"/>
        </w:rPr>
        <w:t xml:space="preserve"> 2018, ‘Framework for the use of odour wheels to manage odours throughout wastewater biosolids processing’, Science of the Total Environment 634:214-223. </w:t>
      </w:r>
    </w:p>
    <w:p w14:paraId="5BDD456B" w14:textId="651559D2" w:rsidR="00386CDB" w:rsidRPr="00334DA5" w:rsidRDefault="0090227F" w:rsidP="00F62DD1">
      <w:pPr>
        <w:pStyle w:val="CETReferencetext"/>
        <w:rPr>
          <w:lang w:val="en-AU"/>
        </w:rPr>
      </w:pPr>
      <w:r w:rsidRPr="00334DA5">
        <w:rPr>
          <w:lang w:val="en-AU"/>
        </w:rPr>
        <w:t>Higgins, M. J., Chen, Y. C., Yarosz, D. P., Murthy, S. N., Maas, N. A., Glindemann, D., Novak, J. T.</w:t>
      </w:r>
      <w:r w:rsidR="009D75C6" w:rsidRPr="00334DA5">
        <w:rPr>
          <w:lang w:val="en-AU"/>
        </w:rPr>
        <w:t xml:space="preserve">, </w:t>
      </w:r>
      <w:r w:rsidRPr="00334DA5">
        <w:rPr>
          <w:lang w:val="en-AU"/>
        </w:rPr>
        <w:t>2006</w:t>
      </w:r>
      <w:r w:rsidR="009D75C6" w:rsidRPr="00334DA5">
        <w:rPr>
          <w:lang w:val="en-AU"/>
        </w:rPr>
        <w:t>, ‘</w:t>
      </w:r>
      <w:r w:rsidRPr="00334DA5">
        <w:rPr>
          <w:lang w:val="en-AU"/>
        </w:rPr>
        <w:t>Cycling of Volatile Organic Sulfur Compounds in Anaerobically Digested Biosolids and its Implications for Odors. Water Environment Research</w:t>
      </w:r>
      <w:r w:rsidR="009D75C6" w:rsidRPr="00334DA5">
        <w:rPr>
          <w:lang w:val="en-AU"/>
        </w:rPr>
        <w:t>’</w:t>
      </w:r>
      <w:r w:rsidRPr="00334DA5">
        <w:rPr>
          <w:lang w:val="en-AU"/>
        </w:rPr>
        <w:t xml:space="preserve">, 78(3), 243-252. </w:t>
      </w:r>
    </w:p>
    <w:sectPr w:rsidR="00386CDB" w:rsidRPr="00334DA5" w:rsidSect="00083EA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6A0D6" w14:textId="77777777" w:rsidR="005922D3" w:rsidRDefault="005922D3" w:rsidP="004F5E36">
      <w:r>
        <w:separator/>
      </w:r>
    </w:p>
  </w:endnote>
  <w:endnote w:type="continuationSeparator" w:id="0">
    <w:p w14:paraId="24430F22" w14:textId="77777777" w:rsidR="005922D3" w:rsidRDefault="005922D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7AED8" w14:textId="77777777" w:rsidR="005922D3" w:rsidRDefault="005922D3" w:rsidP="004F5E36">
      <w:r>
        <w:separator/>
      </w:r>
    </w:p>
  </w:footnote>
  <w:footnote w:type="continuationSeparator" w:id="0">
    <w:p w14:paraId="78A73088" w14:textId="77777777" w:rsidR="005922D3" w:rsidRDefault="005922D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DE6191B"/>
    <w:multiLevelType w:val="hybridMultilevel"/>
    <w:tmpl w:val="7FB0F4A6"/>
    <w:lvl w:ilvl="0" w:tplc="07744D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24516395">
    <w:abstractNumId w:val="10"/>
  </w:num>
  <w:num w:numId="2" w16cid:durableId="1693460582">
    <w:abstractNumId w:val="8"/>
  </w:num>
  <w:num w:numId="3" w16cid:durableId="509494628">
    <w:abstractNumId w:val="3"/>
  </w:num>
  <w:num w:numId="4" w16cid:durableId="1188911628">
    <w:abstractNumId w:val="2"/>
  </w:num>
  <w:num w:numId="5" w16cid:durableId="1509785167">
    <w:abstractNumId w:val="1"/>
  </w:num>
  <w:num w:numId="6" w16cid:durableId="109083628">
    <w:abstractNumId w:val="0"/>
  </w:num>
  <w:num w:numId="7" w16cid:durableId="1700157459">
    <w:abstractNumId w:val="9"/>
  </w:num>
  <w:num w:numId="8" w16cid:durableId="562526356">
    <w:abstractNumId w:val="7"/>
  </w:num>
  <w:num w:numId="9" w16cid:durableId="183717702">
    <w:abstractNumId w:val="6"/>
  </w:num>
  <w:num w:numId="10" w16cid:durableId="1069696268">
    <w:abstractNumId w:val="5"/>
  </w:num>
  <w:num w:numId="11" w16cid:durableId="1514224657">
    <w:abstractNumId w:val="4"/>
  </w:num>
  <w:num w:numId="12" w16cid:durableId="38894699">
    <w:abstractNumId w:val="18"/>
  </w:num>
  <w:num w:numId="13" w16cid:durableId="736131637">
    <w:abstractNumId w:val="13"/>
  </w:num>
  <w:num w:numId="14" w16cid:durableId="352997145">
    <w:abstractNumId w:val="19"/>
  </w:num>
  <w:num w:numId="15" w16cid:durableId="137839748">
    <w:abstractNumId w:val="21"/>
  </w:num>
  <w:num w:numId="16" w16cid:durableId="1284338746">
    <w:abstractNumId w:val="20"/>
  </w:num>
  <w:num w:numId="17" w16cid:durableId="1331055509">
    <w:abstractNumId w:val="12"/>
  </w:num>
  <w:num w:numId="18" w16cid:durableId="221135817">
    <w:abstractNumId w:val="13"/>
    <w:lvlOverride w:ilvl="0">
      <w:startOverride w:val="1"/>
    </w:lvlOverride>
  </w:num>
  <w:num w:numId="19" w16cid:durableId="479854872">
    <w:abstractNumId w:val="17"/>
  </w:num>
  <w:num w:numId="20" w16cid:durableId="1942950572">
    <w:abstractNumId w:val="16"/>
  </w:num>
  <w:num w:numId="21" w16cid:durableId="463234532">
    <w:abstractNumId w:val="15"/>
  </w:num>
  <w:num w:numId="22" w16cid:durableId="1494024726">
    <w:abstractNumId w:val="14"/>
  </w:num>
  <w:num w:numId="23" w16cid:durableId="7060310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B5B"/>
    <w:rsid w:val="000027C0"/>
    <w:rsid w:val="000029C0"/>
    <w:rsid w:val="0000482D"/>
    <w:rsid w:val="000052FB"/>
    <w:rsid w:val="00010679"/>
    <w:rsid w:val="000117CB"/>
    <w:rsid w:val="00012CF0"/>
    <w:rsid w:val="0001436F"/>
    <w:rsid w:val="00016663"/>
    <w:rsid w:val="00026F65"/>
    <w:rsid w:val="0003148D"/>
    <w:rsid w:val="00031AC5"/>
    <w:rsid w:val="00031EEC"/>
    <w:rsid w:val="0003284E"/>
    <w:rsid w:val="00037D34"/>
    <w:rsid w:val="000431AC"/>
    <w:rsid w:val="00043C30"/>
    <w:rsid w:val="000479B8"/>
    <w:rsid w:val="00051566"/>
    <w:rsid w:val="000556D9"/>
    <w:rsid w:val="00062A9A"/>
    <w:rsid w:val="00063626"/>
    <w:rsid w:val="00065058"/>
    <w:rsid w:val="00070BD8"/>
    <w:rsid w:val="00071C34"/>
    <w:rsid w:val="00072D0D"/>
    <w:rsid w:val="00074E1C"/>
    <w:rsid w:val="000752CA"/>
    <w:rsid w:val="00075BB2"/>
    <w:rsid w:val="00077C02"/>
    <w:rsid w:val="00077C33"/>
    <w:rsid w:val="000813DE"/>
    <w:rsid w:val="00083EAE"/>
    <w:rsid w:val="00086C39"/>
    <w:rsid w:val="0008742D"/>
    <w:rsid w:val="00092D30"/>
    <w:rsid w:val="000A03B2"/>
    <w:rsid w:val="000A0716"/>
    <w:rsid w:val="000A2BDB"/>
    <w:rsid w:val="000A642E"/>
    <w:rsid w:val="000B6052"/>
    <w:rsid w:val="000C4D99"/>
    <w:rsid w:val="000C5536"/>
    <w:rsid w:val="000C5E4D"/>
    <w:rsid w:val="000D0268"/>
    <w:rsid w:val="000D175D"/>
    <w:rsid w:val="000D1D77"/>
    <w:rsid w:val="000D34BE"/>
    <w:rsid w:val="000D4527"/>
    <w:rsid w:val="000D5C69"/>
    <w:rsid w:val="000E102F"/>
    <w:rsid w:val="000E13A3"/>
    <w:rsid w:val="000E18F5"/>
    <w:rsid w:val="000E36F1"/>
    <w:rsid w:val="000E3A73"/>
    <w:rsid w:val="000E414A"/>
    <w:rsid w:val="000E5304"/>
    <w:rsid w:val="000F093C"/>
    <w:rsid w:val="000F3F1B"/>
    <w:rsid w:val="000F45BD"/>
    <w:rsid w:val="000F787B"/>
    <w:rsid w:val="00100024"/>
    <w:rsid w:val="0010055C"/>
    <w:rsid w:val="00101F27"/>
    <w:rsid w:val="00103C27"/>
    <w:rsid w:val="0010568C"/>
    <w:rsid w:val="0010799D"/>
    <w:rsid w:val="001106EB"/>
    <w:rsid w:val="001107FE"/>
    <w:rsid w:val="0012091F"/>
    <w:rsid w:val="0012133A"/>
    <w:rsid w:val="0012165F"/>
    <w:rsid w:val="00126013"/>
    <w:rsid w:val="00126BC2"/>
    <w:rsid w:val="001308B6"/>
    <w:rsid w:val="001309B2"/>
    <w:rsid w:val="0013121F"/>
    <w:rsid w:val="00131FE6"/>
    <w:rsid w:val="0013254A"/>
    <w:rsid w:val="0013263F"/>
    <w:rsid w:val="001331DF"/>
    <w:rsid w:val="00134DE4"/>
    <w:rsid w:val="00137F12"/>
    <w:rsid w:val="0014034D"/>
    <w:rsid w:val="001415BC"/>
    <w:rsid w:val="00141A9B"/>
    <w:rsid w:val="00142821"/>
    <w:rsid w:val="00144D16"/>
    <w:rsid w:val="00147DBC"/>
    <w:rsid w:val="00150E59"/>
    <w:rsid w:val="00150EA2"/>
    <w:rsid w:val="00152DE3"/>
    <w:rsid w:val="00154C70"/>
    <w:rsid w:val="00160A94"/>
    <w:rsid w:val="0016148A"/>
    <w:rsid w:val="00164AC4"/>
    <w:rsid w:val="00164CF9"/>
    <w:rsid w:val="00164D72"/>
    <w:rsid w:val="001667A6"/>
    <w:rsid w:val="001668A0"/>
    <w:rsid w:val="00167FE2"/>
    <w:rsid w:val="00175BF7"/>
    <w:rsid w:val="00176181"/>
    <w:rsid w:val="00181915"/>
    <w:rsid w:val="00181A4C"/>
    <w:rsid w:val="00183847"/>
    <w:rsid w:val="00184AD6"/>
    <w:rsid w:val="00185F20"/>
    <w:rsid w:val="001964C6"/>
    <w:rsid w:val="001A048E"/>
    <w:rsid w:val="001A4AF7"/>
    <w:rsid w:val="001A6DE5"/>
    <w:rsid w:val="001A6F3C"/>
    <w:rsid w:val="001A7BEE"/>
    <w:rsid w:val="001A7DBC"/>
    <w:rsid w:val="001B0349"/>
    <w:rsid w:val="001B1E93"/>
    <w:rsid w:val="001B1FA3"/>
    <w:rsid w:val="001B65C1"/>
    <w:rsid w:val="001C5824"/>
    <w:rsid w:val="001C5B41"/>
    <w:rsid w:val="001C684B"/>
    <w:rsid w:val="001C7A99"/>
    <w:rsid w:val="001D0CFB"/>
    <w:rsid w:val="001D21AF"/>
    <w:rsid w:val="001D536D"/>
    <w:rsid w:val="001D53FC"/>
    <w:rsid w:val="001D7EF6"/>
    <w:rsid w:val="001E04A2"/>
    <w:rsid w:val="001E17AB"/>
    <w:rsid w:val="001E22E3"/>
    <w:rsid w:val="001E40F3"/>
    <w:rsid w:val="001E5804"/>
    <w:rsid w:val="001E7040"/>
    <w:rsid w:val="001F01CE"/>
    <w:rsid w:val="001F3790"/>
    <w:rsid w:val="001F42A5"/>
    <w:rsid w:val="001F43BD"/>
    <w:rsid w:val="001F6C41"/>
    <w:rsid w:val="001F7B9D"/>
    <w:rsid w:val="0020178D"/>
    <w:rsid w:val="00201C93"/>
    <w:rsid w:val="00201CF3"/>
    <w:rsid w:val="00205B30"/>
    <w:rsid w:val="00213445"/>
    <w:rsid w:val="00214890"/>
    <w:rsid w:val="002162A8"/>
    <w:rsid w:val="00216583"/>
    <w:rsid w:val="002178A5"/>
    <w:rsid w:val="00221B98"/>
    <w:rsid w:val="002224B4"/>
    <w:rsid w:val="0022401D"/>
    <w:rsid w:val="00225A9D"/>
    <w:rsid w:val="00232070"/>
    <w:rsid w:val="0023216F"/>
    <w:rsid w:val="00232A5F"/>
    <w:rsid w:val="00233C1E"/>
    <w:rsid w:val="00235E9A"/>
    <w:rsid w:val="00237113"/>
    <w:rsid w:val="002445C1"/>
    <w:rsid w:val="002447EF"/>
    <w:rsid w:val="002479A3"/>
    <w:rsid w:val="00250B76"/>
    <w:rsid w:val="00251550"/>
    <w:rsid w:val="00253B79"/>
    <w:rsid w:val="00254117"/>
    <w:rsid w:val="00254DD0"/>
    <w:rsid w:val="00260A3F"/>
    <w:rsid w:val="00260F3C"/>
    <w:rsid w:val="002618CE"/>
    <w:rsid w:val="002627B9"/>
    <w:rsid w:val="00263B05"/>
    <w:rsid w:val="002661A8"/>
    <w:rsid w:val="0027221A"/>
    <w:rsid w:val="00274288"/>
    <w:rsid w:val="00274F6A"/>
    <w:rsid w:val="00275B61"/>
    <w:rsid w:val="00277AEF"/>
    <w:rsid w:val="00280045"/>
    <w:rsid w:val="00280FAF"/>
    <w:rsid w:val="002817A8"/>
    <w:rsid w:val="00282656"/>
    <w:rsid w:val="002830C8"/>
    <w:rsid w:val="002834EA"/>
    <w:rsid w:val="0028523C"/>
    <w:rsid w:val="002959BC"/>
    <w:rsid w:val="00296B83"/>
    <w:rsid w:val="00297129"/>
    <w:rsid w:val="002A0E84"/>
    <w:rsid w:val="002A3A18"/>
    <w:rsid w:val="002A5B62"/>
    <w:rsid w:val="002A6DC8"/>
    <w:rsid w:val="002B365E"/>
    <w:rsid w:val="002B4015"/>
    <w:rsid w:val="002B78CE"/>
    <w:rsid w:val="002C0A1C"/>
    <w:rsid w:val="002C1AD2"/>
    <w:rsid w:val="002C2FB6"/>
    <w:rsid w:val="002C4571"/>
    <w:rsid w:val="002C5CCF"/>
    <w:rsid w:val="002C6B66"/>
    <w:rsid w:val="002D1BA8"/>
    <w:rsid w:val="002D2DBC"/>
    <w:rsid w:val="002D36E0"/>
    <w:rsid w:val="002D7DBA"/>
    <w:rsid w:val="002E5FA7"/>
    <w:rsid w:val="002E6D1D"/>
    <w:rsid w:val="002E6DDB"/>
    <w:rsid w:val="002F3309"/>
    <w:rsid w:val="002F5301"/>
    <w:rsid w:val="002F776B"/>
    <w:rsid w:val="003008CE"/>
    <w:rsid w:val="003009B7"/>
    <w:rsid w:val="00300E56"/>
    <w:rsid w:val="0030130D"/>
    <w:rsid w:val="00303704"/>
    <w:rsid w:val="0030447B"/>
    <w:rsid w:val="003045DE"/>
    <w:rsid w:val="0030469C"/>
    <w:rsid w:val="00307CE5"/>
    <w:rsid w:val="00312D6A"/>
    <w:rsid w:val="0031578A"/>
    <w:rsid w:val="00320E98"/>
    <w:rsid w:val="00321B6C"/>
    <w:rsid w:val="00321CA6"/>
    <w:rsid w:val="00323763"/>
    <w:rsid w:val="003238C5"/>
    <w:rsid w:val="00323C5F"/>
    <w:rsid w:val="0032771A"/>
    <w:rsid w:val="00334C09"/>
    <w:rsid w:val="00334DA5"/>
    <w:rsid w:val="00335055"/>
    <w:rsid w:val="003410BF"/>
    <w:rsid w:val="00343788"/>
    <w:rsid w:val="00345028"/>
    <w:rsid w:val="00346D28"/>
    <w:rsid w:val="00363501"/>
    <w:rsid w:val="003723D4"/>
    <w:rsid w:val="003733BC"/>
    <w:rsid w:val="0037568C"/>
    <w:rsid w:val="00375912"/>
    <w:rsid w:val="00376EB6"/>
    <w:rsid w:val="00380436"/>
    <w:rsid w:val="00381905"/>
    <w:rsid w:val="00381D8D"/>
    <w:rsid w:val="00382D3D"/>
    <w:rsid w:val="003832E6"/>
    <w:rsid w:val="00383393"/>
    <w:rsid w:val="00384A5C"/>
    <w:rsid w:val="00384CC8"/>
    <w:rsid w:val="00386CDB"/>
    <w:rsid w:val="003871FD"/>
    <w:rsid w:val="00387FE2"/>
    <w:rsid w:val="003949C5"/>
    <w:rsid w:val="003A1E30"/>
    <w:rsid w:val="003A2829"/>
    <w:rsid w:val="003A505E"/>
    <w:rsid w:val="003A5095"/>
    <w:rsid w:val="003A62F7"/>
    <w:rsid w:val="003A63B2"/>
    <w:rsid w:val="003A7D1C"/>
    <w:rsid w:val="003B054F"/>
    <w:rsid w:val="003B2EEC"/>
    <w:rsid w:val="003B304B"/>
    <w:rsid w:val="003B3146"/>
    <w:rsid w:val="003B6C00"/>
    <w:rsid w:val="003B6DE1"/>
    <w:rsid w:val="003C098F"/>
    <w:rsid w:val="003C0E68"/>
    <w:rsid w:val="003C222C"/>
    <w:rsid w:val="003C2822"/>
    <w:rsid w:val="003C52FF"/>
    <w:rsid w:val="003D1A33"/>
    <w:rsid w:val="003D5485"/>
    <w:rsid w:val="003E17A9"/>
    <w:rsid w:val="003E24C1"/>
    <w:rsid w:val="003E5D63"/>
    <w:rsid w:val="003E7C94"/>
    <w:rsid w:val="003F015E"/>
    <w:rsid w:val="003F0DCD"/>
    <w:rsid w:val="003F3452"/>
    <w:rsid w:val="003F38D8"/>
    <w:rsid w:val="00400414"/>
    <w:rsid w:val="0040283B"/>
    <w:rsid w:val="00403939"/>
    <w:rsid w:val="00404DC2"/>
    <w:rsid w:val="0041229D"/>
    <w:rsid w:val="00413AB6"/>
    <w:rsid w:val="0041446B"/>
    <w:rsid w:val="004155FE"/>
    <w:rsid w:val="0041687A"/>
    <w:rsid w:val="004206F8"/>
    <w:rsid w:val="00420B6F"/>
    <w:rsid w:val="00422484"/>
    <w:rsid w:val="00423711"/>
    <w:rsid w:val="004326E6"/>
    <w:rsid w:val="00433838"/>
    <w:rsid w:val="00434315"/>
    <w:rsid w:val="00435DCB"/>
    <w:rsid w:val="004363CC"/>
    <w:rsid w:val="0043655E"/>
    <w:rsid w:val="0044071E"/>
    <w:rsid w:val="0044170D"/>
    <w:rsid w:val="0044329C"/>
    <w:rsid w:val="00447685"/>
    <w:rsid w:val="00453E24"/>
    <w:rsid w:val="00457456"/>
    <w:rsid w:val="004577FE"/>
    <w:rsid w:val="00457B9C"/>
    <w:rsid w:val="004605D1"/>
    <w:rsid w:val="00461133"/>
    <w:rsid w:val="0046164A"/>
    <w:rsid w:val="004628D2"/>
    <w:rsid w:val="00462DCD"/>
    <w:rsid w:val="004648AD"/>
    <w:rsid w:val="00466217"/>
    <w:rsid w:val="00466F14"/>
    <w:rsid w:val="004703A9"/>
    <w:rsid w:val="004720DA"/>
    <w:rsid w:val="00473892"/>
    <w:rsid w:val="00474050"/>
    <w:rsid w:val="004760DE"/>
    <w:rsid w:val="004763D7"/>
    <w:rsid w:val="004802D4"/>
    <w:rsid w:val="004833D4"/>
    <w:rsid w:val="00485CAB"/>
    <w:rsid w:val="00486B3E"/>
    <w:rsid w:val="004871DD"/>
    <w:rsid w:val="004879B4"/>
    <w:rsid w:val="004955D0"/>
    <w:rsid w:val="00496AEC"/>
    <w:rsid w:val="004A004E"/>
    <w:rsid w:val="004A24CF"/>
    <w:rsid w:val="004A3530"/>
    <w:rsid w:val="004A3F32"/>
    <w:rsid w:val="004B27D2"/>
    <w:rsid w:val="004C0656"/>
    <w:rsid w:val="004C2159"/>
    <w:rsid w:val="004C3D1D"/>
    <w:rsid w:val="004C3D84"/>
    <w:rsid w:val="004C5DFA"/>
    <w:rsid w:val="004C7913"/>
    <w:rsid w:val="004D0D7B"/>
    <w:rsid w:val="004D3CBF"/>
    <w:rsid w:val="004D50BD"/>
    <w:rsid w:val="004D7726"/>
    <w:rsid w:val="004E4DD6"/>
    <w:rsid w:val="004F2F3F"/>
    <w:rsid w:val="004F3C34"/>
    <w:rsid w:val="004F5484"/>
    <w:rsid w:val="004F5E36"/>
    <w:rsid w:val="004F7DF5"/>
    <w:rsid w:val="00500B71"/>
    <w:rsid w:val="00505178"/>
    <w:rsid w:val="005074B0"/>
    <w:rsid w:val="00507B47"/>
    <w:rsid w:val="00507BEF"/>
    <w:rsid w:val="00507CC9"/>
    <w:rsid w:val="005119A5"/>
    <w:rsid w:val="00512AA0"/>
    <w:rsid w:val="00514D3A"/>
    <w:rsid w:val="005215F9"/>
    <w:rsid w:val="00523BA0"/>
    <w:rsid w:val="005249C1"/>
    <w:rsid w:val="005278B7"/>
    <w:rsid w:val="00532016"/>
    <w:rsid w:val="00532F0C"/>
    <w:rsid w:val="00533EF8"/>
    <w:rsid w:val="005346C8"/>
    <w:rsid w:val="00535476"/>
    <w:rsid w:val="005364DE"/>
    <w:rsid w:val="00537472"/>
    <w:rsid w:val="00541160"/>
    <w:rsid w:val="00543E7D"/>
    <w:rsid w:val="00543F6B"/>
    <w:rsid w:val="00547A68"/>
    <w:rsid w:val="00550403"/>
    <w:rsid w:val="00551930"/>
    <w:rsid w:val="005531C9"/>
    <w:rsid w:val="005570E1"/>
    <w:rsid w:val="00562EFD"/>
    <w:rsid w:val="00564BE5"/>
    <w:rsid w:val="00570A4B"/>
    <w:rsid w:val="00570C43"/>
    <w:rsid w:val="00573F10"/>
    <w:rsid w:val="00574C9B"/>
    <w:rsid w:val="00575307"/>
    <w:rsid w:val="00587063"/>
    <w:rsid w:val="005922D3"/>
    <w:rsid w:val="005957AD"/>
    <w:rsid w:val="005977BD"/>
    <w:rsid w:val="005A00C1"/>
    <w:rsid w:val="005A1F19"/>
    <w:rsid w:val="005A5A11"/>
    <w:rsid w:val="005A6D55"/>
    <w:rsid w:val="005A7ECF"/>
    <w:rsid w:val="005B19E2"/>
    <w:rsid w:val="005B2110"/>
    <w:rsid w:val="005B5580"/>
    <w:rsid w:val="005B61E6"/>
    <w:rsid w:val="005C1277"/>
    <w:rsid w:val="005C4367"/>
    <w:rsid w:val="005C4ABE"/>
    <w:rsid w:val="005C67AD"/>
    <w:rsid w:val="005C77E1"/>
    <w:rsid w:val="005C788A"/>
    <w:rsid w:val="005D0627"/>
    <w:rsid w:val="005D2924"/>
    <w:rsid w:val="005D3D2E"/>
    <w:rsid w:val="005D50C4"/>
    <w:rsid w:val="005D668A"/>
    <w:rsid w:val="005D6A2F"/>
    <w:rsid w:val="005E04E5"/>
    <w:rsid w:val="005E1A82"/>
    <w:rsid w:val="005E4035"/>
    <w:rsid w:val="005E4C00"/>
    <w:rsid w:val="005E78E9"/>
    <w:rsid w:val="005E794C"/>
    <w:rsid w:val="005E7C98"/>
    <w:rsid w:val="005E7E8C"/>
    <w:rsid w:val="005F0A28"/>
    <w:rsid w:val="005F0C61"/>
    <w:rsid w:val="005F0E5E"/>
    <w:rsid w:val="005F27B3"/>
    <w:rsid w:val="005F43F2"/>
    <w:rsid w:val="00600535"/>
    <w:rsid w:val="00602FEE"/>
    <w:rsid w:val="006054E9"/>
    <w:rsid w:val="00606B2E"/>
    <w:rsid w:val="00610CD6"/>
    <w:rsid w:val="0061207E"/>
    <w:rsid w:val="006126E7"/>
    <w:rsid w:val="00613AB5"/>
    <w:rsid w:val="00614E21"/>
    <w:rsid w:val="006153F8"/>
    <w:rsid w:val="006200DC"/>
    <w:rsid w:val="00620DEE"/>
    <w:rsid w:val="00621F92"/>
    <w:rsid w:val="0062280A"/>
    <w:rsid w:val="00624E29"/>
    <w:rsid w:val="00625639"/>
    <w:rsid w:val="00627978"/>
    <w:rsid w:val="0063034A"/>
    <w:rsid w:val="00631B33"/>
    <w:rsid w:val="00631DFE"/>
    <w:rsid w:val="00631F74"/>
    <w:rsid w:val="0064184D"/>
    <w:rsid w:val="006422CC"/>
    <w:rsid w:val="00642BEC"/>
    <w:rsid w:val="0064320C"/>
    <w:rsid w:val="00644F29"/>
    <w:rsid w:val="00646637"/>
    <w:rsid w:val="00646B7F"/>
    <w:rsid w:val="006537C3"/>
    <w:rsid w:val="00654515"/>
    <w:rsid w:val="00657171"/>
    <w:rsid w:val="00657B09"/>
    <w:rsid w:val="00660E3E"/>
    <w:rsid w:val="00660F3D"/>
    <w:rsid w:val="00662E74"/>
    <w:rsid w:val="00662FC8"/>
    <w:rsid w:val="0066745F"/>
    <w:rsid w:val="00670F76"/>
    <w:rsid w:val="00674DE7"/>
    <w:rsid w:val="006754E4"/>
    <w:rsid w:val="00680C23"/>
    <w:rsid w:val="0068380B"/>
    <w:rsid w:val="00683B27"/>
    <w:rsid w:val="00685F80"/>
    <w:rsid w:val="0069138B"/>
    <w:rsid w:val="00693766"/>
    <w:rsid w:val="00696AFE"/>
    <w:rsid w:val="006A21E1"/>
    <w:rsid w:val="006A3281"/>
    <w:rsid w:val="006A33EC"/>
    <w:rsid w:val="006A3CA0"/>
    <w:rsid w:val="006B1489"/>
    <w:rsid w:val="006B1A26"/>
    <w:rsid w:val="006B3EF9"/>
    <w:rsid w:val="006B4888"/>
    <w:rsid w:val="006B49EF"/>
    <w:rsid w:val="006B5269"/>
    <w:rsid w:val="006B5A3C"/>
    <w:rsid w:val="006C26DF"/>
    <w:rsid w:val="006C2E45"/>
    <w:rsid w:val="006C359C"/>
    <w:rsid w:val="006C3CA3"/>
    <w:rsid w:val="006C5579"/>
    <w:rsid w:val="006C7833"/>
    <w:rsid w:val="006D20AD"/>
    <w:rsid w:val="006D582B"/>
    <w:rsid w:val="006D614A"/>
    <w:rsid w:val="006D68B2"/>
    <w:rsid w:val="006D6C8C"/>
    <w:rsid w:val="006D6E8B"/>
    <w:rsid w:val="006E0359"/>
    <w:rsid w:val="006E737D"/>
    <w:rsid w:val="006F5ADD"/>
    <w:rsid w:val="006F7947"/>
    <w:rsid w:val="0070045C"/>
    <w:rsid w:val="007006DC"/>
    <w:rsid w:val="00700D33"/>
    <w:rsid w:val="00700FA4"/>
    <w:rsid w:val="007033DC"/>
    <w:rsid w:val="00705D6B"/>
    <w:rsid w:val="00713973"/>
    <w:rsid w:val="0071701F"/>
    <w:rsid w:val="00717EF5"/>
    <w:rsid w:val="0072021E"/>
    <w:rsid w:val="00720A24"/>
    <w:rsid w:val="00723625"/>
    <w:rsid w:val="00731C3D"/>
    <w:rsid w:val="00732386"/>
    <w:rsid w:val="00732AF8"/>
    <w:rsid w:val="007331BA"/>
    <w:rsid w:val="007348B6"/>
    <w:rsid w:val="0073514D"/>
    <w:rsid w:val="00737DA4"/>
    <w:rsid w:val="00741CF0"/>
    <w:rsid w:val="007444FF"/>
    <w:rsid w:val="007447F3"/>
    <w:rsid w:val="00750182"/>
    <w:rsid w:val="0075499F"/>
    <w:rsid w:val="00754C19"/>
    <w:rsid w:val="0076030F"/>
    <w:rsid w:val="007604C5"/>
    <w:rsid w:val="007611BA"/>
    <w:rsid w:val="00762A33"/>
    <w:rsid w:val="00764179"/>
    <w:rsid w:val="00765EE4"/>
    <w:rsid w:val="007661C8"/>
    <w:rsid w:val="0076775C"/>
    <w:rsid w:val="0077098D"/>
    <w:rsid w:val="0077349B"/>
    <w:rsid w:val="00773831"/>
    <w:rsid w:val="00774C16"/>
    <w:rsid w:val="0078463D"/>
    <w:rsid w:val="007931FA"/>
    <w:rsid w:val="007943EF"/>
    <w:rsid w:val="007A345C"/>
    <w:rsid w:val="007A3BB5"/>
    <w:rsid w:val="007A4861"/>
    <w:rsid w:val="007A59A1"/>
    <w:rsid w:val="007A7BBA"/>
    <w:rsid w:val="007B0C50"/>
    <w:rsid w:val="007B0D8B"/>
    <w:rsid w:val="007B10FE"/>
    <w:rsid w:val="007B48F9"/>
    <w:rsid w:val="007C1A43"/>
    <w:rsid w:val="007C1B9F"/>
    <w:rsid w:val="007C2F34"/>
    <w:rsid w:val="007C3FC5"/>
    <w:rsid w:val="007C5A9D"/>
    <w:rsid w:val="007C7CA0"/>
    <w:rsid w:val="007D2FE8"/>
    <w:rsid w:val="007D636B"/>
    <w:rsid w:val="007D6F17"/>
    <w:rsid w:val="007E0614"/>
    <w:rsid w:val="007E0678"/>
    <w:rsid w:val="007E0AAE"/>
    <w:rsid w:val="007E18E6"/>
    <w:rsid w:val="007E56EC"/>
    <w:rsid w:val="007F0039"/>
    <w:rsid w:val="007F0B32"/>
    <w:rsid w:val="007F3302"/>
    <w:rsid w:val="007F5C7D"/>
    <w:rsid w:val="0080013E"/>
    <w:rsid w:val="008067CB"/>
    <w:rsid w:val="008103AD"/>
    <w:rsid w:val="00813288"/>
    <w:rsid w:val="00813752"/>
    <w:rsid w:val="008156CB"/>
    <w:rsid w:val="008168FC"/>
    <w:rsid w:val="00817FA2"/>
    <w:rsid w:val="00821F43"/>
    <w:rsid w:val="008234FE"/>
    <w:rsid w:val="0082743C"/>
    <w:rsid w:val="00827A9E"/>
    <w:rsid w:val="00830996"/>
    <w:rsid w:val="008345F1"/>
    <w:rsid w:val="00841B28"/>
    <w:rsid w:val="00847A23"/>
    <w:rsid w:val="00847A48"/>
    <w:rsid w:val="008625A1"/>
    <w:rsid w:val="0086459D"/>
    <w:rsid w:val="00865B07"/>
    <w:rsid w:val="008667EA"/>
    <w:rsid w:val="0087319C"/>
    <w:rsid w:val="00874F8D"/>
    <w:rsid w:val="0087637F"/>
    <w:rsid w:val="00882123"/>
    <w:rsid w:val="00883D78"/>
    <w:rsid w:val="00884CB8"/>
    <w:rsid w:val="00886CA7"/>
    <w:rsid w:val="00887A2A"/>
    <w:rsid w:val="00890DF7"/>
    <w:rsid w:val="008910E6"/>
    <w:rsid w:val="00892AD5"/>
    <w:rsid w:val="00892F92"/>
    <w:rsid w:val="0089406A"/>
    <w:rsid w:val="00894CE1"/>
    <w:rsid w:val="008A0196"/>
    <w:rsid w:val="008A1512"/>
    <w:rsid w:val="008A3267"/>
    <w:rsid w:val="008A6D8C"/>
    <w:rsid w:val="008B09B9"/>
    <w:rsid w:val="008B2331"/>
    <w:rsid w:val="008B32D7"/>
    <w:rsid w:val="008B336D"/>
    <w:rsid w:val="008B37E7"/>
    <w:rsid w:val="008B3AF9"/>
    <w:rsid w:val="008B777E"/>
    <w:rsid w:val="008C1228"/>
    <w:rsid w:val="008C2061"/>
    <w:rsid w:val="008C2CCB"/>
    <w:rsid w:val="008C3151"/>
    <w:rsid w:val="008C5B38"/>
    <w:rsid w:val="008C6FB5"/>
    <w:rsid w:val="008D32B9"/>
    <w:rsid w:val="008D433B"/>
    <w:rsid w:val="008D442C"/>
    <w:rsid w:val="008D46AA"/>
    <w:rsid w:val="008D4A16"/>
    <w:rsid w:val="008D703E"/>
    <w:rsid w:val="008E05E6"/>
    <w:rsid w:val="008E075A"/>
    <w:rsid w:val="008E566E"/>
    <w:rsid w:val="008E5745"/>
    <w:rsid w:val="008F0E10"/>
    <w:rsid w:val="008F1F85"/>
    <w:rsid w:val="0090161A"/>
    <w:rsid w:val="00901EB6"/>
    <w:rsid w:val="0090227F"/>
    <w:rsid w:val="00904C62"/>
    <w:rsid w:val="009122B3"/>
    <w:rsid w:val="0091241B"/>
    <w:rsid w:val="00914569"/>
    <w:rsid w:val="00922BA8"/>
    <w:rsid w:val="00924934"/>
    <w:rsid w:val="00924DAC"/>
    <w:rsid w:val="00927058"/>
    <w:rsid w:val="009316C7"/>
    <w:rsid w:val="00933CAC"/>
    <w:rsid w:val="00935C0C"/>
    <w:rsid w:val="00942750"/>
    <w:rsid w:val="00944AD1"/>
    <w:rsid w:val="009450CE"/>
    <w:rsid w:val="00946707"/>
    <w:rsid w:val="00947179"/>
    <w:rsid w:val="0095164B"/>
    <w:rsid w:val="00954090"/>
    <w:rsid w:val="009547BC"/>
    <w:rsid w:val="0095529E"/>
    <w:rsid w:val="0095541E"/>
    <w:rsid w:val="009573E7"/>
    <w:rsid w:val="009606D8"/>
    <w:rsid w:val="00960C9B"/>
    <w:rsid w:val="00963E05"/>
    <w:rsid w:val="009648E6"/>
    <w:rsid w:val="00964A45"/>
    <w:rsid w:val="00967843"/>
    <w:rsid w:val="00967D54"/>
    <w:rsid w:val="00970E71"/>
    <w:rsid w:val="00971028"/>
    <w:rsid w:val="00976A57"/>
    <w:rsid w:val="00977A65"/>
    <w:rsid w:val="00985ADB"/>
    <w:rsid w:val="00992FE3"/>
    <w:rsid w:val="00993B84"/>
    <w:rsid w:val="0099506D"/>
    <w:rsid w:val="00996483"/>
    <w:rsid w:val="00996F5A"/>
    <w:rsid w:val="009A3417"/>
    <w:rsid w:val="009A4ABC"/>
    <w:rsid w:val="009A6661"/>
    <w:rsid w:val="009B041A"/>
    <w:rsid w:val="009B0C97"/>
    <w:rsid w:val="009B1729"/>
    <w:rsid w:val="009B188C"/>
    <w:rsid w:val="009B21E9"/>
    <w:rsid w:val="009B720C"/>
    <w:rsid w:val="009B7F6A"/>
    <w:rsid w:val="009C26EA"/>
    <w:rsid w:val="009C37C3"/>
    <w:rsid w:val="009C7C86"/>
    <w:rsid w:val="009D2C3A"/>
    <w:rsid w:val="009D2FF7"/>
    <w:rsid w:val="009D75C6"/>
    <w:rsid w:val="009E0B39"/>
    <w:rsid w:val="009E2678"/>
    <w:rsid w:val="009E7884"/>
    <w:rsid w:val="009E788A"/>
    <w:rsid w:val="009F0E08"/>
    <w:rsid w:val="009F36E3"/>
    <w:rsid w:val="009F39EC"/>
    <w:rsid w:val="009F3FE1"/>
    <w:rsid w:val="009F6928"/>
    <w:rsid w:val="009F6D34"/>
    <w:rsid w:val="00A00052"/>
    <w:rsid w:val="00A0133F"/>
    <w:rsid w:val="00A04B2E"/>
    <w:rsid w:val="00A057CD"/>
    <w:rsid w:val="00A05AAF"/>
    <w:rsid w:val="00A113F1"/>
    <w:rsid w:val="00A11633"/>
    <w:rsid w:val="00A12BE3"/>
    <w:rsid w:val="00A1763D"/>
    <w:rsid w:val="00A17CEC"/>
    <w:rsid w:val="00A21154"/>
    <w:rsid w:val="00A2217C"/>
    <w:rsid w:val="00A2778A"/>
    <w:rsid w:val="00A27EF0"/>
    <w:rsid w:val="00A336E0"/>
    <w:rsid w:val="00A34F35"/>
    <w:rsid w:val="00A379DC"/>
    <w:rsid w:val="00A404DF"/>
    <w:rsid w:val="00A41BEC"/>
    <w:rsid w:val="00A42361"/>
    <w:rsid w:val="00A43708"/>
    <w:rsid w:val="00A463F5"/>
    <w:rsid w:val="00A4795B"/>
    <w:rsid w:val="00A50B20"/>
    <w:rsid w:val="00A51390"/>
    <w:rsid w:val="00A52B31"/>
    <w:rsid w:val="00A54299"/>
    <w:rsid w:val="00A54617"/>
    <w:rsid w:val="00A55D25"/>
    <w:rsid w:val="00A60D13"/>
    <w:rsid w:val="00A614BC"/>
    <w:rsid w:val="00A66774"/>
    <w:rsid w:val="00A66DE8"/>
    <w:rsid w:val="00A70F07"/>
    <w:rsid w:val="00A7223D"/>
    <w:rsid w:val="00A72745"/>
    <w:rsid w:val="00A76EFC"/>
    <w:rsid w:val="00A77CAF"/>
    <w:rsid w:val="00A83218"/>
    <w:rsid w:val="00A86314"/>
    <w:rsid w:val="00A91010"/>
    <w:rsid w:val="00A92A1F"/>
    <w:rsid w:val="00A960BD"/>
    <w:rsid w:val="00A97F29"/>
    <w:rsid w:val="00AA0190"/>
    <w:rsid w:val="00AA115C"/>
    <w:rsid w:val="00AA1D15"/>
    <w:rsid w:val="00AA241E"/>
    <w:rsid w:val="00AA257C"/>
    <w:rsid w:val="00AA2640"/>
    <w:rsid w:val="00AA5107"/>
    <w:rsid w:val="00AA5947"/>
    <w:rsid w:val="00AA702E"/>
    <w:rsid w:val="00AB0964"/>
    <w:rsid w:val="00AB31E2"/>
    <w:rsid w:val="00AB5011"/>
    <w:rsid w:val="00AB577F"/>
    <w:rsid w:val="00AB609A"/>
    <w:rsid w:val="00AC14CC"/>
    <w:rsid w:val="00AC41B9"/>
    <w:rsid w:val="00AC4493"/>
    <w:rsid w:val="00AC610D"/>
    <w:rsid w:val="00AC7368"/>
    <w:rsid w:val="00AC7A2E"/>
    <w:rsid w:val="00AC7DE0"/>
    <w:rsid w:val="00AD103A"/>
    <w:rsid w:val="00AD16B9"/>
    <w:rsid w:val="00AD1F89"/>
    <w:rsid w:val="00AD3B9D"/>
    <w:rsid w:val="00AD4D14"/>
    <w:rsid w:val="00AD505A"/>
    <w:rsid w:val="00AD66AF"/>
    <w:rsid w:val="00AE0112"/>
    <w:rsid w:val="00AE0DBA"/>
    <w:rsid w:val="00AE15B1"/>
    <w:rsid w:val="00AE377D"/>
    <w:rsid w:val="00AE3B31"/>
    <w:rsid w:val="00AE5A9F"/>
    <w:rsid w:val="00AF0415"/>
    <w:rsid w:val="00AF0EBA"/>
    <w:rsid w:val="00AF1759"/>
    <w:rsid w:val="00AF60A7"/>
    <w:rsid w:val="00B02C8A"/>
    <w:rsid w:val="00B07795"/>
    <w:rsid w:val="00B07A41"/>
    <w:rsid w:val="00B120E8"/>
    <w:rsid w:val="00B1261E"/>
    <w:rsid w:val="00B1355A"/>
    <w:rsid w:val="00B17FBD"/>
    <w:rsid w:val="00B22CC1"/>
    <w:rsid w:val="00B25AFA"/>
    <w:rsid w:val="00B26392"/>
    <w:rsid w:val="00B26980"/>
    <w:rsid w:val="00B2773B"/>
    <w:rsid w:val="00B315A6"/>
    <w:rsid w:val="00B31813"/>
    <w:rsid w:val="00B31953"/>
    <w:rsid w:val="00B33365"/>
    <w:rsid w:val="00B33850"/>
    <w:rsid w:val="00B33D51"/>
    <w:rsid w:val="00B37725"/>
    <w:rsid w:val="00B41E1F"/>
    <w:rsid w:val="00B42C14"/>
    <w:rsid w:val="00B437F5"/>
    <w:rsid w:val="00B50D63"/>
    <w:rsid w:val="00B579BA"/>
    <w:rsid w:val="00B57B36"/>
    <w:rsid w:val="00B57E6F"/>
    <w:rsid w:val="00B60915"/>
    <w:rsid w:val="00B60B6C"/>
    <w:rsid w:val="00B61437"/>
    <w:rsid w:val="00B61759"/>
    <w:rsid w:val="00B62594"/>
    <w:rsid w:val="00B632F5"/>
    <w:rsid w:val="00B63875"/>
    <w:rsid w:val="00B63BC8"/>
    <w:rsid w:val="00B64D0A"/>
    <w:rsid w:val="00B65089"/>
    <w:rsid w:val="00B65302"/>
    <w:rsid w:val="00B658BD"/>
    <w:rsid w:val="00B710B9"/>
    <w:rsid w:val="00B74E09"/>
    <w:rsid w:val="00B75634"/>
    <w:rsid w:val="00B8686D"/>
    <w:rsid w:val="00B87368"/>
    <w:rsid w:val="00B8739E"/>
    <w:rsid w:val="00B93F69"/>
    <w:rsid w:val="00BA05CF"/>
    <w:rsid w:val="00BA3F95"/>
    <w:rsid w:val="00BA405F"/>
    <w:rsid w:val="00BA4918"/>
    <w:rsid w:val="00BA7437"/>
    <w:rsid w:val="00BB0289"/>
    <w:rsid w:val="00BB1DDC"/>
    <w:rsid w:val="00BB414D"/>
    <w:rsid w:val="00BB43A5"/>
    <w:rsid w:val="00BB6992"/>
    <w:rsid w:val="00BB7507"/>
    <w:rsid w:val="00BC2251"/>
    <w:rsid w:val="00BC2B1F"/>
    <w:rsid w:val="00BC30C9"/>
    <w:rsid w:val="00BC4512"/>
    <w:rsid w:val="00BC4B6D"/>
    <w:rsid w:val="00BC6BE0"/>
    <w:rsid w:val="00BC7A71"/>
    <w:rsid w:val="00BD077D"/>
    <w:rsid w:val="00BD39B2"/>
    <w:rsid w:val="00BE1183"/>
    <w:rsid w:val="00BE231B"/>
    <w:rsid w:val="00BE3BAD"/>
    <w:rsid w:val="00BE3E58"/>
    <w:rsid w:val="00BE5872"/>
    <w:rsid w:val="00BE6465"/>
    <w:rsid w:val="00BF695F"/>
    <w:rsid w:val="00C00754"/>
    <w:rsid w:val="00C01616"/>
    <w:rsid w:val="00C0162B"/>
    <w:rsid w:val="00C068ED"/>
    <w:rsid w:val="00C1547C"/>
    <w:rsid w:val="00C20B01"/>
    <w:rsid w:val="00C214B7"/>
    <w:rsid w:val="00C21838"/>
    <w:rsid w:val="00C21C0B"/>
    <w:rsid w:val="00C22E0C"/>
    <w:rsid w:val="00C25B05"/>
    <w:rsid w:val="00C2675D"/>
    <w:rsid w:val="00C3158F"/>
    <w:rsid w:val="00C3324B"/>
    <w:rsid w:val="00C33A23"/>
    <w:rsid w:val="00C345B1"/>
    <w:rsid w:val="00C35960"/>
    <w:rsid w:val="00C35F5F"/>
    <w:rsid w:val="00C40142"/>
    <w:rsid w:val="00C40FDD"/>
    <w:rsid w:val="00C475AF"/>
    <w:rsid w:val="00C47F7E"/>
    <w:rsid w:val="00C502E3"/>
    <w:rsid w:val="00C52C3C"/>
    <w:rsid w:val="00C56052"/>
    <w:rsid w:val="00C57116"/>
    <w:rsid w:val="00C57182"/>
    <w:rsid w:val="00C574BE"/>
    <w:rsid w:val="00C57863"/>
    <w:rsid w:val="00C640AF"/>
    <w:rsid w:val="00C655FD"/>
    <w:rsid w:val="00C65EBE"/>
    <w:rsid w:val="00C6608F"/>
    <w:rsid w:val="00C664B7"/>
    <w:rsid w:val="00C75407"/>
    <w:rsid w:val="00C76F22"/>
    <w:rsid w:val="00C77E0E"/>
    <w:rsid w:val="00C81319"/>
    <w:rsid w:val="00C8554C"/>
    <w:rsid w:val="00C870A8"/>
    <w:rsid w:val="00C93AD7"/>
    <w:rsid w:val="00C93D77"/>
    <w:rsid w:val="00C94434"/>
    <w:rsid w:val="00C97461"/>
    <w:rsid w:val="00CA0D75"/>
    <w:rsid w:val="00CA1240"/>
    <w:rsid w:val="00CA1C95"/>
    <w:rsid w:val="00CA27D2"/>
    <w:rsid w:val="00CA44B1"/>
    <w:rsid w:val="00CA4B67"/>
    <w:rsid w:val="00CA5A9C"/>
    <w:rsid w:val="00CA6731"/>
    <w:rsid w:val="00CA7302"/>
    <w:rsid w:val="00CB1C91"/>
    <w:rsid w:val="00CC317F"/>
    <w:rsid w:val="00CC3F5C"/>
    <w:rsid w:val="00CC46BB"/>
    <w:rsid w:val="00CC4C20"/>
    <w:rsid w:val="00CC7073"/>
    <w:rsid w:val="00CC785C"/>
    <w:rsid w:val="00CD3517"/>
    <w:rsid w:val="00CD416D"/>
    <w:rsid w:val="00CD4A0E"/>
    <w:rsid w:val="00CD5FE2"/>
    <w:rsid w:val="00CD7E1F"/>
    <w:rsid w:val="00CE2EAB"/>
    <w:rsid w:val="00CE4921"/>
    <w:rsid w:val="00CE5B97"/>
    <w:rsid w:val="00CE7820"/>
    <w:rsid w:val="00CE7C68"/>
    <w:rsid w:val="00CF4FC7"/>
    <w:rsid w:val="00CF608F"/>
    <w:rsid w:val="00CF6C28"/>
    <w:rsid w:val="00CF779B"/>
    <w:rsid w:val="00D019AF"/>
    <w:rsid w:val="00D02B4C"/>
    <w:rsid w:val="00D040C4"/>
    <w:rsid w:val="00D044D0"/>
    <w:rsid w:val="00D045D5"/>
    <w:rsid w:val="00D120D2"/>
    <w:rsid w:val="00D1267E"/>
    <w:rsid w:val="00D13D87"/>
    <w:rsid w:val="00D20AD1"/>
    <w:rsid w:val="00D22EDB"/>
    <w:rsid w:val="00D2398F"/>
    <w:rsid w:val="00D24457"/>
    <w:rsid w:val="00D24A80"/>
    <w:rsid w:val="00D25CCE"/>
    <w:rsid w:val="00D33BB3"/>
    <w:rsid w:val="00D418E2"/>
    <w:rsid w:val="00D425E8"/>
    <w:rsid w:val="00D4367D"/>
    <w:rsid w:val="00D45556"/>
    <w:rsid w:val="00D46B7E"/>
    <w:rsid w:val="00D47A93"/>
    <w:rsid w:val="00D47F6A"/>
    <w:rsid w:val="00D50B00"/>
    <w:rsid w:val="00D5301D"/>
    <w:rsid w:val="00D54010"/>
    <w:rsid w:val="00D55DD6"/>
    <w:rsid w:val="00D57C84"/>
    <w:rsid w:val="00D6057D"/>
    <w:rsid w:val="00D71640"/>
    <w:rsid w:val="00D71AEA"/>
    <w:rsid w:val="00D71F0F"/>
    <w:rsid w:val="00D81E16"/>
    <w:rsid w:val="00D836C5"/>
    <w:rsid w:val="00D84576"/>
    <w:rsid w:val="00D86EAA"/>
    <w:rsid w:val="00D9143A"/>
    <w:rsid w:val="00D97200"/>
    <w:rsid w:val="00DA1399"/>
    <w:rsid w:val="00DA1B50"/>
    <w:rsid w:val="00DA24C6"/>
    <w:rsid w:val="00DA31F4"/>
    <w:rsid w:val="00DA4D7B"/>
    <w:rsid w:val="00DA5159"/>
    <w:rsid w:val="00DA567F"/>
    <w:rsid w:val="00DB0107"/>
    <w:rsid w:val="00DB433D"/>
    <w:rsid w:val="00DB46C8"/>
    <w:rsid w:val="00DC2633"/>
    <w:rsid w:val="00DC39E8"/>
    <w:rsid w:val="00DC64D9"/>
    <w:rsid w:val="00DD240D"/>
    <w:rsid w:val="00DD271C"/>
    <w:rsid w:val="00DD3031"/>
    <w:rsid w:val="00DD6AC7"/>
    <w:rsid w:val="00DE264A"/>
    <w:rsid w:val="00DE3700"/>
    <w:rsid w:val="00DE7031"/>
    <w:rsid w:val="00DF4E0C"/>
    <w:rsid w:val="00DF5072"/>
    <w:rsid w:val="00DF6527"/>
    <w:rsid w:val="00E02D18"/>
    <w:rsid w:val="00E02E75"/>
    <w:rsid w:val="00E041E7"/>
    <w:rsid w:val="00E05421"/>
    <w:rsid w:val="00E078AF"/>
    <w:rsid w:val="00E10154"/>
    <w:rsid w:val="00E12288"/>
    <w:rsid w:val="00E155FA"/>
    <w:rsid w:val="00E15E61"/>
    <w:rsid w:val="00E203BD"/>
    <w:rsid w:val="00E23C6D"/>
    <w:rsid w:val="00E23CA1"/>
    <w:rsid w:val="00E25BA6"/>
    <w:rsid w:val="00E26ED8"/>
    <w:rsid w:val="00E32D0A"/>
    <w:rsid w:val="00E33B17"/>
    <w:rsid w:val="00E3791E"/>
    <w:rsid w:val="00E409A8"/>
    <w:rsid w:val="00E50C12"/>
    <w:rsid w:val="00E521F7"/>
    <w:rsid w:val="00E52690"/>
    <w:rsid w:val="00E53DC3"/>
    <w:rsid w:val="00E55BD5"/>
    <w:rsid w:val="00E610BC"/>
    <w:rsid w:val="00E64860"/>
    <w:rsid w:val="00E64D5A"/>
    <w:rsid w:val="00E6518E"/>
    <w:rsid w:val="00E65A09"/>
    <w:rsid w:val="00E65B91"/>
    <w:rsid w:val="00E67AD7"/>
    <w:rsid w:val="00E70432"/>
    <w:rsid w:val="00E7209D"/>
    <w:rsid w:val="00E72EAD"/>
    <w:rsid w:val="00E737AD"/>
    <w:rsid w:val="00E75479"/>
    <w:rsid w:val="00E75FD9"/>
    <w:rsid w:val="00E76877"/>
    <w:rsid w:val="00E76917"/>
    <w:rsid w:val="00E77223"/>
    <w:rsid w:val="00E83B22"/>
    <w:rsid w:val="00E83FC5"/>
    <w:rsid w:val="00E8528B"/>
    <w:rsid w:val="00E85B94"/>
    <w:rsid w:val="00E85C6C"/>
    <w:rsid w:val="00E86552"/>
    <w:rsid w:val="00E86D0F"/>
    <w:rsid w:val="00E9168D"/>
    <w:rsid w:val="00E952D0"/>
    <w:rsid w:val="00E96AF1"/>
    <w:rsid w:val="00E974A8"/>
    <w:rsid w:val="00E978D0"/>
    <w:rsid w:val="00EA17F2"/>
    <w:rsid w:val="00EA2B30"/>
    <w:rsid w:val="00EA3CED"/>
    <w:rsid w:val="00EA3FEC"/>
    <w:rsid w:val="00EA4613"/>
    <w:rsid w:val="00EA4A61"/>
    <w:rsid w:val="00EA7AEC"/>
    <w:rsid w:val="00EA7F91"/>
    <w:rsid w:val="00EB1523"/>
    <w:rsid w:val="00EB3C92"/>
    <w:rsid w:val="00EB769A"/>
    <w:rsid w:val="00EC0315"/>
    <w:rsid w:val="00EC090D"/>
    <w:rsid w:val="00EC0E49"/>
    <w:rsid w:val="00EC101F"/>
    <w:rsid w:val="00EC1D9F"/>
    <w:rsid w:val="00EC4904"/>
    <w:rsid w:val="00EC4D1E"/>
    <w:rsid w:val="00EC5ECC"/>
    <w:rsid w:val="00EC7D61"/>
    <w:rsid w:val="00ED02F3"/>
    <w:rsid w:val="00ED1419"/>
    <w:rsid w:val="00ED1F72"/>
    <w:rsid w:val="00ED206B"/>
    <w:rsid w:val="00ED2E50"/>
    <w:rsid w:val="00ED69D5"/>
    <w:rsid w:val="00EE0131"/>
    <w:rsid w:val="00EE17B0"/>
    <w:rsid w:val="00EE1F01"/>
    <w:rsid w:val="00EE3DD0"/>
    <w:rsid w:val="00EE57D2"/>
    <w:rsid w:val="00EF06D9"/>
    <w:rsid w:val="00EF397F"/>
    <w:rsid w:val="00EF6874"/>
    <w:rsid w:val="00EF76E3"/>
    <w:rsid w:val="00EF7CA4"/>
    <w:rsid w:val="00F02A2E"/>
    <w:rsid w:val="00F02DFD"/>
    <w:rsid w:val="00F03DBC"/>
    <w:rsid w:val="00F04560"/>
    <w:rsid w:val="00F10F61"/>
    <w:rsid w:val="00F12E70"/>
    <w:rsid w:val="00F13A00"/>
    <w:rsid w:val="00F16A9A"/>
    <w:rsid w:val="00F2005E"/>
    <w:rsid w:val="00F200EB"/>
    <w:rsid w:val="00F2126D"/>
    <w:rsid w:val="00F23D2F"/>
    <w:rsid w:val="00F25045"/>
    <w:rsid w:val="00F27661"/>
    <w:rsid w:val="00F30C64"/>
    <w:rsid w:val="00F32BA2"/>
    <w:rsid w:val="00F32CDB"/>
    <w:rsid w:val="00F54005"/>
    <w:rsid w:val="00F5411C"/>
    <w:rsid w:val="00F565FE"/>
    <w:rsid w:val="00F5685D"/>
    <w:rsid w:val="00F62DD1"/>
    <w:rsid w:val="00F63A70"/>
    <w:rsid w:val="00F63D8C"/>
    <w:rsid w:val="00F717D6"/>
    <w:rsid w:val="00F7534E"/>
    <w:rsid w:val="00F7759E"/>
    <w:rsid w:val="00F81A0B"/>
    <w:rsid w:val="00F8283E"/>
    <w:rsid w:val="00F836B3"/>
    <w:rsid w:val="00F85119"/>
    <w:rsid w:val="00F86759"/>
    <w:rsid w:val="00F90C72"/>
    <w:rsid w:val="00F918B1"/>
    <w:rsid w:val="00FA088F"/>
    <w:rsid w:val="00FA0D17"/>
    <w:rsid w:val="00FA1802"/>
    <w:rsid w:val="00FA21D0"/>
    <w:rsid w:val="00FA4CD5"/>
    <w:rsid w:val="00FA54DE"/>
    <w:rsid w:val="00FA5F5F"/>
    <w:rsid w:val="00FA6096"/>
    <w:rsid w:val="00FA66E1"/>
    <w:rsid w:val="00FB14BC"/>
    <w:rsid w:val="00FB347B"/>
    <w:rsid w:val="00FB3B14"/>
    <w:rsid w:val="00FB5F97"/>
    <w:rsid w:val="00FB730C"/>
    <w:rsid w:val="00FC2695"/>
    <w:rsid w:val="00FC2ADC"/>
    <w:rsid w:val="00FC38FC"/>
    <w:rsid w:val="00FC3E03"/>
    <w:rsid w:val="00FC3FC1"/>
    <w:rsid w:val="00FD53BA"/>
    <w:rsid w:val="00FD5DC5"/>
    <w:rsid w:val="00FE001B"/>
    <w:rsid w:val="00FE3E0C"/>
    <w:rsid w:val="00FE416F"/>
    <w:rsid w:val="00FE42A5"/>
    <w:rsid w:val="00FE5539"/>
    <w:rsid w:val="00FF17E0"/>
    <w:rsid w:val="00FF33AD"/>
    <w:rsid w:val="00FF3ECB"/>
    <w:rsid w:val="00FF405C"/>
    <w:rsid w:val="00FF48A1"/>
    <w:rsid w:val="00FF60DB"/>
    <w:rsid w:val="00FF72C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table" w:styleId="TableGridLight">
    <w:name w:val="Grid Table Light"/>
    <w:basedOn w:val="TableNormal"/>
    <w:uiPriority w:val="40"/>
    <w:rsid w:val="005A5A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F3FE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25460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6</Pages>
  <Words>2869</Words>
  <Characters>16359</Characters>
  <Application>Microsoft Office Word</Application>
  <DocSecurity>0</DocSecurity>
  <Lines>136</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Thais Nunes Guerrero</cp:lastModifiedBy>
  <cp:revision>106</cp:revision>
  <cp:lastPrinted>2015-05-12T18:31:00Z</cp:lastPrinted>
  <dcterms:created xsi:type="dcterms:W3CDTF">2024-07-01T23:52:00Z</dcterms:created>
  <dcterms:modified xsi:type="dcterms:W3CDTF">2024-07-04T00:25:00Z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