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D74A3" w14:paraId="2A131A54" w14:textId="77777777" w:rsidTr="00DE264A">
        <w:trPr>
          <w:trHeight w:val="852"/>
          <w:jc w:val="center"/>
        </w:trPr>
        <w:tc>
          <w:tcPr>
            <w:tcW w:w="6946" w:type="dxa"/>
            <w:vMerge w:val="restart"/>
            <w:tcBorders>
              <w:right w:val="single" w:sz="4" w:space="0" w:color="auto"/>
            </w:tcBorders>
          </w:tcPr>
          <w:p w14:paraId="38C3D2BA" w14:textId="679F956F" w:rsidR="000A03B2" w:rsidRPr="000D74A3" w:rsidRDefault="000A03B2" w:rsidP="00DE264A">
            <w:pPr>
              <w:tabs>
                <w:tab w:val="left" w:pos="-108"/>
              </w:tabs>
              <w:ind w:left="-108"/>
              <w:jc w:val="left"/>
              <w:rPr>
                <w:rFonts w:cs="Arial"/>
                <w:b/>
                <w:bCs/>
                <w:i/>
                <w:iCs/>
                <w:color w:val="000066"/>
                <w:sz w:val="12"/>
                <w:szCs w:val="12"/>
                <w:lang w:eastAsia="it-IT"/>
              </w:rPr>
            </w:pPr>
            <w:r w:rsidRPr="000D74A3">
              <w:rPr>
                <w:rFonts w:ascii="AdvP6960" w:hAnsi="AdvP6960" w:cs="AdvP6960"/>
                <w:noProof/>
                <w:color w:val="241F20"/>
                <w:szCs w:val="18"/>
                <w:lang w:eastAsia="it-IT"/>
              </w:rPr>
              <w:drawing>
                <wp:inline distT="0" distB="0" distL="0" distR="0" wp14:anchorId="02B7C3D3" wp14:editId="7A90CE1E">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0D74A3">
              <w:rPr>
                <w:rFonts w:ascii="AdvP6960" w:hAnsi="AdvP6960" w:cs="AdvP6960"/>
                <w:color w:val="241F20"/>
                <w:szCs w:val="18"/>
                <w:lang w:eastAsia="it-IT"/>
              </w:rPr>
              <w:t xml:space="preserve"> </w:t>
            </w:r>
            <w:r w:rsidRPr="000D74A3">
              <w:rPr>
                <w:rFonts w:cs="Arial"/>
                <w:b/>
                <w:bCs/>
                <w:i/>
                <w:iCs/>
                <w:color w:val="000066"/>
                <w:sz w:val="24"/>
                <w:szCs w:val="24"/>
                <w:lang w:eastAsia="it-IT"/>
              </w:rPr>
              <w:t>CHEMICAL ENGINEERING</w:t>
            </w:r>
            <w:r w:rsidRPr="000D74A3">
              <w:rPr>
                <w:rFonts w:cs="Arial"/>
                <w:b/>
                <w:bCs/>
                <w:i/>
                <w:iCs/>
                <w:color w:val="0033FF"/>
                <w:sz w:val="24"/>
                <w:szCs w:val="24"/>
                <w:lang w:eastAsia="it-IT"/>
              </w:rPr>
              <w:t xml:space="preserve"> </w:t>
            </w:r>
            <w:r w:rsidRPr="000D74A3">
              <w:rPr>
                <w:rFonts w:cs="Arial"/>
                <w:b/>
                <w:bCs/>
                <w:i/>
                <w:iCs/>
                <w:color w:val="666666"/>
                <w:sz w:val="24"/>
                <w:szCs w:val="24"/>
                <w:lang w:eastAsia="it-IT"/>
              </w:rPr>
              <w:t>TRANSACTIONS</w:t>
            </w:r>
            <w:r w:rsidRPr="000D74A3">
              <w:rPr>
                <w:color w:val="333333"/>
                <w:sz w:val="24"/>
                <w:szCs w:val="24"/>
                <w:lang w:eastAsia="it-IT"/>
              </w:rPr>
              <w:t xml:space="preserve"> </w:t>
            </w:r>
            <w:r w:rsidRPr="000D74A3">
              <w:rPr>
                <w:rFonts w:cs="Arial"/>
                <w:b/>
                <w:bCs/>
                <w:i/>
                <w:iCs/>
                <w:color w:val="000066"/>
                <w:sz w:val="27"/>
                <w:szCs w:val="27"/>
                <w:lang w:eastAsia="it-IT"/>
              </w:rPr>
              <w:br/>
            </w:r>
          </w:p>
          <w:p w14:paraId="4B780582" w14:textId="5F8359E8" w:rsidR="000A03B2" w:rsidRPr="000D74A3" w:rsidRDefault="00A76EFC" w:rsidP="00EC1D9F">
            <w:pPr>
              <w:tabs>
                <w:tab w:val="left" w:pos="-108"/>
              </w:tabs>
              <w:ind w:left="-108"/>
              <w:rPr>
                <w:rFonts w:cs="Arial"/>
                <w:b/>
                <w:bCs/>
                <w:i/>
                <w:iCs/>
                <w:color w:val="000066"/>
                <w:sz w:val="22"/>
                <w:szCs w:val="22"/>
                <w:lang w:eastAsia="it-IT"/>
              </w:rPr>
            </w:pPr>
            <w:r w:rsidRPr="000D74A3">
              <w:rPr>
                <w:rFonts w:cs="Arial"/>
                <w:b/>
                <w:bCs/>
                <w:i/>
                <w:iCs/>
                <w:color w:val="000066"/>
                <w:sz w:val="22"/>
                <w:szCs w:val="22"/>
                <w:lang w:eastAsia="it-IT"/>
              </w:rPr>
              <w:t xml:space="preserve">VOL. </w:t>
            </w:r>
            <w:r w:rsidR="009716C0" w:rsidRPr="000D74A3">
              <w:rPr>
                <w:rFonts w:cs="Arial"/>
                <w:b/>
                <w:bCs/>
                <w:i/>
                <w:iCs/>
                <w:color w:val="000066"/>
                <w:sz w:val="22"/>
                <w:szCs w:val="22"/>
                <w:lang w:eastAsia="it-IT"/>
              </w:rPr>
              <w:t>xxx</w:t>
            </w:r>
            <w:r w:rsidR="00FA5F5F" w:rsidRPr="000D74A3">
              <w:rPr>
                <w:rFonts w:cs="Arial"/>
                <w:b/>
                <w:bCs/>
                <w:i/>
                <w:iCs/>
                <w:color w:val="000066"/>
                <w:sz w:val="22"/>
                <w:szCs w:val="22"/>
                <w:lang w:eastAsia="it-IT"/>
              </w:rPr>
              <w:t>, 20</w:t>
            </w:r>
            <w:r w:rsidR="00DF5072" w:rsidRPr="000D74A3">
              <w:rPr>
                <w:rFonts w:cs="Arial"/>
                <w:b/>
                <w:bCs/>
                <w:i/>
                <w:iCs/>
                <w:color w:val="000066"/>
                <w:sz w:val="22"/>
                <w:szCs w:val="22"/>
                <w:lang w:eastAsia="it-IT"/>
              </w:rPr>
              <w:t>2</w:t>
            </w:r>
            <w:r w:rsidR="009716C0" w:rsidRPr="000D74A3">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0D74A3" w:rsidRDefault="000A03B2" w:rsidP="00CD5FE2">
            <w:pPr>
              <w:spacing w:line="140" w:lineRule="atLeast"/>
              <w:jc w:val="right"/>
              <w:rPr>
                <w:rFonts w:cs="Arial"/>
                <w:sz w:val="14"/>
                <w:szCs w:val="14"/>
              </w:rPr>
            </w:pPr>
            <w:r w:rsidRPr="000D74A3">
              <w:rPr>
                <w:rFonts w:cs="Arial"/>
                <w:sz w:val="14"/>
                <w:szCs w:val="14"/>
              </w:rPr>
              <w:t>A publication of</w:t>
            </w:r>
          </w:p>
          <w:p w14:paraId="599E5441" w14:textId="77777777" w:rsidR="000A03B2" w:rsidRPr="000D74A3" w:rsidRDefault="000A03B2" w:rsidP="00CD5FE2">
            <w:pPr>
              <w:jc w:val="right"/>
            </w:pPr>
            <w:r w:rsidRPr="000D74A3">
              <w:rPr>
                <w:noProof/>
                <w:lang w:eastAsia="it-IT"/>
              </w:rPr>
              <w:drawing>
                <wp:inline distT="0" distB="0" distL="0" distR="0" wp14:anchorId="59C75AF4" wp14:editId="0D2FB71F">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D74A3" w14:paraId="380FA3CD" w14:textId="77777777" w:rsidTr="00DE264A">
        <w:trPr>
          <w:trHeight w:val="567"/>
          <w:jc w:val="center"/>
        </w:trPr>
        <w:tc>
          <w:tcPr>
            <w:tcW w:w="6946" w:type="dxa"/>
            <w:vMerge/>
            <w:tcBorders>
              <w:right w:val="single" w:sz="4" w:space="0" w:color="auto"/>
            </w:tcBorders>
          </w:tcPr>
          <w:p w14:paraId="39E5E4C1" w14:textId="77777777" w:rsidR="000A03B2" w:rsidRPr="000D74A3"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0D74A3" w:rsidRDefault="000A03B2" w:rsidP="00CD5FE2">
            <w:pPr>
              <w:spacing w:line="140" w:lineRule="atLeast"/>
              <w:jc w:val="right"/>
              <w:rPr>
                <w:rFonts w:cs="Arial"/>
                <w:sz w:val="14"/>
                <w:szCs w:val="14"/>
              </w:rPr>
            </w:pPr>
            <w:r w:rsidRPr="000D74A3">
              <w:rPr>
                <w:rFonts w:cs="Arial"/>
                <w:sz w:val="14"/>
                <w:szCs w:val="14"/>
              </w:rPr>
              <w:t>The Italian Association</w:t>
            </w:r>
          </w:p>
          <w:p w14:paraId="7522B1D2" w14:textId="77777777" w:rsidR="000A03B2" w:rsidRPr="000D74A3" w:rsidRDefault="000A03B2" w:rsidP="00CD5FE2">
            <w:pPr>
              <w:spacing w:line="140" w:lineRule="atLeast"/>
              <w:jc w:val="right"/>
              <w:rPr>
                <w:rFonts w:cs="Arial"/>
                <w:sz w:val="14"/>
                <w:szCs w:val="14"/>
              </w:rPr>
            </w:pPr>
            <w:r w:rsidRPr="000D74A3">
              <w:rPr>
                <w:rFonts w:cs="Arial"/>
                <w:sz w:val="14"/>
                <w:szCs w:val="14"/>
              </w:rPr>
              <w:t>of Chemical Engineering</w:t>
            </w:r>
          </w:p>
          <w:p w14:paraId="4F0CC5DE" w14:textId="47FDB2FC" w:rsidR="000A03B2" w:rsidRPr="000D74A3" w:rsidRDefault="000D0268" w:rsidP="00CD5FE2">
            <w:pPr>
              <w:spacing w:line="140" w:lineRule="atLeast"/>
              <w:jc w:val="right"/>
              <w:rPr>
                <w:rFonts w:cs="Arial"/>
                <w:sz w:val="13"/>
                <w:szCs w:val="13"/>
              </w:rPr>
            </w:pPr>
            <w:r w:rsidRPr="000D74A3">
              <w:rPr>
                <w:rFonts w:cs="Arial"/>
                <w:sz w:val="13"/>
                <w:szCs w:val="13"/>
              </w:rPr>
              <w:t>Online at www.cetjournal.it</w:t>
            </w:r>
          </w:p>
        </w:tc>
      </w:tr>
      <w:tr w:rsidR="000A03B2" w:rsidRPr="000D74A3" w14:paraId="2D1B7169" w14:textId="77777777" w:rsidTr="00DE264A">
        <w:trPr>
          <w:trHeight w:val="68"/>
          <w:jc w:val="center"/>
        </w:trPr>
        <w:tc>
          <w:tcPr>
            <w:tcW w:w="8789" w:type="dxa"/>
            <w:gridSpan w:val="2"/>
          </w:tcPr>
          <w:p w14:paraId="4B0BB442" w14:textId="2DAB152D" w:rsidR="00300E56" w:rsidRPr="00004774" w:rsidRDefault="00300E56" w:rsidP="007931FA">
            <w:pPr>
              <w:ind w:left="-107"/>
              <w:rPr>
                <w:rFonts w:ascii="Times New Roman" w:hAnsi="Times New Roman"/>
                <w:sz w:val="24"/>
                <w:szCs w:val="24"/>
                <w:lang w:val="it-IT" w:eastAsia="it-IT"/>
              </w:rPr>
            </w:pPr>
            <w:r w:rsidRPr="00004774">
              <w:rPr>
                <w:rFonts w:ascii="Tahoma" w:hAnsi="Tahoma" w:cs="Tahoma"/>
                <w:iCs/>
                <w:color w:val="333333"/>
                <w:sz w:val="14"/>
                <w:szCs w:val="14"/>
                <w:lang w:val="it-IT" w:eastAsia="it-IT"/>
              </w:rPr>
              <w:t>Guest Editors:</w:t>
            </w:r>
            <w:r w:rsidR="00904C62" w:rsidRPr="00004774">
              <w:rPr>
                <w:rFonts w:ascii="Tahoma" w:hAnsi="Tahoma" w:cs="Tahoma"/>
                <w:iCs/>
                <w:color w:val="333333"/>
                <w:sz w:val="14"/>
                <w:szCs w:val="14"/>
                <w:lang w:val="it-IT" w:eastAsia="it-IT"/>
              </w:rPr>
              <w:t xml:space="preserve"> </w:t>
            </w:r>
            <w:r w:rsidR="00EC1D9F" w:rsidRPr="00004774">
              <w:rPr>
                <w:rFonts w:ascii="Tahoma" w:hAnsi="Tahoma" w:cs="Tahoma"/>
                <w:iCs/>
                <w:color w:val="333333"/>
                <w:sz w:val="14"/>
                <w:szCs w:val="14"/>
                <w:lang w:val="it-IT" w:eastAsia="it-IT"/>
              </w:rPr>
              <w:t>Selena Sironi, Laura Capelli</w:t>
            </w:r>
          </w:p>
          <w:p w14:paraId="1B0F1814" w14:textId="300FE2D7" w:rsidR="000A03B2" w:rsidRPr="000D74A3" w:rsidRDefault="00FA5F5F" w:rsidP="00EC1D9F">
            <w:pPr>
              <w:tabs>
                <w:tab w:val="left" w:pos="-108"/>
              </w:tabs>
              <w:spacing w:line="140" w:lineRule="atLeast"/>
              <w:ind w:left="-107"/>
              <w:jc w:val="left"/>
            </w:pPr>
            <w:r w:rsidRPr="000D74A3">
              <w:rPr>
                <w:rFonts w:ascii="Tahoma" w:hAnsi="Tahoma" w:cs="Tahoma"/>
                <w:iCs/>
                <w:color w:val="333333"/>
                <w:sz w:val="14"/>
                <w:szCs w:val="14"/>
                <w:lang w:eastAsia="it-IT"/>
              </w:rPr>
              <w:t>Copyright © 20</w:t>
            </w:r>
            <w:r w:rsidR="00DF5072" w:rsidRPr="000D74A3">
              <w:rPr>
                <w:rFonts w:ascii="Tahoma" w:hAnsi="Tahoma" w:cs="Tahoma"/>
                <w:iCs/>
                <w:color w:val="333333"/>
                <w:sz w:val="14"/>
                <w:szCs w:val="14"/>
                <w:lang w:eastAsia="it-IT"/>
              </w:rPr>
              <w:t>2</w:t>
            </w:r>
            <w:r w:rsidR="009716C0" w:rsidRPr="000D74A3">
              <w:rPr>
                <w:rFonts w:ascii="Tahoma" w:hAnsi="Tahoma" w:cs="Tahoma"/>
                <w:iCs/>
                <w:color w:val="333333"/>
                <w:sz w:val="14"/>
                <w:szCs w:val="14"/>
                <w:lang w:eastAsia="it-IT"/>
              </w:rPr>
              <w:t>4</w:t>
            </w:r>
            <w:r w:rsidR="00904C62" w:rsidRPr="000D74A3">
              <w:rPr>
                <w:rFonts w:ascii="Tahoma" w:hAnsi="Tahoma" w:cs="Tahoma"/>
                <w:iCs/>
                <w:color w:val="333333"/>
                <w:sz w:val="14"/>
                <w:szCs w:val="14"/>
                <w:lang w:eastAsia="it-IT"/>
              </w:rPr>
              <w:t xml:space="preserve">, AIDIC </w:t>
            </w:r>
            <w:proofErr w:type="spellStart"/>
            <w:r w:rsidR="00904C62" w:rsidRPr="000D74A3">
              <w:rPr>
                <w:rFonts w:ascii="Tahoma" w:hAnsi="Tahoma" w:cs="Tahoma"/>
                <w:iCs/>
                <w:color w:val="333333"/>
                <w:sz w:val="14"/>
                <w:szCs w:val="14"/>
                <w:lang w:eastAsia="it-IT"/>
              </w:rPr>
              <w:t>Servizi</w:t>
            </w:r>
            <w:proofErr w:type="spellEnd"/>
            <w:r w:rsidR="00904C62" w:rsidRPr="000D74A3">
              <w:rPr>
                <w:rFonts w:ascii="Tahoma" w:hAnsi="Tahoma" w:cs="Tahoma"/>
                <w:iCs/>
                <w:color w:val="333333"/>
                <w:sz w:val="14"/>
                <w:szCs w:val="14"/>
                <w:lang w:eastAsia="it-IT"/>
              </w:rPr>
              <w:t xml:space="preserve"> </w:t>
            </w:r>
            <w:proofErr w:type="spellStart"/>
            <w:r w:rsidR="00904C62" w:rsidRPr="000D74A3">
              <w:rPr>
                <w:rFonts w:ascii="Tahoma" w:hAnsi="Tahoma" w:cs="Tahoma"/>
                <w:iCs/>
                <w:color w:val="333333"/>
                <w:sz w:val="14"/>
                <w:szCs w:val="14"/>
                <w:lang w:eastAsia="it-IT"/>
              </w:rPr>
              <w:t>S.r.l</w:t>
            </w:r>
            <w:proofErr w:type="spellEnd"/>
            <w:r w:rsidR="00904C62" w:rsidRPr="000D74A3">
              <w:rPr>
                <w:rFonts w:ascii="Tahoma" w:hAnsi="Tahoma" w:cs="Tahoma"/>
                <w:iCs/>
                <w:color w:val="333333"/>
                <w:sz w:val="14"/>
                <w:szCs w:val="14"/>
                <w:lang w:eastAsia="it-IT"/>
              </w:rPr>
              <w:t>.</w:t>
            </w:r>
            <w:r w:rsidR="00300E56" w:rsidRPr="000D74A3">
              <w:rPr>
                <w:rFonts w:ascii="Tahoma" w:hAnsi="Tahoma" w:cs="Tahoma"/>
                <w:iCs/>
                <w:color w:val="333333"/>
                <w:sz w:val="14"/>
                <w:szCs w:val="14"/>
                <w:lang w:eastAsia="it-IT"/>
              </w:rPr>
              <w:br/>
            </w:r>
            <w:r w:rsidR="00300E56" w:rsidRPr="000D74A3">
              <w:rPr>
                <w:rFonts w:ascii="Tahoma" w:hAnsi="Tahoma" w:cs="Tahoma"/>
                <w:b/>
                <w:iCs/>
                <w:color w:val="000000"/>
                <w:sz w:val="14"/>
                <w:szCs w:val="14"/>
                <w:lang w:eastAsia="it-IT"/>
              </w:rPr>
              <w:t>ISBN</w:t>
            </w:r>
            <w:r w:rsidR="00300E56" w:rsidRPr="000D74A3">
              <w:rPr>
                <w:rFonts w:ascii="Tahoma" w:hAnsi="Tahoma" w:cs="Tahoma"/>
                <w:iCs/>
                <w:color w:val="000000"/>
                <w:sz w:val="14"/>
                <w:szCs w:val="14"/>
                <w:lang w:eastAsia="it-IT"/>
              </w:rPr>
              <w:t xml:space="preserve"> </w:t>
            </w:r>
            <w:r w:rsidR="009716C0" w:rsidRPr="000D74A3">
              <w:rPr>
                <w:rFonts w:ascii="Tahoma" w:hAnsi="Tahoma" w:cs="Tahoma"/>
                <w:sz w:val="14"/>
                <w:szCs w:val="14"/>
              </w:rPr>
              <w:t>979-12-81206-13-7</w:t>
            </w:r>
            <w:r w:rsidR="00300E56" w:rsidRPr="000D74A3">
              <w:rPr>
                <w:rFonts w:ascii="Tahoma" w:hAnsi="Tahoma" w:cs="Tahoma"/>
                <w:iCs/>
                <w:color w:val="333333"/>
                <w:sz w:val="14"/>
                <w:szCs w:val="14"/>
                <w:lang w:eastAsia="it-IT"/>
              </w:rPr>
              <w:t xml:space="preserve">; </w:t>
            </w:r>
            <w:r w:rsidR="00300E56" w:rsidRPr="000D74A3">
              <w:rPr>
                <w:rFonts w:ascii="Tahoma" w:hAnsi="Tahoma" w:cs="Tahoma"/>
                <w:b/>
                <w:iCs/>
                <w:color w:val="333333"/>
                <w:sz w:val="14"/>
                <w:szCs w:val="14"/>
                <w:lang w:eastAsia="it-IT"/>
              </w:rPr>
              <w:t>ISSN</w:t>
            </w:r>
            <w:r w:rsidR="00300E56" w:rsidRPr="000D74A3">
              <w:rPr>
                <w:rFonts w:ascii="Tahoma" w:hAnsi="Tahoma" w:cs="Tahoma"/>
                <w:iCs/>
                <w:color w:val="333333"/>
                <w:sz w:val="14"/>
                <w:szCs w:val="14"/>
                <w:lang w:eastAsia="it-IT"/>
              </w:rPr>
              <w:t xml:space="preserve"> 2283-9216</w:t>
            </w:r>
          </w:p>
        </w:tc>
      </w:tr>
    </w:tbl>
    <w:p w14:paraId="10DAA130" w14:textId="77777777" w:rsidR="000A03B2" w:rsidRPr="000D74A3" w:rsidRDefault="000A03B2" w:rsidP="000A03B2">
      <w:pPr>
        <w:pStyle w:val="CETAuthors"/>
        <w:rPr>
          <w:noProof w:val="0"/>
        </w:rPr>
        <w:sectPr w:rsidR="000A03B2" w:rsidRPr="000D74A3" w:rsidSect="00B7463D">
          <w:type w:val="continuous"/>
          <w:pgSz w:w="11906" w:h="16838" w:code="9"/>
          <w:pgMar w:top="1701" w:right="1418" w:bottom="1701" w:left="1701" w:header="1701" w:footer="0" w:gutter="0"/>
          <w:cols w:space="708"/>
          <w:titlePg/>
          <w:docGrid w:linePitch="360"/>
        </w:sectPr>
      </w:pPr>
    </w:p>
    <w:p w14:paraId="593B6DCA" w14:textId="7891A4E8" w:rsidR="00802D0B" w:rsidRPr="000D74A3" w:rsidRDefault="00DD3BC1" w:rsidP="00802D0B">
      <w:pPr>
        <w:pStyle w:val="CETAuthors"/>
        <w:jc w:val="center"/>
        <w:rPr>
          <w:noProof w:val="0"/>
          <w:sz w:val="32"/>
        </w:rPr>
      </w:pPr>
      <w:r w:rsidRPr="000D74A3">
        <w:rPr>
          <w:noProof w:val="0"/>
          <w:sz w:val="32"/>
        </w:rPr>
        <w:t xml:space="preserve">Dynamic olfactometry measurements of geothermal endogenous gas emissions </w:t>
      </w:r>
    </w:p>
    <w:p w14:paraId="70DDF6C2" w14:textId="713CBD30" w:rsidR="00DD3BC1" w:rsidRPr="00004774" w:rsidRDefault="00DD3BC1" w:rsidP="00AB5011">
      <w:pPr>
        <w:pStyle w:val="CETAuthors"/>
        <w:rPr>
          <w:noProof w:val="0"/>
          <w:lang w:val="it-IT"/>
        </w:rPr>
      </w:pPr>
      <w:r w:rsidRPr="00004774">
        <w:rPr>
          <w:noProof w:val="0"/>
          <w:lang w:val="it-IT"/>
        </w:rPr>
        <w:t>Marzio Invernizzi</w:t>
      </w:r>
      <w:proofErr w:type="gramStart"/>
      <w:r w:rsidRPr="00004774">
        <w:rPr>
          <w:noProof w:val="0"/>
          <w:vertAlign w:val="superscript"/>
          <w:lang w:val="it-IT"/>
        </w:rPr>
        <w:t>*,a</w:t>
      </w:r>
      <w:proofErr w:type="gramEnd"/>
      <w:r w:rsidRPr="00004774">
        <w:rPr>
          <w:noProof w:val="0"/>
          <w:lang w:val="it-IT"/>
        </w:rPr>
        <w:t xml:space="preserve">, Giacomo Domenico </w:t>
      </w:r>
      <w:proofErr w:type="spellStart"/>
      <w:r w:rsidRPr="00004774">
        <w:rPr>
          <w:noProof w:val="0"/>
          <w:lang w:val="it-IT"/>
        </w:rPr>
        <w:t>Scolieri</w:t>
      </w:r>
      <w:r w:rsidRPr="00004774">
        <w:rPr>
          <w:noProof w:val="0"/>
          <w:vertAlign w:val="superscript"/>
          <w:lang w:val="it-IT"/>
        </w:rPr>
        <w:t>a</w:t>
      </w:r>
      <w:proofErr w:type="spellEnd"/>
      <w:r w:rsidRPr="00004774">
        <w:rPr>
          <w:noProof w:val="0"/>
          <w:lang w:val="it-IT"/>
        </w:rPr>
        <w:t xml:space="preserve">, Francesca </w:t>
      </w:r>
      <w:proofErr w:type="spellStart"/>
      <w:r w:rsidRPr="00004774">
        <w:rPr>
          <w:noProof w:val="0"/>
          <w:lang w:val="it-IT"/>
        </w:rPr>
        <w:t>Tagliaferri</w:t>
      </w:r>
      <w:r w:rsidRPr="00004774">
        <w:rPr>
          <w:noProof w:val="0"/>
          <w:vertAlign w:val="superscript"/>
          <w:lang w:val="it-IT"/>
        </w:rPr>
        <w:t>a</w:t>
      </w:r>
      <w:proofErr w:type="spellEnd"/>
      <w:r w:rsidRPr="00004774">
        <w:rPr>
          <w:noProof w:val="0"/>
          <w:lang w:val="it-IT"/>
        </w:rPr>
        <w:t xml:space="preserve">, Alessandro </w:t>
      </w:r>
      <w:proofErr w:type="spellStart"/>
      <w:r w:rsidRPr="00004774">
        <w:rPr>
          <w:noProof w:val="0"/>
          <w:lang w:val="it-IT"/>
        </w:rPr>
        <w:t>Bettini</w:t>
      </w:r>
      <w:r w:rsidRPr="00004774">
        <w:rPr>
          <w:noProof w:val="0"/>
          <w:vertAlign w:val="superscript"/>
          <w:lang w:val="it-IT"/>
        </w:rPr>
        <w:t>b</w:t>
      </w:r>
      <w:proofErr w:type="spellEnd"/>
      <w:r w:rsidRPr="00004774">
        <w:rPr>
          <w:noProof w:val="0"/>
          <w:lang w:val="it-IT"/>
        </w:rPr>
        <w:t xml:space="preserve">, Marcello </w:t>
      </w:r>
      <w:proofErr w:type="spellStart"/>
      <w:r w:rsidRPr="00004774">
        <w:rPr>
          <w:noProof w:val="0"/>
          <w:lang w:val="it-IT"/>
        </w:rPr>
        <w:t>Cinci</w:t>
      </w:r>
      <w:r w:rsidR="00E269F8" w:rsidRPr="00004774">
        <w:rPr>
          <w:noProof w:val="0"/>
          <w:vertAlign w:val="superscript"/>
          <w:lang w:val="it-IT"/>
        </w:rPr>
        <w:t>b</w:t>
      </w:r>
      <w:proofErr w:type="spellEnd"/>
      <w:r w:rsidRPr="00004774">
        <w:rPr>
          <w:noProof w:val="0"/>
          <w:lang w:val="it-IT"/>
        </w:rPr>
        <w:t xml:space="preserve">, Alessandro </w:t>
      </w:r>
      <w:proofErr w:type="spellStart"/>
      <w:r w:rsidRPr="00004774">
        <w:rPr>
          <w:noProof w:val="0"/>
          <w:lang w:val="it-IT"/>
        </w:rPr>
        <w:t>Lenzi</w:t>
      </w:r>
      <w:r w:rsidR="00E269F8" w:rsidRPr="00004774">
        <w:rPr>
          <w:noProof w:val="0"/>
          <w:vertAlign w:val="superscript"/>
          <w:lang w:val="it-IT"/>
        </w:rPr>
        <w:t>b</w:t>
      </w:r>
      <w:proofErr w:type="spellEnd"/>
      <w:r w:rsidRPr="00004774">
        <w:rPr>
          <w:noProof w:val="0"/>
          <w:lang w:val="it-IT"/>
        </w:rPr>
        <w:t xml:space="preserve">, Selena </w:t>
      </w:r>
      <w:proofErr w:type="spellStart"/>
      <w:r w:rsidRPr="00004774">
        <w:rPr>
          <w:noProof w:val="0"/>
          <w:lang w:val="it-IT"/>
        </w:rPr>
        <w:t>Sironi</w:t>
      </w:r>
      <w:r w:rsidR="00E269F8" w:rsidRPr="00004774">
        <w:rPr>
          <w:noProof w:val="0"/>
          <w:vertAlign w:val="superscript"/>
          <w:lang w:val="it-IT"/>
        </w:rPr>
        <w:t>a</w:t>
      </w:r>
      <w:proofErr w:type="spellEnd"/>
    </w:p>
    <w:p w14:paraId="5053C5A8" w14:textId="107E12C6" w:rsidR="00E978D0" w:rsidRPr="00004774" w:rsidRDefault="005D6C53" w:rsidP="00E978D0">
      <w:pPr>
        <w:pStyle w:val="CETAddress"/>
        <w:rPr>
          <w:noProof w:val="0"/>
          <w:lang w:val="it-IT"/>
        </w:rPr>
      </w:pPr>
      <w:r w:rsidRPr="00004774">
        <w:rPr>
          <w:noProof w:val="0"/>
          <w:vertAlign w:val="superscript"/>
          <w:lang w:val="it-IT"/>
        </w:rPr>
        <w:t xml:space="preserve">a </w:t>
      </w:r>
      <w:r w:rsidR="00E269F8" w:rsidRPr="00004774">
        <w:rPr>
          <w:noProof w:val="0"/>
          <w:lang w:val="it-IT"/>
        </w:rPr>
        <w:t xml:space="preserve">Politecnico di Milano, Department of </w:t>
      </w:r>
      <w:proofErr w:type="spellStart"/>
      <w:r w:rsidR="00E269F8" w:rsidRPr="00004774">
        <w:rPr>
          <w:noProof w:val="0"/>
          <w:lang w:val="it-IT"/>
        </w:rPr>
        <w:t>Chemistry</w:t>
      </w:r>
      <w:proofErr w:type="spellEnd"/>
      <w:r w:rsidR="00E269F8" w:rsidRPr="00004774">
        <w:rPr>
          <w:noProof w:val="0"/>
          <w:lang w:val="it-IT"/>
        </w:rPr>
        <w:t xml:space="preserve">, </w:t>
      </w:r>
      <w:proofErr w:type="spellStart"/>
      <w:r w:rsidR="00E269F8" w:rsidRPr="00004774">
        <w:rPr>
          <w:noProof w:val="0"/>
          <w:lang w:val="it-IT"/>
        </w:rPr>
        <w:t>Materials</w:t>
      </w:r>
      <w:proofErr w:type="spellEnd"/>
      <w:r w:rsidR="00E269F8" w:rsidRPr="00004774">
        <w:rPr>
          <w:noProof w:val="0"/>
          <w:lang w:val="it-IT"/>
        </w:rPr>
        <w:t xml:space="preserve"> and Chemical Engineering “Giulio Natta” - Piazza Leonardo da Vinci 32, 20133 Milano, Italy </w:t>
      </w:r>
    </w:p>
    <w:p w14:paraId="2F016C90" w14:textId="6255EB4C" w:rsidR="00FD5685" w:rsidRPr="00004774" w:rsidRDefault="00FD5685" w:rsidP="00E269F8">
      <w:pPr>
        <w:spacing w:line="276" w:lineRule="auto"/>
        <w:rPr>
          <w:lang w:val="it-IT"/>
        </w:rPr>
      </w:pPr>
      <w:r w:rsidRPr="00004774">
        <w:rPr>
          <w:vertAlign w:val="superscript"/>
          <w:lang w:val="it-IT"/>
        </w:rPr>
        <w:t xml:space="preserve">b </w:t>
      </w:r>
      <w:r w:rsidR="00E269F8" w:rsidRPr="00004774">
        <w:rPr>
          <w:sz w:val="16"/>
          <w:lang w:val="it-IT"/>
        </w:rPr>
        <w:t>Enel Green Power S.p.A., Via Andrea Pisano 120, 56126 Pisa, Italy</w:t>
      </w:r>
    </w:p>
    <w:p w14:paraId="2641720F" w14:textId="27418687" w:rsidR="00653F1B" w:rsidRPr="00004774" w:rsidRDefault="00B76043" w:rsidP="00E978D0">
      <w:pPr>
        <w:pStyle w:val="CETAddress"/>
        <w:rPr>
          <w:noProof w:val="0"/>
          <w:lang w:val="it-IT"/>
        </w:rPr>
      </w:pPr>
      <w:r w:rsidRPr="00004774">
        <w:rPr>
          <w:noProof w:val="0"/>
          <w:lang w:val="it-IT"/>
        </w:rPr>
        <w:t xml:space="preserve"> </w:t>
      </w:r>
    </w:p>
    <w:p w14:paraId="0127A28D" w14:textId="095F6272" w:rsidR="00E978D0" w:rsidRPr="000D74A3" w:rsidRDefault="00891118" w:rsidP="00E978D0">
      <w:pPr>
        <w:pStyle w:val="CETemail"/>
        <w:rPr>
          <w:noProof w:val="0"/>
        </w:rPr>
      </w:pPr>
      <w:r>
        <w:rPr>
          <w:noProof w:val="0"/>
        </w:rPr>
        <w:t>marzio.invernizzi@polimi.it</w:t>
      </w:r>
    </w:p>
    <w:p w14:paraId="05455934" w14:textId="1998EB46" w:rsidR="00A010AB" w:rsidRPr="000D74A3" w:rsidRDefault="00E269F8" w:rsidP="00A010AB">
      <w:pPr>
        <w:pStyle w:val="CETBodytext"/>
        <w:rPr>
          <w:lang w:val="en-GB"/>
        </w:rPr>
      </w:pPr>
      <w:r w:rsidRPr="000D74A3">
        <w:rPr>
          <w:rFonts w:cstheme="minorBidi"/>
          <w:lang w:val="en-GB"/>
        </w:rPr>
        <w:t xml:space="preserve">Gaseous </w:t>
      </w:r>
      <w:r w:rsidR="00B76043" w:rsidRPr="000D74A3">
        <w:rPr>
          <w:rFonts w:cstheme="minorBidi"/>
          <w:lang w:val="en-GB"/>
        </w:rPr>
        <w:t>emissions</w:t>
      </w:r>
      <w:r w:rsidRPr="000D74A3">
        <w:rPr>
          <w:rFonts w:cstheme="minorBidi"/>
          <w:lang w:val="en-GB"/>
        </w:rPr>
        <w:t xml:space="preserve"> which may be of odour impact and interest are not solely derived from industrial processes or agricultural </w:t>
      </w:r>
      <w:r w:rsidR="00B76043" w:rsidRPr="000D74A3">
        <w:rPr>
          <w:rFonts w:cstheme="minorBidi"/>
          <w:lang w:val="en-GB"/>
        </w:rPr>
        <w:t>fields</w:t>
      </w:r>
      <w:r w:rsidRPr="000D74A3">
        <w:rPr>
          <w:rFonts w:cstheme="minorBidi"/>
          <w:lang w:val="en-GB"/>
        </w:rPr>
        <w:t xml:space="preserve">, but also from natural sources. Natural odorous gaseous emissions are often present in geothermal areas. In these cases, the inventory and the measurement of the emitted gas flows </w:t>
      </w:r>
      <w:r w:rsidR="00B76043" w:rsidRPr="000D74A3">
        <w:rPr>
          <w:rFonts w:cstheme="minorBidi"/>
          <w:lang w:val="en-GB"/>
        </w:rPr>
        <w:t>are</w:t>
      </w:r>
      <w:r w:rsidRPr="000D74A3">
        <w:rPr>
          <w:rFonts w:cstheme="minorBidi"/>
          <w:lang w:val="en-GB"/>
        </w:rPr>
        <w:t xml:space="preserve"> not trivial. This work presents the experience of an olfactometric survey conducted in a geothermal-interest area, specifically around Mt. </w:t>
      </w:r>
      <w:proofErr w:type="spellStart"/>
      <w:r w:rsidRPr="000D74A3">
        <w:rPr>
          <w:rFonts w:cstheme="minorBidi"/>
          <w:lang w:val="en-GB"/>
        </w:rPr>
        <w:t>Amiata</w:t>
      </w:r>
      <w:proofErr w:type="spellEnd"/>
      <w:r w:rsidRPr="000D74A3">
        <w:rPr>
          <w:rFonts w:cstheme="minorBidi"/>
          <w:lang w:val="en-GB"/>
        </w:rPr>
        <w:t>, Tuscany, Italy. Dynamic olfactometry analyses showed odour concentrations in the order of millions of ou</w:t>
      </w:r>
      <w:r w:rsidRPr="000D74A3">
        <w:rPr>
          <w:rFonts w:cstheme="minorBidi"/>
          <w:vertAlign w:val="subscript"/>
          <w:lang w:val="en-GB"/>
        </w:rPr>
        <w:t>E</w:t>
      </w:r>
      <w:r w:rsidRPr="000D74A3">
        <w:rPr>
          <w:rFonts w:cstheme="minorBidi"/>
          <w:lang w:val="en-GB"/>
        </w:rPr>
        <w:t>/m</w:t>
      </w:r>
      <w:r w:rsidRPr="000D74A3">
        <w:rPr>
          <w:rFonts w:cstheme="minorBidi"/>
          <w:vertAlign w:val="superscript"/>
          <w:lang w:val="en-GB"/>
        </w:rPr>
        <w:t>3</w:t>
      </w:r>
      <w:r w:rsidRPr="000D74A3">
        <w:rPr>
          <w:rFonts w:cstheme="minorBidi"/>
          <w:lang w:val="en-GB"/>
        </w:rPr>
        <w:t xml:space="preserve">. While the main constituent of </w:t>
      </w:r>
      <w:r w:rsidR="00B76043" w:rsidRPr="000D74A3">
        <w:rPr>
          <w:rFonts w:cstheme="minorBidi"/>
          <w:lang w:val="en-GB"/>
        </w:rPr>
        <w:t>these natural gas emissions</w:t>
      </w:r>
      <w:r w:rsidRPr="000D74A3">
        <w:rPr>
          <w:rFonts w:cstheme="minorBidi"/>
          <w:lang w:val="en-GB"/>
        </w:rPr>
        <w:t xml:space="preserve"> was CO</w:t>
      </w:r>
      <w:r w:rsidRPr="000D74A3">
        <w:rPr>
          <w:rFonts w:cstheme="minorBidi"/>
          <w:vertAlign w:val="subscript"/>
          <w:lang w:val="en-GB"/>
        </w:rPr>
        <w:t>2</w:t>
      </w:r>
      <w:r w:rsidRPr="000D74A3">
        <w:rPr>
          <w:rFonts w:cstheme="minorBidi"/>
          <w:lang w:val="en-GB"/>
        </w:rPr>
        <w:t xml:space="preserve">, the very high odour concentration data </w:t>
      </w:r>
      <w:r w:rsidR="00B76043" w:rsidRPr="000D74A3">
        <w:rPr>
          <w:rFonts w:cstheme="minorBidi"/>
          <w:lang w:val="en-GB"/>
        </w:rPr>
        <w:t>primarily</w:t>
      </w:r>
      <w:r w:rsidRPr="000D74A3">
        <w:rPr>
          <w:rFonts w:cstheme="minorBidi"/>
          <w:lang w:val="en-GB"/>
        </w:rPr>
        <w:t xml:space="preserve"> resulted from the high portion of H</w:t>
      </w:r>
      <w:r w:rsidRPr="000D74A3">
        <w:rPr>
          <w:rFonts w:cstheme="minorBidi"/>
          <w:vertAlign w:val="subscript"/>
          <w:lang w:val="en-GB"/>
        </w:rPr>
        <w:t>2</w:t>
      </w:r>
      <w:r w:rsidRPr="000D74A3">
        <w:rPr>
          <w:rFonts w:cstheme="minorBidi"/>
          <w:lang w:val="en-GB"/>
        </w:rPr>
        <w:t xml:space="preserve">S in these emissions, with detected concentrations ranging from </w:t>
      </w:r>
      <w:r w:rsidR="00B76043" w:rsidRPr="000D74A3">
        <w:rPr>
          <w:rFonts w:cstheme="minorBidi"/>
          <w:lang w:val="en-GB"/>
        </w:rPr>
        <w:t>1,</w:t>
      </w:r>
      <w:r w:rsidRPr="000D74A3">
        <w:rPr>
          <w:rFonts w:cstheme="minorBidi"/>
          <w:lang w:val="en-GB"/>
        </w:rPr>
        <w:t>000 to 10</w:t>
      </w:r>
      <w:r w:rsidR="00B76043" w:rsidRPr="000D74A3">
        <w:rPr>
          <w:rFonts w:cstheme="minorBidi"/>
          <w:lang w:val="en-GB"/>
        </w:rPr>
        <w:t>,</w:t>
      </w:r>
      <w:r w:rsidRPr="000D74A3">
        <w:rPr>
          <w:rFonts w:cstheme="minorBidi"/>
          <w:lang w:val="en-GB"/>
        </w:rPr>
        <w:t xml:space="preserve">000 </w:t>
      </w:r>
      <w:proofErr w:type="spellStart"/>
      <w:r w:rsidRPr="000D74A3">
        <w:rPr>
          <w:rFonts w:cstheme="minorBidi"/>
          <w:lang w:val="en-GB"/>
        </w:rPr>
        <w:t>ppm</w:t>
      </w:r>
      <w:r w:rsidR="00B76043" w:rsidRPr="000D74A3">
        <w:rPr>
          <w:rFonts w:cstheme="minorBidi"/>
          <w:vertAlign w:val="subscript"/>
          <w:lang w:val="en-GB"/>
        </w:rPr>
        <w:t>v</w:t>
      </w:r>
      <w:proofErr w:type="spellEnd"/>
      <w:r w:rsidRPr="000D74A3">
        <w:rPr>
          <w:rFonts w:cstheme="minorBidi"/>
          <w:lang w:val="en-GB"/>
        </w:rPr>
        <w:t xml:space="preserve">. This not only indicates the presence of odour impact potential but also the high risk for people in the nearby area due to the high concentration </w:t>
      </w:r>
      <w:r w:rsidR="00B76043" w:rsidRPr="000D74A3">
        <w:rPr>
          <w:rFonts w:cstheme="minorBidi"/>
          <w:lang w:val="en-GB"/>
        </w:rPr>
        <w:t>of this gas</w:t>
      </w:r>
      <w:r w:rsidRPr="000D74A3">
        <w:rPr>
          <w:rFonts w:cstheme="minorBidi"/>
          <w:lang w:val="en-GB"/>
        </w:rPr>
        <w:t xml:space="preserve">. In parallel with the measurement of representative concentration data of these spot </w:t>
      </w:r>
      <w:r w:rsidR="00B76043" w:rsidRPr="000D74A3">
        <w:rPr>
          <w:rFonts w:cstheme="minorBidi"/>
          <w:lang w:val="en-GB"/>
        </w:rPr>
        <w:t>vents</w:t>
      </w:r>
      <w:r w:rsidRPr="000D74A3">
        <w:rPr>
          <w:rFonts w:cstheme="minorBidi"/>
          <w:lang w:val="en-GB"/>
        </w:rPr>
        <w:t xml:space="preserve">, a flexible and innovative approach was established for the measurement of emitted gas flow. The main breakthrough was obtained via the revamping of a </w:t>
      </w:r>
      <w:proofErr w:type="spellStart"/>
      <w:r w:rsidRPr="000D74A3">
        <w:rPr>
          <w:rFonts w:cstheme="minorBidi"/>
          <w:lang w:val="en-GB"/>
        </w:rPr>
        <w:t>balometer</w:t>
      </w:r>
      <w:proofErr w:type="spellEnd"/>
      <w:r w:rsidRPr="000D74A3">
        <w:rPr>
          <w:rFonts w:cstheme="minorBidi"/>
          <w:lang w:val="en-GB"/>
        </w:rPr>
        <w:t xml:space="preserve">, a tool used </w:t>
      </w:r>
      <w:r w:rsidR="00B76043" w:rsidRPr="000D74A3">
        <w:rPr>
          <w:rFonts w:cstheme="minorBidi"/>
          <w:lang w:val="en-GB"/>
        </w:rPr>
        <w:t>for</w:t>
      </w:r>
      <w:r w:rsidRPr="000D74A3">
        <w:rPr>
          <w:rFonts w:cstheme="minorBidi"/>
          <w:lang w:val="en-GB"/>
        </w:rPr>
        <w:t xml:space="preserve"> the measurement of indoor airflows, </w:t>
      </w:r>
      <w:r w:rsidR="003F5FF1" w:rsidRPr="000D74A3">
        <w:rPr>
          <w:rFonts w:cstheme="minorBidi"/>
          <w:lang w:val="en-GB"/>
        </w:rPr>
        <w:t>in</w:t>
      </w:r>
      <w:r w:rsidRPr="000D74A3">
        <w:rPr>
          <w:rFonts w:cstheme="minorBidi"/>
          <w:lang w:val="en-GB"/>
        </w:rPr>
        <w:t xml:space="preserve"> the measurement of the gas flow of large spot </w:t>
      </w:r>
      <w:r w:rsidR="003F5FF1" w:rsidRPr="000D74A3">
        <w:rPr>
          <w:rFonts w:cstheme="minorBidi"/>
          <w:lang w:val="en-GB"/>
        </w:rPr>
        <w:t>vents</w:t>
      </w:r>
      <w:r w:rsidRPr="000D74A3">
        <w:rPr>
          <w:rFonts w:cstheme="minorBidi"/>
          <w:lang w:val="en-GB"/>
        </w:rPr>
        <w:t xml:space="preserve"> (i.e. mine gates). Thanks to this stretchy approach, it was possible to estimate the OER of these emissions: the overall OER of all the inventory of the investigated spot vents in the area </w:t>
      </w:r>
      <w:r w:rsidR="003F5FF1" w:rsidRPr="000D74A3">
        <w:rPr>
          <w:rFonts w:cstheme="minorBidi"/>
          <w:lang w:val="en-GB"/>
        </w:rPr>
        <w:t>was</w:t>
      </w:r>
      <w:r w:rsidRPr="000D74A3">
        <w:rPr>
          <w:rFonts w:cstheme="minorBidi"/>
          <w:lang w:val="en-GB"/>
        </w:rPr>
        <w:t xml:space="preserve"> impressive, and reache</w:t>
      </w:r>
      <w:r w:rsidR="003F5FF1" w:rsidRPr="000D74A3">
        <w:rPr>
          <w:rFonts w:cstheme="minorBidi"/>
          <w:lang w:val="en-GB"/>
        </w:rPr>
        <w:t>d</w:t>
      </w:r>
      <w:r w:rsidRPr="000D74A3">
        <w:rPr>
          <w:rFonts w:cstheme="minorBidi"/>
          <w:lang w:val="en-GB"/>
        </w:rPr>
        <w:t xml:space="preserve"> almost 10 </w:t>
      </w:r>
      <w:r w:rsidR="00DCF81D" w:rsidRPr="000D74A3">
        <w:rPr>
          <w:rFonts w:cstheme="minorBidi"/>
          <w:lang w:val="en-GB"/>
        </w:rPr>
        <w:t>million</w:t>
      </w:r>
      <w:r w:rsidRPr="000D74A3">
        <w:rPr>
          <w:rFonts w:cstheme="minorBidi"/>
          <w:lang w:val="en-GB"/>
        </w:rPr>
        <w:t xml:space="preserve"> of ou</w:t>
      </w:r>
      <w:r w:rsidRPr="000D74A3">
        <w:rPr>
          <w:rFonts w:cstheme="minorBidi"/>
          <w:vertAlign w:val="subscript"/>
          <w:lang w:val="en-GB"/>
        </w:rPr>
        <w:t>E</w:t>
      </w:r>
      <w:r w:rsidRPr="000D74A3">
        <w:rPr>
          <w:rFonts w:cstheme="minorBidi"/>
          <w:lang w:val="en-GB"/>
        </w:rPr>
        <w:t>/s.</w:t>
      </w:r>
    </w:p>
    <w:p w14:paraId="476B2F2E" w14:textId="553F500E" w:rsidR="00600535" w:rsidRPr="000D74A3" w:rsidRDefault="00600535" w:rsidP="00600535">
      <w:pPr>
        <w:pStyle w:val="CETHeading1"/>
        <w:rPr>
          <w:lang w:val="en-GB"/>
        </w:rPr>
      </w:pPr>
      <w:r w:rsidRPr="000D74A3">
        <w:rPr>
          <w:lang w:val="en-GB"/>
        </w:rPr>
        <w:t>Introduction</w:t>
      </w:r>
    </w:p>
    <w:p w14:paraId="5524D2A3" w14:textId="509C872C" w:rsidR="00956D9E" w:rsidRPr="000D74A3" w:rsidRDefault="00956D9E" w:rsidP="00093BD6">
      <w:r w:rsidRPr="000D74A3">
        <w:t>Dynamic olfactometry is the sensory technique widely used for the assessment of odour nuisance from industrial plants and agricultural operations</w:t>
      </w:r>
      <w:r w:rsidR="000D74A3" w:rsidRPr="000D74A3">
        <w:t xml:space="preserve"> </w:t>
      </w:r>
      <w:r w:rsidR="000D74A3" w:rsidRPr="000D74A3">
        <w:fldChar w:fldCharType="begin" w:fldLock="1"/>
      </w:r>
      <w:r w:rsidR="0089203B">
        <w:instrText>ADDIN CSL_CITATION {"citationItems":[{"id":"ITEM-1","itemData":{"DOI":"10.1016/j.envres.2022.113871","ISSN":"10960953","PMID":"35839906","abstract":"Biosolids storage areas are a significant contributor to wastewater treatment plant (WWTPs) odour emissions which can cause sensorial impact to surrounding communities. Most odour impact regulations are based on odour concentration (COD) measurements determined by dynamic olfactometry. Understanding the relationship between odorants concentrations and COD in the biosolids emission is important to identify how the measurement and monitoring can be conducted using analytical rather than sensorial techniques. Some of the odorants are unknown in biosolid emissions, increasing the uncertainty in predicting COD. In this study, emissions from 56 biosolid samples collected from two WWTPs located in Sydney, Australia, were analysed by analytical and sensorial methods, including olfactory detection port (ODP) and dynamic olfactometry. Concentrations of 25 odorants and two ordinal variables represented odour events detected by ODP assessors were linked to COD values. Bayesian Model Averaging and Variable Selection with Bayesian Adaptive Sampling were applied to model the relation between COD and odorants concentrations. Results indicate the usability of the probabilistic methods and nonlinear transformations in modelling the odour concentrations based on odorants concentrations from biosolids emission and the accuracy of a small dataset.","author":[{"dropping-particle":"","family":"Barczak","given":"Radosław J.","non-dropping-particle":"","parse-names":false,"suffix":""},{"dropping-particle":"","family":"Możaryn","given":"Jakub","non-dropping-particle":"","parse-names":false,"suffix":""},{"dropping-particle":"","family":"Fisher","given":"Ruth M.","non-dropping-particle":"","parse-names":false,"suffix":""},{"dropping-particle":"","family":"Stuetz","given":"Richard M.","non-dropping-particle":"","parse-names":false,"suffix":""}],"container-title":"Environmental Research","id":"ITEM-1","issued":{"date-parts":[["2022"]]},"page":"113871","title":"Odour concentrations prediction based on odorants concentrations from biosolid emissions","type":"article-journal","volume":"214"},"uris":["http://www.mendeley.com/documents/?uuid=c852b708-74a1-4b6e-b912-9747d22e5e4b"]}],"mendeley":{"formattedCitation":"(Barczak et al., 2022)","plainTextFormattedCitation":"(Barczak et al., 2022)","previouslyFormattedCitation":"(Barczak et al., 2022)"},"properties":{"noteIndex":0},"schema":"https://github.com/citation-style-language/schema/raw/master/csl-citation.json"}</w:instrText>
      </w:r>
      <w:r w:rsidR="000D74A3" w:rsidRPr="000D74A3">
        <w:fldChar w:fldCharType="separate"/>
      </w:r>
      <w:r w:rsidR="000D74A3" w:rsidRPr="000D74A3">
        <w:rPr>
          <w:noProof/>
        </w:rPr>
        <w:t>(Barczak et al., 2022)</w:t>
      </w:r>
      <w:r w:rsidR="000D74A3" w:rsidRPr="000D74A3">
        <w:fldChar w:fldCharType="end"/>
      </w:r>
      <w:r w:rsidRPr="000D74A3">
        <w:t xml:space="preserve">. The standardized approach is to conduct </w:t>
      </w:r>
      <w:r w:rsidR="003F5FF1" w:rsidRPr="000D74A3">
        <w:t>an</w:t>
      </w:r>
      <w:r w:rsidRPr="000D74A3">
        <w:t xml:space="preserve"> olfactometric campaign at the emitting sources, </w:t>
      </w:r>
      <w:r w:rsidR="003F5FF1" w:rsidRPr="000D74A3">
        <w:t>estimate</w:t>
      </w:r>
      <w:r w:rsidRPr="000D74A3">
        <w:t xml:space="preserve"> Odour Emission Rates, OER, </w:t>
      </w:r>
      <w:r w:rsidR="003F5FF1" w:rsidRPr="000D74A3">
        <w:t xml:space="preserve">and </w:t>
      </w:r>
      <w:r w:rsidR="00164D62">
        <w:t>compute</w:t>
      </w:r>
      <w:r w:rsidR="00164D62" w:rsidRPr="000D74A3">
        <w:t xml:space="preserve"> </w:t>
      </w:r>
      <w:r w:rsidR="003F5FF1" w:rsidRPr="000D74A3">
        <w:t>the</w:t>
      </w:r>
      <w:r w:rsidRPr="000D74A3">
        <w:t xml:space="preserve"> fallout through atmospheric dispersion models</w:t>
      </w:r>
      <w:r w:rsidR="000D74A3" w:rsidRPr="000D74A3">
        <w:t xml:space="preserve"> </w:t>
      </w:r>
      <w:r w:rsidR="000D74A3" w:rsidRPr="000D74A3">
        <w:fldChar w:fldCharType="begin" w:fldLock="1"/>
      </w:r>
      <w:r w:rsidR="0089203B">
        <w:instrText>ADDIN CSL_CITATION {"citationItems":[{"id":"ITEM-1","itemData":{"author":[{"dropping-particle":"","family":"Bokowa","given":"A.H.","non-dropping-particle":"","parse-names":false,"suffix":""},{"dropping-particle":"","family":"Bokowa","given":"M.A","non-dropping-particle":"","parse-names":false,"suffix":""}],"container-title":"Austrian Contributions to Veterinary Epidemiology","id":"ITEM-1","issued":{"date-parts":[["2017"]]},"page":"21-35","title":"Odour assessment methods: appropriate uses to obtain the most accurate results.","type":"article-journal","volume":"9"},"uris":["http://www.mendeley.com/documents/?uuid=2f6959b4-7443-4af3-93b3-b169dd04eb1c"]},{"id":"ITEM-2","itemData":{"DOI":"10.3390/app14062457","abstract":"Dispersion modeling is a useful tool for reproducing the spatial–temporal distribution of pollutants emitted by industrial sites, particularly in the environmental odor field. One widely used tool, accepted by regulatory agencies for environmental impact assessments, is the CALPUFF model, which requires a large number of input variables, including meteorological and orographical variables. The reliability of model results depends on the accuracy of these input variables. The present research aims to discuss a comparative study of odor dispersion modeling by initializing the CALMET meteorological processor with different input data: surface and upper air observational meteorological data, 3D prognostic data, and a blend of prognostic and measured data. Two distinct sources (a point and an area source) and two different simulation domains in Cuba and Italy are considered. The analysis of results is based on odor impact criteria enforced in some Italian regions by computing the 98th percentile of odor peak concentrations on an annual basis. For the area source, simulation results reveal that the ‘OBS’ and ‘HYBRID’ modes are largely comparable, whereas prognostic data tend to underestimate the odor concentrations, likely due to a reduced percentage of wind calms. For point sources, different input meteorological settings provide comparable results, with no significant differences.","author":[{"dropping-particle":"","family":"Tagliaferri","given":"Francesca","non-dropping-particle":"","parse-names":false,"suffix":""},{"dropping-particle":"","family":"Facagni","given":"Laura","non-dropping-particle":"","parse-names":false,"suffix":""},{"dropping-particle":"","family":"Invernizzi","given":"Marzio","non-dropping-particle":"","parse-names":false,"suffix":""},{"dropping-particle":"","family":"Ferrer Hernández","given":"Adrian Luis","non-dropping-particle":"","parse-names":false,"suffix":""},{"dropping-particle":"","family":"Hernández-Garces","given":"Anel","non-dropping-particle":"","parse-names":false,"suffix":""},{"dropping-particle":"","family":"Sironi","given":"Selena","non-dropping-particle":"","parse-names":false,"suffix":""}],"container-title":"Applied Sciences","id":"ITEM-2","issued":{"date-parts":[["2024"]]},"page":"2457","title":"Odor Impact Assessment via Dispersion Model: Comparison of Different Input Meteorological Datasets","type":"article-journal","volume":"14"},"uris":["http://www.mendeley.com/documents/?uuid=1e5f914f-54cc-4821-96a9-95ff92fb5dff"]}],"mendeley":{"formattedCitation":"(Bokowa &amp; Bokowa, 2017; Tagliaferri, Facagni, et al., 2024)","manualFormatting":"(Bokowa and Bokowa, 2017; Tagliaferri et al., 2024)","plainTextFormattedCitation":"(Bokowa &amp; Bokowa, 2017; Tagliaferri, Facagni, et al., 2024)","previouslyFormattedCitation":"(Bokowa &amp; Bokowa, 2017; Tagliaferri, Facagni, et al., 2024)"},"properties":{"noteIndex":0},"schema":"https://github.com/citation-style-language/schema/raw/master/csl-citation.json"}</w:instrText>
      </w:r>
      <w:r w:rsidR="000D74A3" w:rsidRPr="000D74A3">
        <w:fldChar w:fldCharType="separate"/>
      </w:r>
      <w:r w:rsidR="000D74A3" w:rsidRPr="000D74A3">
        <w:rPr>
          <w:noProof/>
        </w:rPr>
        <w:t>(Bokowa and Bokowa, 2017; Tagliaferri et al., 2024)</w:t>
      </w:r>
      <w:r w:rsidR="000D74A3" w:rsidRPr="000D74A3">
        <w:fldChar w:fldCharType="end"/>
      </w:r>
      <w:r w:rsidRPr="000D74A3">
        <w:t xml:space="preserve">. The investigation of the </w:t>
      </w:r>
      <w:r w:rsidR="001B2728" w:rsidRPr="000D74A3">
        <w:t xml:space="preserve">environmental </w:t>
      </w:r>
      <w:r w:rsidRPr="000D74A3">
        <w:t xml:space="preserve">background odour is rarely conducted, due to technical difficulties deriving from the sensitivity of </w:t>
      </w:r>
      <w:r w:rsidR="00093BD6" w:rsidRPr="000D74A3">
        <w:t xml:space="preserve">the </w:t>
      </w:r>
      <w:r w:rsidRPr="000D74A3">
        <w:t>olfactometric technique</w:t>
      </w:r>
      <w:r w:rsidR="000D74A3" w:rsidRPr="000D74A3">
        <w:t xml:space="preserve"> </w:t>
      </w:r>
      <w:r w:rsidR="000D74A3" w:rsidRPr="000D74A3">
        <w:fldChar w:fldCharType="begin" w:fldLock="1"/>
      </w:r>
      <w:r w:rsidR="0089203B">
        <w:instrText>ADDIN CSL_CITATION {"citationItems":[{"id":"ITEM-1","itemData":{"DOI":"10.3303/CET1440027","ISBN":"9788895608310","ISSN":"22839216","abstract":"The issue of volatiles and odorant losses has already been addressed by different authors. The motivation came from the fields of breath analysis (Mochalski et al. 2013; Mochalski et al. 2009), atmospheric chemistry (Sulyok et al. 2001; Kim et al. 2012) and odour measurement (van Harreveld 2003; Hansen et al. 2011; Parker et al. 2010; Trabue et al. 2006). The aim in these fields is to collect samples for subsequent laboratory measurements. Frequently manufacturers of sample bags claim excellent stability of the stored substances. A closer look on the measurement procedure often shows an unrealistic background: The measurements were made with high concentrations of substances at an unrealistic level. The losses are different at a trace level, e.g. at the ppb-level near the odour thresholds of odorants, because the contribution of wall adsorption in the polymeric bags is comparatively greater. The published contributions show some general trends but often suffer from deficits of the measurement procedure. The initial losses due to adsorption at the walls of the bags contribute to a great extent to the losses. Therefore a measurement starting with the freshly filled bags as the reference level for losses does not reflect the real situation of bag sampling. Other obvious problems are the stability of the sample gas generation at trace level concentrations. The measurements for this study were made with a high sensitive trace gas measurement system. It uses online thermal desorption and a gas chromatography - time-of-flight mass spectrometry system. A calibration gas generator on basis of continuous evaporation and dilution has been used for the preparation of the sample gases in the ppb-range. Odorants from different chemical classes and of different molecular weight have been included in the study. Special care has been taken to avoid any losses due to leakage or cold spots in the measurement chain. Extensive measurements with different bag materials have been made, including the most common bags from Nalophan and from Tedlar. For comparison the same measurements have been made with adsorption tubes as a sampling method. Copyright","author":[{"dropping-particle":"","family":"Boeker","given":"Peter","non-dropping-particle":"","parse-names":false,"suffix":""},{"dropping-particle":"","family":"Leppert","given":"Jan","non-dropping-particle":"","parse-names":false,"suffix":""},{"dropping-particle":"","family":"Lammers","given":"Peter Schulze","non-dropping-particle":"","parse-names":false,"suffix":""}],"container-title":"Chemical Engineering Transactions","id":"ITEM-1","issued":{"date-parts":[["2014"]]},"page":"157-162","title":"Comparison of odorant losses at the ppb-level from sampling bags of nalophan™and tedlar™and from adsorption tubes","type":"article-journal","volume":"40"},"uris":["http://www.mendeley.com/documents/?uuid=404e1840-3acf-4647-9e37-c3e9c89ac1a5"]},{"id":"ITEM-2","itemData":{"DOI":"10.3303/CET1868007","ISBN":"9788895608655","ISSN":"22839216","abstract":"Environmental odour samples are often comprised of complex mixtures of compounds with diverse chemical properties and key odorants can be present at concentration levels in the low ppb range. This complicates accurate odour evaluations as adsorption to the inner walls of sampling equipment may significantly alter the chemical composition of the sample, even when the adsorption capacity is low. In the present study, the significance of saturation effects in dynamic Olfactometry on the recovery of single compounds in the low ppb range and the impact on the chemical composition of odour samples typical for livestock houses is evaluated. The results are based on extensive measurements of three olfactometers obtained from accredited odour laboratories, i.e. a TO8, a glass-tube olfactometer and a dilution system based on a mass flow controller. The odorants include hydrogen sulphide, methanethiol, dimethyl sulphide, acetic acid, butanoic acid, propanoic acid, 3-methylbutanoic acid, 4-methylphenol, and trimethylamine. Furthermore, n-butanol, the reference gas according to the European standard, was included. All measurements were performed in real time with high sensitivity Proton Transfer Reaction Mass Spectrometry (PTR-MS). The results show that several key odorants, including 4-methylphenol, trimethylamine and some carboxylic acids, were affected by surface adsorption to an extent, which could likely alter the outcome of odour measurements. Hence, it is recommended to carefully consider olfactometer configuration and compound recovery for this type of odour samples.","author":[{"dropping-particle":"","family":"Kasper","given":"Pernille L.","non-dropping-particle":"","parse-names":false,"suffix":""},{"dropping-particle":"","family":"Hansen","given":"Michael J.","non-dropping-particle":"","parse-names":false,"suffix":""},{"dropping-particle":"","family":"Feilberg","given":"Anders","non-dropping-particle":"","parse-names":false,"suffix":""}],"container-title":"Chemical Engineering Transactions","id":"ITEM-2","issued":{"date-parts":[["2018"]]},"page":"37-42","title":"Impact of saturation effects during dynamic olfactometry on low-concentration environmental odour samples","type":"article-journal","volume":"68"},"uris":["http://www.mendeley.com/documents/?uuid=d4bdb030-53e3-4bc5-a854-9ffcf8473ca2"]}],"mendeley":{"formattedCitation":"(Boeker et al., 2014; Kasper et al., 2018)","plainTextFormattedCitation":"(Boeker et al., 2014; Kasper et al., 2018)","previouslyFormattedCitation":"(Boeker et al., 2014; Kasper et al., 2018)"},"properties":{"noteIndex":0},"schema":"https://github.com/citation-style-language/schema/raw/master/csl-citation.json"}</w:instrText>
      </w:r>
      <w:r w:rsidR="000D74A3" w:rsidRPr="000D74A3">
        <w:fldChar w:fldCharType="separate"/>
      </w:r>
      <w:r w:rsidR="000D74A3" w:rsidRPr="000D74A3">
        <w:rPr>
          <w:noProof/>
        </w:rPr>
        <w:t>(Boeker et al., 2014; Kasper et al., 2018)</w:t>
      </w:r>
      <w:r w:rsidR="000D74A3" w:rsidRPr="000D74A3">
        <w:fldChar w:fldCharType="end"/>
      </w:r>
      <w:r w:rsidRPr="000D74A3">
        <w:t xml:space="preserve">. </w:t>
      </w:r>
      <w:r w:rsidR="001B2728" w:rsidRPr="000D74A3">
        <w:t xml:space="preserve">The background odour derives from the overlapping of all the sources present in an area, which are not directly measured and </w:t>
      </w:r>
      <w:proofErr w:type="gramStart"/>
      <w:r w:rsidR="001B2728" w:rsidRPr="000D74A3">
        <w:t>taken into account</w:t>
      </w:r>
      <w:proofErr w:type="gramEnd"/>
      <w:r w:rsidR="001B2728" w:rsidRPr="000D74A3">
        <w:t xml:space="preserve"> in an odour impact assessment: these may derive from vehicular traffic, emissions from vegetation, domestic heating </w:t>
      </w:r>
      <w:r w:rsidR="003F5FF1" w:rsidRPr="000D74A3">
        <w:t>etc</w:t>
      </w:r>
      <w:r w:rsidR="001B2728" w:rsidRPr="000D74A3">
        <w:t xml:space="preserve">. There are, however, geographical areas where there are </w:t>
      </w:r>
      <w:proofErr w:type="gramStart"/>
      <w:r w:rsidR="001B2728" w:rsidRPr="000D74A3">
        <w:t>particular additional</w:t>
      </w:r>
      <w:proofErr w:type="gramEnd"/>
      <w:r w:rsidR="001B2728" w:rsidRPr="000D74A3">
        <w:t xml:space="preserve"> </w:t>
      </w:r>
      <w:r w:rsidR="003F5FF1" w:rsidRPr="000D74A3">
        <w:t xml:space="preserve">odorous </w:t>
      </w:r>
      <w:r w:rsidR="001B2728" w:rsidRPr="000D74A3">
        <w:t xml:space="preserve">sources: geothermal sites. A geothermal area is a location on Earth's surface where geothermal activity occurs, </w:t>
      </w:r>
      <w:r w:rsidR="003F5FF1" w:rsidRPr="000D74A3">
        <w:t>characterised</w:t>
      </w:r>
      <w:r w:rsidR="001B2728" w:rsidRPr="000D74A3">
        <w:t xml:space="preserve"> by excess heat in the subsurface. These areas can exhibit various phenomena such as elevated surface temperatures, hydrothermal activity, fumaroles emitting volcanic gases, hot springs, steam vents, and more. In these sites, the environmental background odour may be strongly affected by the gas</w:t>
      </w:r>
      <w:r w:rsidR="003F5FF1" w:rsidRPr="000D74A3">
        <w:t>es</w:t>
      </w:r>
      <w:r w:rsidR="001B2728" w:rsidRPr="000D74A3">
        <w:t xml:space="preserve"> which are released by these sources. </w:t>
      </w:r>
      <w:r w:rsidR="003F5FF1" w:rsidRPr="000D74A3">
        <w:t xml:space="preserve">The present work aims </w:t>
      </w:r>
      <w:r w:rsidR="001B2728" w:rsidRPr="000D74A3">
        <w:t xml:space="preserve">to present the results of </w:t>
      </w:r>
      <w:r w:rsidR="003F5FF1" w:rsidRPr="000D74A3">
        <w:t xml:space="preserve">the first olfactometric </w:t>
      </w:r>
      <w:r w:rsidR="001B2728" w:rsidRPr="000D74A3">
        <w:t>field campaign conducted in the geothermal area</w:t>
      </w:r>
      <w:r w:rsidR="003F5FF1" w:rsidRPr="000D74A3">
        <w:t xml:space="preserve">. Specifically, the case-study site was </w:t>
      </w:r>
      <w:r w:rsidR="001B2728" w:rsidRPr="000D74A3">
        <w:t xml:space="preserve">Mt. </w:t>
      </w:r>
      <w:proofErr w:type="spellStart"/>
      <w:r w:rsidR="001B2728" w:rsidRPr="000D74A3">
        <w:rPr>
          <w:rFonts w:cstheme="minorHAnsi"/>
        </w:rPr>
        <w:t>Amiata</w:t>
      </w:r>
      <w:proofErr w:type="spellEnd"/>
      <w:r w:rsidR="001B2728" w:rsidRPr="000D74A3">
        <w:rPr>
          <w:rFonts w:cstheme="minorHAnsi"/>
        </w:rPr>
        <w:t xml:space="preserve">, Tuscany, Italy. </w:t>
      </w:r>
    </w:p>
    <w:p w14:paraId="2D3DA2E5" w14:textId="77777777" w:rsidR="001B2728" w:rsidRPr="000D74A3" w:rsidRDefault="001B2728" w:rsidP="00093BD6"/>
    <w:p w14:paraId="677EBFF0" w14:textId="64306BDB" w:rsidR="00600535" w:rsidRPr="000D74A3" w:rsidRDefault="00EA54A0" w:rsidP="00600535">
      <w:pPr>
        <w:pStyle w:val="CETHeading1"/>
        <w:tabs>
          <w:tab w:val="right" w:pos="7100"/>
        </w:tabs>
        <w:jc w:val="both"/>
        <w:rPr>
          <w:lang w:val="en-GB"/>
        </w:rPr>
      </w:pPr>
      <w:r w:rsidRPr="000D74A3">
        <w:rPr>
          <w:lang w:val="en-GB"/>
        </w:rPr>
        <w:lastRenderedPageBreak/>
        <w:t>Material and Methods</w:t>
      </w:r>
    </w:p>
    <w:p w14:paraId="5E6E82A3" w14:textId="65757255" w:rsidR="001B2728" w:rsidRPr="000D74A3" w:rsidRDefault="008D7B94" w:rsidP="008D7B94">
      <w:pPr>
        <w:pStyle w:val="CETheadingx"/>
        <w:rPr>
          <w:lang w:val="en-GB"/>
        </w:rPr>
      </w:pPr>
      <w:r w:rsidRPr="000D74A3">
        <w:rPr>
          <w:lang w:val="en-GB"/>
        </w:rPr>
        <w:t>Investigated area</w:t>
      </w:r>
    </w:p>
    <w:p w14:paraId="1E9BECA5" w14:textId="40A7DAC5" w:rsidR="008D7B94" w:rsidRPr="000D74A3" w:rsidRDefault="008D7B94" w:rsidP="008D7B94">
      <w:pPr>
        <w:pStyle w:val="CETBodytext"/>
        <w:rPr>
          <w:lang w:val="en-GB"/>
        </w:rPr>
      </w:pPr>
      <w:r w:rsidRPr="000D74A3">
        <w:rPr>
          <w:lang w:val="en-GB"/>
        </w:rPr>
        <w:t xml:space="preserve">The Mt. </w:t>
      </w:r>
      <w:proofErr w:type="spellStart"/>
      <w:r w:rsidRPr="000D74A3">
        <w:rPr>
          <w:lang w:val="en-GB"/>
        </w:rPr>
        <w:t>Amiata</w:t>
      </w:r>
      <w:proofErr w:type="spellEnd"/>
      <w:r w:rsidRPr="000D74A3">
        <w:rPr>
          <w:lang w:val="en-GB"/>
        </w:rPr>
        <w:t xml:space="preserve"> geothermal area</w:t>
      </w:r>
      <w:r w:rsidR="003F5FF1" w:rsidRPr="000D74A3">
        <w:rPr>
          <w:lang w:val="en-GB"/>
        </w:rPr>
        <w:t>,</w:t>
      </w:r>
      <w:r w:rsidRPr="000D74A3">
        <w:rPr>
          <w:lang w:val="en-GB"/>
        </w:rPr>
        <w:t xml:space="preserve"> in southern Tuscany, Italy</w:t>
      </w:r>
      <w:r w:rsidR="00F62155" w:rsidRPr="000D74A3">
        <w:rPr>
          <w:lang w:val="en-GB"/>
        </w:rPr>
        <w:t>,</w:t>
      </w:r>
      <w:r w:rsidRPr="000D74A3">
        <w:rPr>
          <w:lang w:val="en-GB"/>
        </w:rPr>
        <w:t xml:space="preserve"> is a well-known and extensively studied geothermal system</w:t>
      </w:r>
      <w:r w:rsidR="000D74A3" w:rsidRPr="000D74A3">
        <w:rPr>
          <w:lang w:val="en-GB"/>
        </w:rPr>
        <w:t xml:space="preserve"> </w:t>
      </w:r>
      <w:r w:rsidR="000D74A3" w:rsidRPr="000D74A3">
        <w:rPr>
          <w:lang w:val="en-GB"/>
        </w:rPr>
        <w:fldChar w:fldCharType="begin" w:fldLock="1"/>
      </w:r>
      <w:r w:rsidR="000D74A3" w:rsidRPr="000D74A3">
        <w:rPr>
          <w:lang w:val="en-GB"/>
        </w:rPr>
        <w:instrText>ADDIN CSL_CITATION {"citationItems":[{"id":"ITEM-1","itemData":{"DOI":"10.3301/IJG.2015.13","ISSN":"20381727","abstract":"This paper and the associated 1:50,000 geological map are devoted to describe the geological features of the Monte Amiata region. The tectono-stratigraphic setting of Monte Amiata region includes, from bottom to top, 1) the pre-Neogene stack of tectonic units, made up of Tuscan, Sub-Ligurian and Ligurian Tectonic Units, 2) the Neogene sedimentary deposits and 3) the Plei -stocene Radicofani and Monte Amiata volcanoes. The pre-Neogene stack of tectonic units includes, from bottom to top, the Tuscan Nappe, belonging to the Tuscan Domain, and Canetolo Tectonic Unit, belonging to the Sub-Ligurian Domain. These tectonic units, regarded as representative of the thinned continental margin of the Adria plate, are topped by the Santa Fiora and Ophiolitic Tectonic Units, interpreted as remnants of the Ligure-Piemontese oceanic basin and its transition to the Adria continental margin. All the tectonic units of the pre-Neogene stack have been affected by folds and thrusts originated during the convergence related to the Europe-Africa motion during the Middle Eocene-Early Miocene. Subsequently, these tectonic units were affected by a widespread reduction of thickness of their successions due to low-angle normal faulting related to the Middle Miocene extensional tectonics. The Neogene sedimentary deposits unconformably overlie the pre-Neogene stack of tectonic units. They consist of Upper Miocene to Pliocene continental and marine sediments, filling the Cinigiano-Baccinello, Velona, and Siena-Radicofani basins, adopting an informal hierarchy of different stratigraphic units where the first order units are synthems. The Pleistocene Radicofani and Monte Amiata volcanoes are made up by high-K basaltic andesitic to shoshonitic volcanic rocks and by trachydacitic to trachytic and olivine-latitic volcanic rocks, respectively. The geological mapping has provided evidences of a complex tectonic setting resulting from a long-lived history shifting from Cretaceous to Early Miocene compressive events to Middle Miocene extensional tectonics and Late Miocene-Pleistocene contractional and extensional events during which the Pleistocene magmatic activity occurred. In this regard, the Monte Amiata region can be regarded as a key area where the final result of a 200 Ma long geological history of the Northern Apennines is exposed.","author":[{"dropping-particle":"","family":"Marroni","given":"Michele","non-dropping-particle":"","parse-names":false,"suffix":""},{"dropping-particle":"","family":"Moratti","given":"Giovanna","non-dropping-particle":"","parse-names":false,"suffix":""},{"dropping-particle":"","family":"Costantini","given":"Armando","non-dropping-particle":"","parse-names":false,"suffix":""},{"dropping-particle":"","family":"Conticelli","given":"Sandro","non-dropping-particle":"","parse-names":false,"suffix":""},{"dropping-particle":"","family":"Benvenuti","given":"Marco G.","non-dropping-particle":"","parse-names":false,"suffix":""},{"dropping-particle":"","family":"Pandolfi","given":"Luca","non-dropping-particle":"","parse-names":false,"suffix":""},{"dropping-particle":"","family":"Bonini","given":"Marco","non-dropping-particle":"","parse-names":false,"suffix":""},{"dropping-particle":"","family":"Cornamusini","given":"Gianluca","non-dropping-particle":"","parse-names":false,"suffix":""},{"dropping-particle":"","family":"Laurenzi","given":"Marinella A.","non-dropping-particle":"","parse-names":false,"suffix":""}],"container-title":"Italian Journal of Geosciences","id":"ITEM-1","issue":"2","issued":{"date-parts":[["2015"]]},"page":"171-199","title":"Geology of the Monte Amiata Region, Southern Tuscany, Central Italy","type":"article-journal","volume":"134"},"uris":["http://www.mendeley.com/documents/?uuid=23e2ab4e-33fd-41e7-b291-5375520a6883"]}],"mendeley":{"formattedCitation":"(Marroni et al., 2015)","plainTextFormattedCitation":"(Marroni et al., 2015)","previouslyFormattedCitation":"(Marroni et al., 2015)"},"properties":{"noteIndex":0},"schema":"https://github.com/citation-style-language/schema/raw/master/csl-citation.json"}</w:instrText>
      </w:r>
      <w:r w:rsidR="000D74A3" w:rsidRPr="000D74A3">
        <w:rPr>
          <w:lang w:val="en-GB"/>
        </w:rPr>
        <w:fldChar w:fldCharType="separate"/>
      </w:r>
      <w:r w:rsidR="000D74A3" w:rsidRPr="000D74A3">
        <w:rPr>
          <w:noProof/>
          <w:lang w:val="en-GB"/>
        </w:rPr>
        <w:t>(Marroni et al., 2015)</w:t>
      </w:r>
      <w:r w:rsidR="000D74A3" w:rsidRPr="000D74A3">
        <w:rPr>
          <w:lang w:val="en-GB"/>
        </w:rPr>
        <w:fldChar w:fldCharType="end"/>
      </w:r>
      <w:r w:rsidRPr="000D74A3">
        <w:rPr>
          <w:lang w:val="en-GB"/>
        </w:rPr>
        <w:t xml:space="preserve">. </w:t>
      </w:r>
      <w:r w:rsidR="0023411C" w:rsidRPr="000D74A3">
        <w:rPr>
          <w:lang w:val="en-GB"/>
        </w:rPr>
        <w:t>The area was historically known for the exploitation of cinnabar mines. Further e</w:t>
      </w:r>
      <w:r w:rsidRPr="000D74A3">
        <w:rPr>
          <w:lang w:val="en-GB"/>
        </w:rPr>
        <w:t>xploration of the area began in the 1950s, and it has since become an important source of geothermal energy production in Italy</w:t>
      </w:r>
      <w:r w:rsidR="000D74A3" w:rsidRPr="000D74A3">
        <w:rPr>
          <w:lang w:val="en-GB"/>
        </w:rPr>
        <w:t xml:space="preserve"> </w:t>
      </w:r>
      <w:r w:rsidR="000D74A3" w:rsidRPr="000D74A3">
        <w:rPr>
          <w:lang w:val="en-GB"/>
        </w:rPr>
        <w:fldChar w:fldCharType="begin" w:fldLock="1"/>
      </w:r>
      <w:r w:rsidR="0089203B">
        <w:rPr>
          <w:lang w:val="en-GB"/>
        </w:rPr>
        <w:instrText>ADDIN CSL_CITATION {"citationItems":[{"id":"ITEM-1","itemData":{"abstract":"of the 50’s, and the first overview of the geothermal system was carried out on 1970. After more than 30 years, all the data acquired during the exploration and exploitation activities allowed a significant update of this system. Data from more than 100 drillings (500-4000 m depth), as well as from many geophysical, geological, structural, and hydrogeological studies have been utilized for defining the geothermal model. Two distinct geothermal water dominated reservoirs are present. The first is hosted in Mesozoic, carbonatic formations at depths ranging between 500-1000 m, the second, and deeper one in the Paleozoic, metamorphic basement at depths of 2500-4000 m. These two reservoirs are characterized by different temperatures (150-220°C the shallower one, 300-350°C the deeper one) and, although they are in hydrostatic equilibrium, they are separated by a low permeable layer as evidenced by the temperature profiles of deep wells. These characteristics are common for both the Bagnore and the Piancastagnaio fields presently under exploitation. An important phreatic aquifer is hosted in the Mt. Amiata volcanic complex that overlies the cap rock of the system, and is separated from the shallow carbonatic geothermal reservoir by a few hundred meters of impermeable shaly formations in flysch facies. Hydrological, structural, and production data demonstrate that no interferences occur between the phreatic aquifer and the geothermal reservoir. Furthermore, the numerical modeling of the whole geothermal system demonstrates that a hypothetic water recharge from the phreatic aquifer to the shallow geothermal reservoir can be at most 0.01 m3/s, in order to preserve the currently observed thermal anomaly.","author":[{"dropping-particle":"","family":"Barelli","given":"Antonio","non-dropping-particle":"","parse-names":false,"suffix":""},{"dropping-particle":"","family":"Ceccarelli","given":"Armando","non-dropping-particle":"","parse-names":false,"suffix":""},{"dropping-particle":"","family":"Fiordelisi","given":"Adolfo","non-dropping-particle":"","parse-names":false,"suffix":""},{"dropping-particle":"","family":"Giorgi","given":"Nadia","non-dropping-particle":"","parse-names":false,"suffix":""},{"dropping-particle":"","family":"Lovari","given":"Ferinando","non-dropping-particle":"","parse-names":false,"suffix":""},{"dropping-particle":"","family":"Romagnoli","given":"Paolo","non-dropping-particle":"","parse-names":false,"suffix":""}],"container-title":"A Review of the Mt. Amiata Geothermal System (Italy)","id":"ITEM-1","issued":{"date-parts":[["2010"]]},"title":"A review of the Mt. Amiata geothermal system (Italy)","type":"paper-conference"},"uris":["http://www.mendeley.com/documents/?uuid=b26effb7-f46a-4eb6-b5c6-18d19db0a877"]},{"id":"ITEM-2","itemData":{"DOI":"10.3390/en7117434","ISSN":"19961073","abstract":"In this paper we build a subsurface model that helps in visualizing and understanding the structural framework, geology and their interactions with the Mt. Amiata geothermal system. Modelling in 3D provides the possibility to interpolate the geometry of structures and is an effective way of understanding geological features. The 3D modelling approach appears to be crucial for further progress in the reconstruction of the assessment of the geothermal model of Mt. Amiata. Furthermore, this model is used as the basis of a 3D numerical thermo-fluid-dynamic model of the existing reservoir(s). The integration between borehole data and numerical modelling results allows reconstructing the temperature distribution in the subsoil of the Mt. Amiata area.","author":[{"dropping-particle":"","family":"Fulignati","given":"Paolo","non-dropping-particle":"","parse-names":false,"suffix":""},{"dropping-particle":"","family":"Marianelli","given":"Paola","non-dropping-particle":"","parse-names":false,"suffix":""},{"dropping-particle":"","family":"Sbrana","given":"Alessandro","non-dropping-particle":"","parse-names":false,"suffix":""},{"dropping-particle":"","family":"Ciani","given":"Valentina","non-dropping-particle":"","parse-names":false,"suffix":""}],"container-title":"Energies","id":"ITEM-2","issued":{"date-parts":[["2014"]]},"page":"7434-7453","title":"3D geothermal modelling of the mount amiata hydrothermal system in Italy","type":"article-journal","volume":"7"},"uris":["http://www.mendeley.com/documents/?uuid=0d5fb247-9185-42bd-bb3f-dbe4dbc9594b"]}],"mendeley":{"formattedCitation":"(Barelli et al., 2010; Fulignati et al., 2014)","plainTextFormattedCitation":"(Barelli et al., 2010; Fulignati et al., 2014)","previouslyFormattedCitation":"(Barelli et al., 2010; Fulignati et al., 2014)"},"properties":{"noteIndex":0},"schema":"https://github.com/citation-style-language/schema/raw/master/csl-citation.json"}</w:instrText>
      </w:r>
      <w:r w:rsidR="000D74A3" w:rsidRPr="000D74A3">
        <w:rPr>
          <w:lang w:val="en-GB"/>
        </w:rPr>
        <w:fldChar w:fldCharType="separate"/>
      </w:r>
      <w:r w:rsidR="000D74A3" w:rsidRPr="000D74A3">
        <w:rPr>
          <w:noProof/>
          <w:lang w:val="en-GB"/>
        </w:rPr>
        <w:t>(Barelli et al., 2010; Fulignati et al., 2014)</w:t>
      </w:r>
      <w:r w:rsidR="000D74A3" w:rsidRPr="000D74A3">
        <w:rPr>
          <w:lang w:val="en-GB"/>
        </w:rPr>
        <w:fldChar w:fldCharType="end"/>
      </w:r>
      <w:r w:rsidRPr="000D74A3">
        <w:rPr>
          <w:lang w:val="en-GB"/>
        </w:rPr>
        <w:t xml:space="preserve">. The geothermal system </w:t>
      </w:r>
      <w:r w:rsidR="003F5FF1" w:rsidRPr="000D74A3">
        <w:rPr>
          <w:lang w:val="en-GB"/>
        </w:rPr>
        <w:t>of</w:t>
      </w:r>
      <w:r w:rsidRPr="000D74A3">
        <w:rPr>
          <w:lang w:val="en-GB"/>
        </w:rPr>
        <w:t xml:space="preserve"> Mt. </w:t>
      </w:r>
      <w:proofErr w:type="spellStart"/>
      <w:r w:rsidRPr="000D74A3">
        <w:rPr>
          <w:lang w:val="en-GB"/>
        </w:rPr>
        <w:t>Amiata</w:t>
      </w:r>
      <w:proofErr w:type="spellEnd"/>
      <w:r w:rsidRPr="000D74A3">
        <w:rPr>
          <w:lang w:val="en-GB"/>
        </w:rPr>
        <w:t xml:space="preserve"> is characterized by deep and shallow geothermal reservoirs that are separated by a low permeability layer, although they are in hydrostatic equilibrium. The deep geothermal reservoir is exploited for electricity generation through flash-type power plants, while the shallow reservoir supplies heat for </w:t>
      </w:r>
      <w:r w:rsidR="003F5FF1" w:rsidRPr="000D74A3">
        <w:rPr>
          <w:lang w:val="en-GB"/>
        </w:rPr>
        <w:t>direct-use</w:t>
      </w:r>
      <w:r w:rsidRPr="000D74A3">
        <w:rPr>
          <w:lang w:val="en-GB"/>
        </w:rPr>
        <w:t xml:space="preserve"> applications. There exist different </w:t>
      </w:r>
      <w:r w:rsidR="003F5FF1" w:rsidRPr="000D74A3">
        <w:rPr>
          <w:lang w:val="en-GB"/>
        </w:rPr>
        <w:t>kinds</w:t>
      </w:r>
      <w:r w:rsidRPr="000D74A3">
        <w:rPr>
          <w:lang w:val="en-GB"/>
        </w:rPr>
        <w:t xml:space="preserve"> of </w:t>
      </w:r>
      <w:r w:rsidR="0023411C" w:rsidRPr="000D74A3">
        <w:rPr>
          <w:lang w:val="en-GB"/>
        </w:rPr>
        <w:t xml:space="preserve">natural </w:t>
      </w:r>
      <w:r w:rsidRPr="000D74A3">
        <w:rPr>
          <w:lang w:val="en-GB"/>
        </w:rPr>
        <w:t xml:space="preserve">endogenous gas emissions </w:t>
      </w:r>
      <w:r w:rsidR="003F5FF1" w:rsidRPr="000D74A3">
        <w:rPr>
          <w:lang w:val="en-GB"/>
        </w:rPr>
        <w:t>on</w:t>
      </w:r>
      <w:r w:rsidRPr="000D74A3">
        <w:rPr>
          <w:lang w:val="en-GB"/>
        </w:rPr>
        <w:t xml:space="preserve"> the site: the diffuse and the spotted</w:t>
      </w:r>
      <w:r w:rsidR="0023411C" w:rsidRPr="000D74A3">
        <w:rPr>
          <w:lang w:val="en-GB"/>
        </w:rPr>
        <w:t xml:space="preserve"> ones</w:t>
      </w:r>
      <w:r w:rsidRPr="000D74A3">
        <w:rPr>
          <w:lang w:val="en-GB"/>
        </w:rPr>
        <w:t xml:space="preserve">. In the present study, only </w:t>
      </w:r>
      <w:r w:rsidR="003F5FF1" w:rsidRPr="000D74A3">
        <w:rPr>
          <w:lang w:val="en-GB"/>
        </w:rPr>
        <w:t>spot-vented</w:t>
      </w:r>
      <w:r w:rsidRPr="000D74A3">
        <w:rPr>
          <w:lang w:val="en-GB"/>
        </w:rPr>
        <w:t xml:space="preserve"> emissions </w:t>
      </w:r>
      <w:r w:rsidR="0053166B" w:rsidRPr="000D74A3">
        <w:rPr>
          <w:lang w:val="en-GB"/>
        </w:rPr>
        <w:t>were</w:t>
      </w:r>
      <w:r w:rsidRPr="000D74A3">
        <w:rPr>
          <w:lang w:val="en-GB"/>
        </w:rPr>
        <w:t xml:space="preserve"> </w:t>
      </w:r>
      <w:r w:rsidR="0053166B" w:rsidRPr="000D74A3">
        <w:rPr>
          <w:lang w:val="en-GB"/>
        </w:rPr>
        <w:t>considered</w:t>
      </w:r>
      <w:r w:rsidRPr="000D74A3">
        <w:rPr>
          <w:lang w:val="en-GB"/>
        </w:rPr>
        <w:t xml:space="preserve">. For further details about the diffuse emission please refer to </w:t>
      </w:r>
      <w:r w:rsidR="000D74A3" w:rsidRPr="000D74A3">
        <w:rPr>
          <w:lang w:val="en-GB"/>
        </w:rPr>
        <w:fldChar w:fldCharType="begin" w:fldLock="1"/>
      </w:r>
      <w:r w:rsidR="000D74A3" w:rsidRPr="000D74A3">
        <w:rPr>
          <w:lang w:val="en-GB"/>
        </w:rPr>
        <w:instrText>ADDIN CSL_CITATION {"citationItems":[{"id":"ITEM-1","itemData":{"DOI":"10.1016/j.jvolgeores.2020.106852","ISSN":"03770273","abstract":"In the Amiata volcanic–geothermal area, natural soil degassing of CO2 is particularly intense and observed over a wide area, including the volcano complex and its surroundings. A survey systematically and directly measured the natural total soil CO2 flux over the whole area, comprising 2482 measurements over an area approximately 225 km2. Sequential Gaussian simulations generated CO2 flux maps for the entire survey area. These data, when combined with evidence from concentrated degassing emissions, provided an estimate of the area's total CO2 flux (biogenic plus deep CO2) as 13,350 t/d. This mapping and estimation greatly improve the knowledge and understanding of natural CO2 degassing to the atmosphere from this well-known volcanic geothermal area. High values of diffuse CO2 soil flux correspond to both high- and low-enthalpy geothermal areas, confirming the value of the CO2 flux survey methodology to individualize and delimitate geothermal fields and geothermal resources.","author":[{"dropping-particle":"","family":"Sbrana","given":"A.","non-dropping-particle":"","parse-names":false,"suffix":""},{"dropping-particle":"","family":"Marianelli","given":"P.","non-dropping-particle":"","parse-names":false,"suffix":""},{"dropping-particle":"","family":"Belgiorno","given":"M.","non-dropping-particle":"","parse-names":false,"suffix":""},{"dropping-particle":"","family":"Sbrana","given":"M.","non-dropping-particle":"","parse-names":false,"suffix":""},{"dropping-particle":"","family":"Ciani","given":"V.","non-dropping-particle":"","parse-names":false,"suffix":""}],"container-title":"Journal of Volcanology and Geothermal Research","id":"ITEM-1","issued":{"date-parts":[["2020"]]},"page":"106852","publisher":"Elsevier B.V.","title":"Natural CO2 degassing in the Mount Amiata volcanic–geothermal area","type":"article-journal","volume":"397"},"uris":["http://www.mendeley.com/documents/?uuid=81e8a739-89b3-40a5-847c-f8ef5395ecf4"]}],"mendeley":{"formattedCitation":"(Sbrana et al., 2020)","plainTextFormattedCitation":"(Sbrana et al., 2020)","previouslyFormattedCitation":"(Sbrana et al., 2020)"},"properties":{"noteIndex":0},"schema":"https://github.com/citation-style-language/schema/raw/master/csl-citation.json"}</w:instrText>
      </w:r>
      <w:r w:rsidR="000D74A3" w:rsidRPr="000D74A3">
        <w:rPr>
          <w:lang w:val="en-GB"/>
        </w:rPr>
        <w:fldChar w:fldCharType="separate"/>
      </w:r>
      <w:r w:rsidR="000D74A3" w:rsidRPr="000D74A3">
        <w:rPr>
          <w:noProof/>
          <w:lang w:val="en-GB"/>
        </w:rPr>
        <w:t>Sbrana et al.</w:t>
      </w:r>
      <w:r w:rsidR="003A7FB4">
        <w:rPr>
          <w:noProof/>
          <w:lang w:val="en-GB"/>
        </w:rPr>
        <w:t xml:space="preserve"> (</w:t>
      </w:r>
      <w:r w:rsidR="000D74A3" w:rsidRPr="000D74A3">
        <w:rPr>
          <w:noProof/>
          <w:lang w:val="en-GB"/>
        </w:rPr>
        <w:t>2020)</w:t>
      </w:r>
      <w:r w:rsidR="000D74A3" w:rsidRPr="000D74A3">
        <w:rPr>
          <w:lang w:val="en-GB"/>
        </w:rPr>
        <w:fldChar w:fldCharType="end"/>
      </w:r>
      <w:r w:rsidR="0023411C" w:rsidRPr="000D74A3">
        <w:rPr>
          <w:lang w:val="en-GB"/>
        </w:rPr>
        <w:t xml:space="preserve">. </w:t>
      </w:r>
    </w:p>
    <w:p w14:paraId="30FDAC21" w14:textId="3C361C80" w:rsidR="008D7B94" w:rsidRPr="000D74A3" w:rsidRDefault="008D7B94" w:rsidP="008D7B94">
      <w:pPr>
        <w:pStyle w:val="CETBodytext"/>
        <w:rPr>
          <w:lang w:val="en-GB"/>
        </w:rPr>
      </w:pPr>
      <w:r w:rsidRPr="000D74A3">
        <w:rPr>
          <w:lang w:val="en-GB"/>
        </w:rPr>
        <w:t xml:space="preserve">Several are the spot vents present in the area: after preliminary field inspections, only </w:t>
      </w:r>
      <w:r w:rsidR="003F5FF1" w:rsidRPr="000D74A3">
        <w:rPr>
          <w:lang w:val="en-GB"/>
        </w:rPr>
        <w:t xml:space="preserve">the </w:t>
      </w:r>
      <w:r w:rsidRPr="000D74A3">
        <w:rPr>
          <w:lang w:val="en-GB"/>
        </w:rPr>
        <w:t xml:space="preserve">most interesting spot </w:t>
      </w:r>
      <w:r w:rsidR="003F5FF1" w:rsidRPr="000D74A3">
        <w:rPr>
          <w:lang w:val="en-GB"/>
        </w:rPr>
        <w:t>vents</w:t>
      </w:r>
      <w:r w:rsidRPr="000D74A3">
        <w:rPr>
          <w:lang w:val="en-GB"/>
        </w:rPr>
        <w:t xml:space="preserve"> have been considered</w:t>
      </w:r>
      <w:r w:rsidR="000367FB" w:rsidRPr="000D74A3">
        <w:rPr>
          <w:lang w:val="en-GB"/>
        </w:rPr>
        <w:t>. T</w:t>
      </w:r>
      <w:r w:rsidRPr="000D74A3">
        <w:rPr>
          <w:lang w:val="en-GB"/>
        </w:rPr>
        <w:t xml:space="preserve">he results obtained by the major 15 sources, over the more than 50 </w:t>
      </w:r>
      <w:r w:rsidR="000367FB" w:rsidRPr="000D74A3">
        <w:rPr>
          <w:lang w:val="en-GB"/>
        </w:rPr>
        <w:t xml:space="preserve">discovered, are </w:t>
      </w:r>
      <w:r w:rsidR="003F5FF1" w:rsidRPr="000D74A3">
        <w:rPr>
          <w:lang w:val="en-GB"/>
        </w:rPr>
        <w:t>presented here</w:t>
      </w:r>
      <w:r w:rsidR="000367FB" w:rsidRPr="000D74A3">
        <w:rPr>
          <w:lang w:val="en-GB"/>
        </w:rPr>
        <w:t xml:space="preserve">. </w:t>
      </w:r>
      <w:r w:rsidR="0053166B" w:rsidRPr="000D74A3">
        <w:rPr>
          <w:lang w:val="en-GB"/>
        </w:rPr>
        <w:fldChar w:fldCharType="begin"/>
      </w:r>
      <w:r w:rsidR="0053166B" w:rsidRPr="000D74A3">
        <w:rPr>
          <w:lang w:val="en-GB"/>
        </w:rPr>
        <w:instrText xml:space="preserve"> REF _Ref165198557 \h </w:instrText>
      </w:r>
      <w:r w:rsidR="0053166B" w:rsidRPr="000D74A3">
        <w:rPr>
          <w:lang w:val="en-GB"/>
        </w:rPr>
      </w:r>
      <w:r w:rsidR="0053166B" w:rsidRPr="000D74A3">
        <w:rPr>
          <w:lang w:val="en-GB"/>
        </w:rPr>
        <w:fldChar w:fldCharType="separate"/>
      </w:r>
      <w:r w:rsidR="0053166B" w:rsidRPr="000D74A3">
        <w:rPr>
          <w:lang w:val="en-GB"/>
        </w:rPr>
        <w:t>Figure 1</w:t>
      </w:r>
      <w:r w:rsidR="0053166B" w:rsidRPr="000D74A3">
        <w:rPr>
          <w:lang w:val="en-GB"/>
        </w:rPr>
        <w:fldChar w:fldCharType="end"/>
      </w:r>
      <w:r w:rsidR="000367FB" w:rsidRPr="000D74A3">
        <w:rPr>
          <w:lang w:val="en-GB"/>
        </w:rPr>
        <w:t xml:space="preserve"> </w:t>
      </w:r>
      <w:r w:rsidR="003F5FF1" w:rsidRPr="000D74A3">
        <w:rPr>
          <w:lang w:val="en-GB"/>
        </w:rPr>
        <w:t>presents</w:t>
      </w:r>
      <w:r w:rsidR="000367FB" w:rsidRPr="000D74A3">
        <w:rPr>
          <w:lang w:val="en-GB"/>
        </w:rPr>
        <w:t xml:space="preserve"> some examples of sampled spot vents. </w:t>
      </w:r>
    </w:p>
    <w:p w14:paraId="4B1DE415" w14:textId="77777777" w:rsidR="0053166B" w:rsidRPr="000D74A3" w:rsidRDefault="0053166B" w:rsidP="0053166B">
      <w:pPr>
        <w:pStyle w:val="CETBodytext"/>
        <w:keepNext/>
        <w:rPr>
          <w:lang w:val="en-GB"/>
        </w:rPr>
      </w:pPr>
      <w:r w:rsidRPr="000D74A3">
        <w:rPr>
          <w:noProof/>
          <w:lang w:val="en-GB"/>
        </w:rPr>
        <w:drawing>
          <wp:inline distT="0" distB="0" distL="0" distR="0" wp14:anchorId="73A9EF76" wp14:editId="0081BD6A">
            <wp:extent cx="5580000" cy="5582317"/>
            <wp:effectExtent l="0" t="0" r="1905" b="0"/>
            <wp:docPr id="21103133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580000" cy="5582317"/>
                    </a:xfrm>
                    <a:prstGeom prst="rect">
                      <a:avLst/>
                    </a:prstGeom>
                    <a:noFill/>
                  </pic:spPr>
                </pic:pic>
              </a:graphicData>
            </a:graphic>
          </wp:inline>
        </w:drawing>
      </w:r>
    </w:p>
    <w:p w14:paraId="4A12E0CC" w14:textId="264D9238" w:rsidR="000367FB" w:rsidRPr="000D74A3" w:rsidRDefault="0053166B" w:rsidP="0053166B">
      <w:pPr>
        <w:pStyle w:val="CETCaption"/>
      </w:pPr>
      <w:bookmarkStart w:id="0" w:name="_Ref165198557"/>
      <w:r w:rsidRPr="000D74A3">
        <w:t xml:space="preserve">Figure </w:t>
      </w:r>
      <w:r w:rsidRPr="000D74A3">
        <w:fldChar w:fldCharType="begin"/>
      </w:r>
      <w:r w:rsidRPr="000D74A3">
        <w:instrText xml:space="preserve"> SEQ Figure \* ARABIC </w:instrText>
      </w:r>
      <w:r w:rsidRPr="000D74A3">
        <w:fldChar w:fldCharType="separate"/>
      </w:r>
      <w:r w:rsidR="00AB5F78" w:rsidRPr="000D74A3">
        <w:t>1</w:t>
      </w:r>
      <w:r w:rsidRPr="000D74A3">
        <w:fldChar w:fldCharType="end"/>
      </w:r>
      <w:bookmarkEnd w:id="0"/>
      <w:r w:rsidRPr="000D74A3">
        <w:t xml:space="preserve">. Example of investigated spot vents: a. </w:t>
      </w:r>
      <w:proofErr w:type="spellStart"/>
      <w:r w:rsidRPr="000D74A3">
        <w:t>Anteie</w:t>
      </w:r>
      <w:proofErr w:type="spellEnd"/>
      <w:r w:rsidRPr="000D74A3">
        <w:t xml:space="preserve"> 1 (</w:t>
      </w:r>
      <w:proofErr w:type="spellStart"/>
      <w:r w:rsidRPr="000D74A3">
        <w:t>Anteie</w:t>
      </w:r>
      <w:proofErr w:type="spellEnd"/>
      <w:r w:rsidRPr="000D74A3">
        <w:t xml:space="preserve"> tunnel) (Lat. 42.8231°; Long. 11.5472°); b. </w:t>
      </w:r>
      <w:proofErr w:type="spellStart"/>
      <w:r w:rsidRPr="000D74A3">
        <w:t>Selvena</w:t>
      </w:r>
      <w:proofErr w:type="spellEnd"/>
      <w:r w:rsidRPr="000D74A3">
        <w:t xml:space="preserve"> 1</w:t>
      </w:r>
      <w:r w:rsidR="00331F6D" w:rsidRPr="000D74A3">
        <w:t xml:space="preserve"> </w:t>
      </w:r>
      <w:r w:rsidRPr="000D74A3">
        <w:t xml:space="preserve">(Lat. 42.7748°; Long. 11.6276°); c. The Hole (Lat. 42.9227; Long. 11.6866°); d. Campo la Villa (Lat. 42.9325°; Long. 11.6886°). </w:t>
      </w:r>
    </w:p>
    <w:p w14:paraId="3F9288F5" w14:textId="5E7604A6" w:rsidR="000367FB" w:rsidRPr="000D74A3" w:rsidRDefault="000367FB" w:rsidP="000367FB">
      <w:pPr>
        <w:pStyle w:val="CETheadingx"/>
        <w:rPr>
          <w:lang w:val="en-GB"/>
        </w:rPr>
      </w:pPr>
      <w:r w:rsidRPr="000D74A3">
        <w:rPr>
          <w:lang w:val="en-GB"/>
        </w:rPr>
        <w:lastRenderedPageBreak/>
        <w:t>Odour concentration measurement</w:t>
      </w:r>
    </w:p>
    <w:p w14:paraId="1235C61E" w14:textId="1587DFFF" w:rsidR="0053166B" w:rsidRPr="000D74A3" w:rsidRDefault="0053166B" w:rsidP="0053166B">
      <w:pPr>
        <w:pStyle w:val="CETBodytext"/>
        <w:rPr>
          <w:lang w:val="en-GB"/>
        </w:rPr>
      </w:pPr>
      <w:r w:rsidRPr="000D74A3">
        <w:rPr>
          <w:lang w:val="en-GB"/>
        </w:rPr>
        <w:t xml:space="preserve">Dynamic olfactometry is the standardized sensorial method used to objectively measure the </w:t>
      </w:r>
      <w:r w:rsidR="003F5FF1" w:rsidRPr="000D74A3">
        <w:rPr>
          <w:lang w:val="en-GB"/>
        </w:rPr>
        <w:t xml:space="preserve">odour </w:t>
      </w:r>
      <w:r w:rsidRPr="000D74A3">
        <w:rPr>
          <w:lang w:val="en-GB"/>
        </w:rPr>
        <w:t xml:space="preserve">concentration of </w:t>
      </w:r>
      <w:r w:rsidR="003F5FF1" w:rsidRPr="000D74A3">
        <w:rPr>
          <w:lang w:val="en-GB"/>
        </w:rPr>
        <w:t>gaseous mixtures</w:t>
      </w:r>
      <w:r w:rsidRPr="000D74A3">
        <w:rPr>
          <w:lang w:val="en-GB"/>
        </w:rPr>
        <w:t>. It involves presenting an odorous air sample to a panel of trained assessors and determining the dilution factor required to reach the odour detection threshold, where 50% of the panel can perceive the odour</w:t>
      </w:r>
      <w:r w:rsidR="000D74A3" w:rsidRPr="000D74A3">
        <w:rPr>
          <w:lang w:val="en-GB"/>
        </w:rPr>
        <w:t xml:space="preserve"> </w:t>
      </w:r>
      <w:r w:rsidR="000D74A3" w:rsidRPr="000D74A3">
        <w:rPr>
          <w:lang w:val="en-GB"/>
        </w:rPr>
        <w:fldChar w:fldCharType="begin" w:fldLock="1"/>
      </w:r>
      <w:r w:rsidR="0089203B">
        <w:rPr>
          <w:lang w:val="en-GB"/>
        </w:rPr>
        <w:instrText>ADDIN CSL_CITATION {"citationItems":[{"id":"ITEM-1","itemData":{"DOI":"10.3390/atmos11010092","ISSN":"20734433","abstract":"In recent years, citizens' attention towards air quality and pollution has increased significantly, and nowadays, odor pollution related to different industrial activities is recognized as a well-known environmental issue. For this reason, odors are subjected to control and regulation in many countries, and specific methods for odor measurement have been developed and standardized over the years. This paper, conceived within the H2020 D-NOSES project, summarizes odor measurement techniques, highlighting their applicability, advantages, and limits, with the aim of providing experienced as well as non-experienced users a useful tool that can be consulted in the management of specific odor problems for evaluating and identifying the most suitable approach. The paper also presents relevant examples of the application of the different methods discussed, thereby mainly referring to scientific articles published over the last 10 years.","author":[{"dropping-particle":"","family":"Bax","given":"Carmen","non-dropping-particle":"","parse-names":false,"suffix":""},{"dropping-particle":"","family":"Sironi","given":"Selena","non-dropping-particle":"","parse-names":false,"suffix":""},{"dropping-particle":"","family":"Capelli","given":"Laura","non-dropping-particle":"","parse-names":false,"suffix":""}],"container-title":"Atmosphere","id":"ITEM-1","issue":"92","issued":{"date-parts":[["2020"]]},"title":"How can odors be measured? An overview of methods and their applications","type":"article-journal","volume":"11"},"uris":["http://www.mendeley.com/documents/?uuid=daeb209f-f13c-4ec1-bf7f-7f08fae2dfce"]},{"id":"ITEM-2","itemData":{"DOI":"10.3303/CET2185020","ISBN":"9788895608839","ISSN":"22839216","abstract":"On the 20th of November 2012 the first meeting took place of Working Group 2, tasked by CEN/TC274 \"Air Quality\"to revise EN 13725:2003 'Air Quality - Determination of odour concentration by dynamic olfactometry'. After 8 years of work and 17 meetings, the work is finally completed and submitted for formal vote in the CEN Technical Committee 264 \"Air Quality\"in 2021. This paper describes some of the important changes that will affect the practice of olfactometry in Europe, once this standard is published as EN 13725:2021.","author":[{"dropping-particle":"","family":"Harreveld","given":"Anton P.","non-dropping-particle":"","parse-names":false,"suffix":""}],"container-title":"Chemical Engineering Transactions","id":"ITEM-2","issued":{"date-parts":[["2021"]]},"page":"115-120","title":"Update on the new EN 13725:2021","type":"article-journal","volume":"85"},"uris":["http://www.mendeley.com/documents/?uuid=8fcbfccc-26b5-44eb-9239-4893db1956d3"]}],"mendeley":{"formattedCitation":"(Bax et al., 2020; Harreveld, 2021)","plainTextFormattedCitation":"(Bax et al., 2020; Harreveld, 2021)","previouslyFormattedCitation":"(Bax et al., 2020; Harreveld, 2021)"},"properties":{"noteIndex":0},"schema":"https://github.com/citation-style-language/schema/raw/master/csl-citation.json"}</w:instrText>
      </w:r>
      <w:r w:rsidR="000D74A3" w:rsidRPr="000D74A3">
        <w:rPr>
          <w:lang w:val="en-GB"/>
        </w:rPr>
        <w:fldChar w:fldCharType="separate"/>
      </w:r>
      <w:r w:rsidR="000D74A3" w:rsidRPr="000D74A3">
        <w:rPr>
          <w:noProof/>
          <w:lang w:val="en-GB"/>
        </w:rPr>
        <w:t>(Bax et al., 2020; Harreveld, 2021)</w:t>
      </w:r>
      <w:r w:rsidR="000D74A3" w:rsidRPr="000D74A3">
        <w:rPr>
          <w:lang w:val="en-GB"/>
        </w:rPr>
        <w:fldChar w:fldCharType="end"/>
      </w:r>
      <w:r w:rsidRPr="000D74A3">
        <w:rPr>
          <w:lang w:val="en-GB"/>
        </w:rPr>
        <w:t>. The sample</w:t>
      </w:r>
      <w:r w:rsidR="00107FF8" w:rsidRPr="000D74A3">
        <w:rPr>
          <w:lang w:val="en-GB"/>
        </w:rPr>
        <w:t xml:space="preserve">s, withdrawn at the emission sites in </w:t>
      </w:r>
      <w:r w:rsidR="003F5FF1" w:rsidRPr="000D74A3">
        <w:rPr>
          <w:lang w:val="en-GB"/>
        </w:rPr>
        <w:t>6-litre</w:t>
      </w:r>
      <w:r w:rsidR="00107FF8" w:rsidRPr="000D74A3">
        <w:rPr>
          <w:lang w:val="en-GB"/>
        </w:rPr>
        <w:t xml:space="preserve"> </w:t>
      </w:r>
      <w:proofErr w:type="spellStart"/>
      <w:r w:rsidR="00107FF8" w:rsidRPr="000D74A3">
        <w:rPr>
          <w:lang w:val="en-GB"/>
        </w:rPr>
        <w:t>Nalophan</w:t>
      </w:r>
      <w:r w:rsidR="00107FF8" w:rsidRPr="000D74A3">
        <w:rPr>
          <w:vertAlign w:val="superscript"/>
          <w:lang w:val="en-GB"/>
        </w:rPr>
        <w:t>TM</w:t>
      </w:r>
      <w:proofErr w:type="spellEnd"/>
      <w:r w:rsidR="00107FF8" w:rsidRPr="000D74A3">
        <w:rPr>
          <w:lang w:val="en-GB"/>
        </w:rPr>
        <w:t xml:space="preserve"> bags</w:t>
      </w:r>
      <w:r w:rsidR="006E240A" w:rsidRPr="000D74A3">
        <w:rPr>
          <w:lang w:val="en-GB"/>
        </w:rPr>
        <w:t xml:space="preserve"> via </w:t>
      </w:r>
      <w:r w:rsidR="003F5FF1" w:rsidRPr="000D74A3">
        <w:rPr>
          <w:lang w:val="en-GB"/>
        </w:rPr>
        <w:t xml:space="preserve">a </w:t>
      </w:r>
      <w:r w:rsidR="006E240A" w:rsidRPr="000D74A3">
        <w:rPr>
          <w:lang w:val="en-GB"/>
        </w:rPr>
        <w:t>vacuum pump</w:t>
      </w:r>
      <w:r w:rsidR="00107FF8" w:rsidRPr="000D74A3">
        <w:rPr>
          <w:lang w:val="en-GB"/>
        </w:rPr>
        <w:t>,</w:t>
      </w:r>
      <w:r w:rsidRPr="000D74A3">
        <w:rPr>
          <w:lang w:val="en-GB"/>
        </w:rPr>
        <w:t xml:space="preserve"> </w:t>
      </w:r>
      <w:r w:rsidR="00107FF8" w:rsidRPr="000D74A3">
        <w:rPr>
          <w:lang w:val="en-GB"/>
        </w:rPr>
        <w:t>were</w:t>
      </w:r>
      <w:r w:rsidRPr="000D74A3">
        <w:rPr>
          <w:lang w:val="en-GB"/>
        </w:rPr>
        <w:t xml:space="preserve"> diluted with odour-free air in an olfactometer device, and the panellists indicate</w:t>
      </w:r>
      <w:r w:rsidR="00AA24C2" w:rsidRPr="000D74A3">
        <w:rPr>
          <w:lang w:val="en-GB"/>
        </w:rPr>
        <w:t>d</w:t>
      </w:r>
      <w:r w:rsidRPr="000D74A3">
        <w:rPr>
          <w:lang w:val="en-GB"/>
        </w:rPr>
        <w:t xml:space="preserve"> when they first detect </w:t>
      </w:r>
      <w:r w:rsidR="003F5FF1" w:rsidRPr="000D74A3">
        <w:rPr>
          <w:lang w:val="en-GB"/>
        </w:rPr>
        <w:t xml:space="preserve">a </w:t>
      </w:r>
      <w:r w:rsidR="00AA24C2" w:rsidRPr="000D74A3">
        <w:rPr>
          <w:lang w:val="en-GB"/>
        </w:rPr>
        <w:t xml:space="preserve">perceivable </w:t>
      </w:r>
      <w:r w:rsidRPr="000D74A3">
        <w:rPr>
          <w:lang w:val="en-GB"/>
        </w:rPr>
        <w:t xml:space="preserve">odour. </w:t>
      </w:r>
      <w:r w:rsidR="00AA24C2" w:rsidRPr="000D74A3">
        <w:rPr>
          <w:lang w:val="en-GB"/>
        </w:rPr>
        <w:t>According to the</w:t>
      </w:r>
      <w:r w:rsidRPr="000D74A3">
        <w:rPr>
          <w:lang w:val="en-GB"/>
        </w:rPr>
        <w:t xml:space="preserve"> requirements </w:t>
      </w:r>
      <w:r w:rsidR="00AA24C2" w:rsidRPr="000D74A3">
        <w:rPr>
          <w:lang w:val="en-GB"/>
        </w:rPr>
        <w:t xml:space="preserve">of </w:t>
      </w:r>
      <w:r w:rsidRPr="000D74A3">
        <w:rPr>
          <w:lang w:val="en-GB"/>
        </w:rPr>
        <w:t xml:space="preserve">the technical standard EN13725:2022, the odour concentration </w:t>
      </w:r>
      <w:r w:rsidR="00AA24C2" w:rsidRPr="000D74A3">
        <w:rPr>
          <w:lang w:val="en-GB"/>
        </w:rPr>
        <w:t>was</w:t>
      </w:r>
      <w:r w:rsidRPr="000D74A3">
        <w:rPr>
          <w:lang w:val="en-GB"/>
        </w:rPr>
        <w:t xml:space="preserve"> then expressed in European odour units per cubic meter (ou</w:t>
      </w:r>
      <w:r w:rsidRPr="000D74A3">
        <w:rPr>
          <w:vertAlign w:val="subscript"/>
          <w:lang w:val="en-GB"/>
        </w:rPr>
        <w:t>E</w:t>
      </w:r>
      <w:r w:rsidRPr="000D74A3">
        <w:rPr>
          <w:lang w:val="en-GB"/>
        </w:rPr>
        <w:t>/m</w:t>
      </w:r>
      <w:r w:rsidRPr="000D74A3">
        <w:rPr>
          <w:vertAlign w:val="superscript"/>
          <w:lang w:val="en-GB"/>
        </w:rPr>
        <w:t>3</w:t>
      </w:r>
      <w:r w:rsidRPr="000D74A3">
        <w:rPr>
          <w:lang w:val="en-GB"/>
        </w:rPr>
        <w:t>), which</w:t>
      </w:r>
      <w:r w:rsidR="00AA24C2" w:rsidRPr="000D74A3">
        <w:rPr>
          <w:lang w:val="en-GB"/>
        </w:rPr>
        <w:t xml:space="preserve">, in </w:t>
      </w:r>
      <w:r w:rsidR="003F5FF1" w:rsidRPr="000D74A3">
        <w:rPr>
          <w:lang w:val="en-GB"/>
        </w:rPr>
        <w:t xml:space="preserve">a </w:t>
      </w:r>
      <w:r w:rsidR="00AA24C2" w:rsidRPr="000D74A3">
        <w:rPr>
          <w:lang w:val="en-GB"/>
        </w:rPr>
        <w:t>few words,</w:t>
      </w:r>
      <w:r w:rsidRPr="000D74A3">
        <w:rPr>
          <w:lang w:val="en-GB"/>
        </w:rPr>
        <w:t xml:space="preserve"> represents the number of dilutions needed to reach the detection threshold. </w:t>
      </w:r>
      <w:r w:rsidR="00637B7E">
        <w:rPr>
          <w:lang w:val="en-GB"/>
        </w:rPr>
        <w:t xml:space="preserve">The bags were analysed at the Olfactometric Laboratory of </w:t>
      </w:r>
      <w:proofErr w:type="spellStart"/>
      <w:r w:rsidR="00637B7E">
        <w:rPr>
          <w:lang w:val="en-GB"/>
        </w:rPr>
        <w:t>Politecnico</w:t>
      </w:r>
      <w:proofErr w:type="spellEnd"/>
      <w:r w:rsidR="00637B7E">
        <w:rPr>
          <w:lang w:val="en-GB"/>
        </w:rPr>
        <w:t xml:space="preserve"> di Milano university the morning after the collection. The </w:t>
      </w:r>
      <w:r w:rsidR="00BB0234">
        <w:rPr>
          <w:lang w:val="en-GB"/>
        </w:rPr>
        <w:t xml:space="preserve">used </w:t>
      </w:r>
      <w:r w:rsidR="00637B7E">
        <w:rPr>
          <w:lang w:val="en-GB"/>
        </w:rPr>
        <w:t>olfactometer</w:t>
      </w:r>
      <w:r w:rsidR="00BB0234">
        <w:rPr>
          <w:lang w:val="en-GB"/>
        </w:rPr>
        <w:t xml:space="preserve"> </w:t>
      </w:r>
      <w:r w:rsidR="00637B7E">
        <w:rPr>
          <w:lang w:val="en-GB"/>
        </w:rPr>
        <w:t xml:space="preserve">was a 4-port ECOMA TO8. </w:t>
      </w:r>
    </w:p>
    <w:p w14:paraId="664954F9" w14:textId="4071A9AA" w:rsidR="000367FB" w:rsidRPr="000D74A3" w:rsidRDefault="000367FB" w:rsidP="000367FB">
      <w:pPr>
        <w:pStyle w:val="CETheadingx"/>
        <w:rPr>
          <w:lang w:val="en-GB"/>
        </w:rPr>
      </w:pPr>
      <w:r w:rsidRPr="000D74A3">
        <w:rPr>
          <w:lang w:val="en-GB"/>
        </w:rPr>
        <w:t>Chemical characterization</w:t>
      </w:r>
    </w:p>
    <w:p w14:paraId="4108C6E7" w14:textId="5A68ADCC" w:rsidR="000367FB" w:rsidRPr="000D74A3" w:rsidRDefault="00107FF8" w:rsidP="000367FB">
      <w:pPr>
        <w:pStyle w:val="CETBodytext"/>
        <w:rPr>
          <w:lang w:val="en-GB"/>
        </w:rPr>
      </w:pPr>
      <w:r w:rsidRPr="000D74A3">
        <w:rPr>
          <w:lang w:val="en-GB"/>
        </w:rPr>
        <w:t xml:space="preserve">Odorous gas flows are often constituted by several different </w:t>
      </w:r>
      <w:r w:rsidR="003F5FF1" w:rsidRPr="000D74A3">
        <w:rPr>
          <w:lang w:val="en-GB"/>
        </w:rPr>
        <w:t>compounds</w:t>
      </w:r>
      <w:r w:rsidRPr="000D74A3">
        <w:rPr>
          <w:lang w:val="en-GB"/>
        </w:rPr>
        <w:t>, with may contribute or not to the odour potential of the emission. Often</w:t>
      </w:r>
      <w:r w:rsidR="00164D62">
        <w:rPr>
          <w:lang w:val="en-GB"/>
        </w:rPr>
        <w:t>,</w:t>
      </w:r>
      <w:r w:rsidRPr="000D74A3">
        <w:rPr>
          <w:lang w:val="en-GB"/>
        </w:rPr>
        <w:t xml:space="preserve"> the odorants are mainly organic </w:t>
      </w:r>
      <w:r w:rsidR="0089203B">
        <w:rPr>
          <w:lang w:val="en-GB"/>
        </w:rPr>
        <w:fldChar w:fldCharType="begin" w:fldLock="1"/>
      </w:r>
      <w:r w:rsidR="0089203B">
        <w:rPr>
          <w:lang w:val="en-GB"/>
        </w:rPr>
        <w:instrText>ADDIN CSL_CITATION {"citationItems":[{"id":"ITEM-1","itemData":{"DOI":"10.1016/j.talanta.2022.124110","ISSN":"00399140","abstract":"A comparison among different sampling methods (3 types of sorbent tubes and polymeric bags) commonly adopted in chemical analyses of odorous emissions was performed. To investigate the different performances, a lignocellulosic biomass storage plant was selected to obtain preliminary information about the chemical nature of odorous emissions. Samples of odorous emissions were collected at different biomass piles and analysed by dynamic olfactometry and TD-GC-MS. By comparing the two adopted sampling methods (tubes and bags), different performances are shown, depending on their specificity. By the comparison among the three types of sorbent tubes (Multi-sorbent bed (Carbotrap, Carbopack X and Carboxen 569), Tenax and Sulphur), Sulphur and Multi-sorbent bed present similar performance, while Tenax TA tubes show a different trend in terms of type and numerosity of detected compounds. In addition, from the comparison between tubes and polymeric bags, the number and types of compounds detected in bags are more comparable to those observed in the Multi-sorbent bed and Sulphur tubes. However, a difference between the two methods appears, especially in the detection of low-molecular weight organic compounds. In this study, it is possible to highlight that, due to the complexity of odorous emissions, the selection of the sampling material may affect the obtained chemical results. The detection of different classes of compounds, is a crucial point, to obtaining the most complete characterization of mixtures and comparing the chemical profile with olfactometric results: care must be taken in the choice of sampling material and procedure.","author":[{"dropping-particle":"","family":"Polvara","given":"Elisa","non-dropping-particle":"","parse-names":false,"suffix":""},{"dropping-particle":"","family":"Gallego","given":"Eva","non-dropping-particle":"","parse-names":false,"suffix":""},{"dropping-particle":"","family":"Invernizzi","given":"Marzio","non-dropping-particle":"","parse-names":false,"suffix":""},{"dropping-particle":"","family":"Perales","given":"José Francisco","non-dropping-particle":"","parse-names":false,"suffix":""},{"dropping-particle":"","family":"Sironi","given":"Selena","non-dropping-particle":"","parse-names":false,"suffix":""}],"container-title":"Talanta","id":"ITEM-1","issued":{"date-parts":[["2023"]]},"page":"124110","title":"Chemical characterization of odorous emissions: A comparative performance study of different sampling methods","type":"article-journal","volume":"253"},"uris":["http://www.mendeley.com/documents/?uuid=6a904301-ffd8-4d21-98b3-d95f69213673"]},{"id":"ITEM-2","itemData":{"DOI":"10.1016/j.joei.2023.101440","ISSN":"17460220","abstract":"The use of lignocellulosic biomass for green energy production is increasing, but the wood storage may lead to ambient odor related issues. This study aims to assess the odor potential and to investigate the mechanisms that promote odorous emissions from wood chip heaps. To achieve this goal, four experimental campaigns were conducted in an Italian thermal power plant. During these campaigns, odor concentration and chemical-physical parameters, that should theoretically affect the odor potential of biomass heaps, were investigated. The first important outcome revealed a strong heterogeneity on the heaps surface, classified as dry or smoking according to the superficial humidity and smoke. Smoking areas proved to be much more emissive and at self-ignition risk than dry regions. Indeed, odor concentration on smoking regions reached values in the order of 105 ouE/m3, significantly higher than dry region ones (102 ouE/m3). In addition, the highest values of odor concentration have been detected in the first days of storage, when fatty acids are oxidized and terpenes are released. Again, after 30 ÷ 80 days, i.e. about 20 days after the temperature peak caused by biological activity, odor concentration increases, suggesting a possible cause-effect mechanism between biological processes and odor release. Unexpectedly, odor emissions decreased during summer, reasonably due to the high ambient temperature which reduces the moisture content limiting biological activity. However, after about 100 days of storage, smoking regions extent and odor emissions can be considered negligible.","author":[{"dropping-particle":"","family":"Tagliaferri","given":"Francesca","non-dropping-particle":"","parse-names":false,"suffix":""},{"dropping-particle":"","family":"Panzeri","given":"Filippo","non-dropping-particle":"","parse-names":false,"suffix":""},{"dropping-particle":"","family":"Invernizzi","given":"Marzio","non-dropping-particle":"","parse-names":false,"suffix":""},{"dropping-particle":"","family":"Manganelli","given":"Carlo","non-dropping-particle":"","parse-names":false,"suffix":""},{"dropping-particle":"","family":"Sironi","given":"Selena","non-dropping-particle":"","parse-names":false,"suffix":""}],"container-title":"Journal of the Energy Institute","id":"ITEM-2","issued":{"date-parts":[["2024"]]},"page":"101440","publisher":"Elsevier Ltd","title":"Characterization of diffuse odorous emissions from lignocellulosic biomass storage","type":"article-journal","volume":"112"},"uris":["http://www.mendeley.com/documents/?uuid=ac18d00b-c263-4689-ad41-7a46e9557fef"]}],"mendeley":{"formattedCitation":"(Polvara et al., 2023; Tagliaferri, Panzeri, et al., 2024)","manualFormatting":"(Polvara et al., 2023; Tagliaferri et al., 2024)","plainTextFormattedCitation":"(Polvara et al., 2023; Tagliaferri, Panzeri, et al., 2024)"},"properties":{"noteIndex":0},"schema":"https://github.com/citation-style-language/schema/raw/master/csl-citation.json"}</w:instrText>
      </w:r>
      <w:r w:rsidR="0089203B">
        <w:rPr>
          <w:lang w:val="en-GB"/>
        </w:rPr>
        <w:fldChar w:fldCharType="separate"/>
      </w:r>
      <w:r w:rsidR="0089203B" w:rsidRPr="004A1B7D">
        <w:rPr>
          <w:noProof/>
        </w:rPr>
        <w:t>(Polvara et al., 2023; Tagliaferri et al., 2024)</w:t>
      </w:r>
      <w:r w:rsidR="0089203B">
        <w:rPr>
          <w:lang w:val="en-GB"/>
        </w:rPr>
        <w:fldChar w:fldCharType="end"/>
      </w:r>
      <w:r w:rsidR="000D74A3" w:rsidRPr="004A1B7D">
        <w:t xml:space="preserve"> </w:t>
      </w:r>
      <w:r w:rsidRPr="004A1B7D">
        <w:t xml:space="preserve">and present in trace concentrations. </w:t>
      </w:r>
      <w:r w:rsidRPr="000D74A3">
        <w:rPr>
          <w:lang w:val="en-GB"/>
        </w:rPr>
        <w:t>In th</w:t>
      </w:r>
      <w:r w:rsidR="003F5FF1" w:rsidRPr="000D74A3">
        <w:rPr>
          <w:lang w:val="en-GB"/>
        </w:rPr>
        <w:t>e present</w:t>
      </w:r>
      <w:r w:rsidRPr="000D74A3">
        <w:rPr>
          <w:lang w:val="en-GB"/>
        </w:rPr>
        <w:t xml:space="preserve"> case</w:t>
      </w:r>
      <w:r w:rsidR="003F5FF1" w:rsidRPr="000D74A3">
        <w:rPr>
          <w:lang w:val="en-GB"/>
        </w:rPr>
        <w:t>,</w:t>
      </w:r>
      <w:r w:rsidRPr="000D74A3">
        <w:rPr>
          <w:lang w:val="en-GB"/>
        </w:rPr>
        <w:t xml:space="preserve"> only main constituents of the mixture have been investigated (CO</w:t>
      </w:r>
      <w:r w:rsidRPr="000D74A3">
        <w:rPr>
          <w:vertAlign w:val="subscript"/>
          <w:lang w:val="en-GB"/>
        </w:rPr>
        <w:t>2</w:t>
      </w:r>
      <w:r w:rsidRPr="000D74A3">
        <w:rPr>
          <w:lang w:val="en-GB"/>
        </w:rPr>
        <w:t>, CH</w:t>
      </w:r>
      <w:r w:rsidRPr="000D74A3">
        <w:rPr>
          <w:vertAlign w:val="subscript"/>
          <w:lang w:val="en-GB"/>
        </w:rPr>
        <w:t>4</w:t>
      </w:r>
      <w:r w:rsidRPr="000D74A3">
        <w:rPr>
          <w:lang w:val="en-GB"/>
        </w:rPr>
        <w:t>, N</w:t>
      </w:r>
      <w:r w:rsidRPr="000D74A3">
        <w:rPr>
          <w:vertAlign w:val="subscript"/>
          <w:lang w:val="en-GB"/>
        </w:rPr>
        <w:t>2</w:t>
      </w:r>
      <w:r w:rsidRPr="000D74A3">
        <w:rPr>
          <w:lang w:val="en-GB"/>
        </w:rPr>
        <w:t>, O</w:t>
      </w:r>
      <w:r w:rsidRPr="000D74A3">
        <w:rPr>
          <w:vertAlign w:val="subscript"/>
          <w:lang w:val="en-GB"/>
        </w:rPr>
        <w:t>2</w:t>
      </w:r>
      <w:r w:rsidRPr="000D74A3">
        <w:rPr>
          <w:lang w:val="en-GB"/>
        </w:rPr>
        <w:t>, H</w:t>
      </w:r>
      <w:r w:rsidRPr="000D74A3">
        <w:rPr>
          <w:vertAlign w:val="subscript"/>
          <w:lang w:val="en-GB"/>
        </w:rPr>
        <w:t>2</w:t>
      </w:r>
      <w:r w:rsidRPr="000D74A3">
        <w:rPr>
          <w:lang w:val="en-GB"/>
        </w:rPr>
        <w:t>, H</w:t>
      </w:r>
      <w:r w:rsidRPr="000D74A3">
        <w:rPr>
          <w:vertAlign w:val="subscript"/>
          <w:lang w:val="en-GB"/>
        </w:rPr>
        <w:t>2</w:t>
      </w:r>
      <w:r w:rsidRPr="000D74A3">
        <w:rPr>
          <w:lang w:val="en-GB"/>
        </w:rPr>
        <w:t>S): among these components, only H</w:t>
      </w:r>
      <w:r w:rsidRPr="000D74A3">
        <w:rPr>
          <w:vertAlign w:val="subscript"/>
          <w:lang w:val="en-GB"/>
        </w:rPr>
        <w:t>2</w:t>
      </w:r>
      <w:r w:rsidRPr="000D74A3">
        <w:rPr>
          <w:lang w:val="en-GB"/>
        </w:rPr>
        <w:t xml:space="preserve">S was a compound perceptible by smell. </w:t>
      </w:r>
      <w:r w:rsidR="00331F6D" w:rsidRPr="000D74A3">
        <w:rPr>
          <w:lang w:val="en-GB"/>
        </w:rPr>
        <w:t xml:space="preserve">Glass gas sampling </w:t>
      </w:r>
      <w:r w:rsidR="004F4D68">
        <w:rPr>
          <w:lang w:val="en-GB"/>
        </w:rPr>
        <w:t>flask</w:t>
      </w:r>
      <w:r w:rsidR="003F5FF1" w:rsidRPr="000D74A3">
        <w:rPr>
          <w:lang w:val="en-GB"/>
        </w:rPr>
        <w:t>,</w:t>
      </w:r>
      <w:r w:rsidR="00331F6D" w:rsidRPr="000D74A3">
        <w:rPr>
          <w:lang w:val="en-GB"/>
        </w:rPr>
        <w:t xml:space="preserve"> sealed with PTFE valves</w:t>
      </w:r>
      <w:r w:rsidR="003F5FF1" w:rsidRPr="000D74A3">
        <w:rPr>
          <w:lang w:val="en-GB"/>
        </w:rPr>
        <w:t>,</w:t>
      </w:r>
      <w:r w:rsidR="00331F6D" w:rsidRPr="000D74A3">
        <w:rPr>
          <w:lang w:val="en-GB"/>
        </w:rPr>
        <w:t xml:space="preserve"> were used to collect gaseous samples. Gas chromatographic techniques were used at </w:t>
      </w:r>
      <w:proofErr w:type="spellStart"/>
      <w:r w:rsidR="00331F6D" w:rsidRPr="000D74A3">
        <w:rPr>
          <w:lang w:val="en-GB"/>
        </w:rPr>
        <w:t>Larderello's</w:t>
      </w:r>
      <w:proofErr w:type="spellEnd"/>
      <w:r w:rsidR="00331F6D" w:rsidRPr="000D74A3">
        <w:rPr>
          <w:lang w:val="en-GB"/>
        </w:rPr>
        <w:t xml:space="preserve"> Enel Green Power Laboratory, to measure the composition of gas. For the analysis, an AGILENT model 7890B gas chromatograph with two channels, both coupled with TCD detector</w:t>
      </w:r>
      <w:r w:rsidR="003F5FF1" w:rsidRPr="000D74A3">
        <w:rPr>
          <w:lang w:val="en-GB"/>
        </w:rPr>
        <w:t>,</w:t>
      </w:r>
      <w:r w:rsidR="00331F6D" w:rsidRPr="000D74A3">
        <w:rPr>
          <w:lang w:val="en-GB"/>
        </w:rPr>
        <w:t xml:space="preserve"> was used.</w:t>
      </w:r>
    </w:p>
    <w:p w14:paraId="4B0F760E" w14:textId="0FD29E48" w:rsidR="000367FB" w:rsidRPr="000D74A3" w:rsidRDefault="000367FB" w:rsidP="000367FB">
      <w:pPr>
        <w:pStyle w:val="CETheadingx"/>
        <w:rPr>
          <w:lang w:val="en-GB"/>
        </w:rPr>
      </w:pPr>
      <w:r w:rsidRPr="000D74A3">
        <w:rPr>
          <w:lang w:val="en-GB"/>
        </w:rPr>
        <w:t>Emitted gas flow measurements</w:t>
      </w:r>
    </w:p>
    <w:p w14:paraId="58E4DC78" w14:textId="047B3D30" w:rsidR="000367FB" w:rsidRPr="000D74A3" w:rsidRDefault="00331F6D" w:rsidP="000367FB">
      <w:pPr>
        <w:pStyle w:val="CETBodytext"/>
        <w:rPr>
          <w:rFonts w:cstheme="minorHAnsi"/>
          <w:lang w:val="en-GB"/>
        </w:rPr>
      </w:pPr>
      <w:r w:rsidRPr="000D74A3">
        <w:rPr>
          <w:lang w:val="en-GB"/>
        </w:rPr>
        <w:t xml:space="preserve">After the localisation of the spot vents, the most challenging part of the field campaign was the quantitative characterisation of these gas sources. </w:t>
      </w:r>
      <w:r w:rsidR="003A7FB4">
        <w:rPr>
          <w:lang w:val="en-GB"/>
        </w:rPr>
        <w:t xml:space="preserve">A specific method for the quantification of gas flow emitted by geothermal sources is not available: a crucial part of the project was the </w:t>
      </w:r>
      <w:r w:rsidR="003A7FB4" w:rsidRPr="003A7FB4">
        <w:rPr>
          <w:lang w:val="en-GB"/>
        </w:rPr>
        <w:t xml:space="preserve">research into methods that could be used to measure flows under these </w:t>
      </w:r>
      <w:proofErr w:type="gramStart"/>
      <w:r w:rsidR="003A7FB4" w:rsidRPr="003A7FB4">
        <w:rPr>
          <w:lang w:val="en-GB"/>
        </w:rPr>
        <w:t>particular application</w:t>
      </w:r>
      <w:proofErr w:type="gramEnd"/>
      <w:r w:rsidR="003A7FB4" w:rsidRPr="003A7FB4">
        <w:rPr>
          <w:lang w:val="en-GB"/>
        </w:rPr>
        <w:t xml:space="preserve"> conditions</w:t>
      </w:r>
      <w:r w:rsidR="003A7FB4">
        <w:rPr>
          <w:lang w:val="en-GB"/>
        </w:rPr>
        <w:t xml:space="preserve">. </w:t>
      </w:r>
      <w:r w:rsidRPr="000D74A3">
        <w:rPr>
          <w:lang w:val="en-GB"/>
        </w:rPr>
        <w:t xml:space="preserve">As shown in </w:t>
      </w:r>
      <w:r w:rsidRPr="000D74A3">
        <w:rPr>
          <w:lang w:val="en-GB"/>
        </w:rPr>
        <w:fldChar w:fldCharType="begin"/>
      </w:r>
      <w:r w:rsidRPr="000D74A3">
        <w:rPr>
          <w:lang w:val="en-GB"/>
        </w:rPr>
        <w:instrText xml:space="preserve"> REF _Ref165198557 \h </w:instrText>
      </w:r>
      <w:r w:rsidRPr="000D74A3">
        <w:rPr>
          <w:lang w:val="en-GB"/>
        </w:rPr>
      </w:r>
      <w:r w:rsidRPr="000D74A3">
        <w:rPr>
          <w:lang w:val="en-GB"/>
        </w:rPr>
        <w:fldChar w:fldCharType="separate"/>
      </w:r>
      <w:r w:rsidRPr="000D74A3">
        <w:rPr>
          <w:lang w:val="en-GB"/>
        </w:rPr>
        <w:t>Figure 1</w:t>
      </w:r>
      <w:r w:rsidRPr="000D74A3">
        <w:rPr>
          <w:lang w:val="en-GB"/>
        </w:rPr>
        <w:fldChar w:fldCharType="end"/>
      </w:r>
      <w:r w:rsidRPr="000D74A3">
        <w:rPr>
          <w:lang w:val="en-GB"/>
        </w:rPr>
        <w:t>, these emissions c</w:t>
      </w:r>
      <w:r w:rsidR="00BE2E02" w:rsidRPr="000D74A3">
        <w:rPr>
          <w:lang w:val="en-GB"/>
        </w:rPr>
        <w:t>ould</w:t>
      </w:r>
      <w:r w:rsidRPr="000D74A3">
        <w:rPr>
          <w:lang w:val="en-GB"/>
        </w:rPr>
        <w:t xml:space="preserve"> be very disparate and, above all, ha</w:t>
      </w:r>
      <w:r w:rsidR="00BE2E02" w:rsidRPr="000D74A3">
        <w:rPr>
          <w:lang w:val="en-GB"/>
        </w:rPr>
        <w:t>d</w:t>
      </w:r>
      <w:r w:rsidRPr="000D74A3">
        <w:rPr>
          <w:lang w:val="en-GB"/>
        </w:rPr>
        <w:t xml:space="preserve"> an inhomogeneous structure: in these </w:t>
      </w:r>
      <w:r w:rsidR="003A7FB4">
        <w:rPr>
          <w:lang w:val="en-GB"/>
        </w:rPr>
        <w:t>situation</w:t>
      </w:r>
      <w:r w:rsidRPr="000D74A3">
        <w:rPr>
          <w:lang w:val="en-GB"/>
        </w:rPr>
        <w:t>s</w:t>
      </w:r>
      <w:r w:rsidR="003F5FF1" w:rsidRPr="000D74A3">
        <w:rPr>
          <w:lang w:val="en-GB"/>
        </w:rPr>
        <w:t>,</w:t>
      </w:r>
      <w:r w:rsidRPr="000D74A3">
        <w:rPr>
          <w:lang w:val="en-GB"/>
        </w:rPr>
        <w:t xml:space="preserve"> the measurement of an exit velocity and a cross-section seemed an arduous task. In </w:t>
      </w:r>
      <w:r w:rsidR="003F5FF1" w:rsidRPr="000D74A3">
        <w:rPr>
          <w:lang w:val="en-GB"/>
        </w:rPr>
        <w:t xml:space="preserve">a </w:t>
      </w:r>
      <w:r w:rsidRPr="000D74A3">
        <w:rPr>
          <w:lang w:val="en-GB"/>
        </w:rPr>
        <w:t xml:space="preserve">few cases, due to the well-defined shape of the spot vent, like </w:t>
      </w:r>
      <w:r w:rsidR="00E92F7F" w:rsidRPr="000D74A3">
        <w:rPr>
          <w:lang w:val="en-GB"/>
        </w:rPr>
        <w:t xml:space="preserve">for and </w:t>
      </w:r>
      <w:proofErr w:type="spellStart"/>
      <w:r w:rsidR="00E92F7F" w:rsidRPr="000D74A3">
        <w:rPr>
          <w:lang w:val="en-GB"/>
        </w:rPr>
        <w:t>Anteie</w:t>
      </w:r>
      <w:proofErr w:type="spellEnd"/>
      <w:r w:rsidR="00E92F7F" w:rsidRPr="000D74A3">
        <w:rPr>
          <w:lang w:val="en-GB"/>
        </w:rPr>
        <w:t xml:space="preserve"> 1</w:t>
      </w:r>
      <w:r w:rsidRPr="000D74A3">
        <w:rPr>
          <w:lang w:val="en-GB"/>
        </w:rPr>
        <w:t xml:space="preserve"> </w:t>
      </w:r>
      <w:r w:rsidR="00E92F7F" w:rsidRPr="000D74A3">
        <w:rPr>
          <w:lang w:val="en-GB"/>
        </w:rPr>
        <w:t>(</w:t>
      </w:r>
      <w:proofErr w:type="spellStart"/>
      <w:r w:rsidR="00E92F7F" w:rsidRPr="000D74A3">
        <w:rPr>
          <w:lang w:val="en-GB"/>
        </w:rPr>
        <w:t>Anteie</w:t>
      </w:r>
      <w:proofErr w:type="spellEnd"/>
      <w:r w:rsidR="00E92F7F" w:rsidRPr="000D74A3">
        <w:rPr>
          <w:lang w:val="en-GB"/>
        </w:rPr>
        <w:t xml:space="preserve"> tunnel) and </w:t>
      </w:r>
      <w:r w:rsidRPr="000D74A3">
        <w:rPr>
          <w:lang w:val="en-GB"/>
        </w:rPr>
        <w:t>The Hole spot vent (</w:t>
      </w:r>
      <w:r w:rsidR="00E92F7F" w:rsidRPr="000D74A3">
        <w:rPr>
          <w:lang w:val="en-GB"/>
        </w:rPr>
        <w:fldChar w:fldCharType="begin"/>
      </w:r>
      <w:r w:rsidR="00E92F7F" w:rsidRPr="000D74A3">
        <w:rPr>
          <w:lang w:val="en-GB"/>
        </w:rPr>
        <w:instrText xml:space="preserve"> REF _Ref165198557 \h </w:instrText>
      </w:r>
      <w:r w:rsidR="00E92F7F" w:rsidRPr="000D74A3">
        <w:rPr>
          <w:lang w:val="en-GB"/>
        </w:rPr>
      </w:r>
      <w:r w:rsidR="00E92F7F" w:rsidRPr="000D74A3">
        <w:rPr>
          <w:lang w:val="en-GB"/>
        </w:rPr>
        <w:fldChar w:fldCharType="separate"/>
      </w:r>
      <w:r w:rsidR="00E92F7F" w:rsidRPr="000D74A3">
        <w:rPr>
          <w:lang w:val="en-GB"/>
        </w:rPr>
        <w:t>Figure 1</w:t>
      </w:r>
      <w:r w:rsidR="00E92F7F" w:rsidRPr="000D74A3">
        <w:rPr>
          <w:lang w:val="en-GB"/>
        </w:rPr>
        <w:fldChar w:fldCharType="end"/>
      </w:r>
      <w:r w:rsidR="00E92F7F" w:rsidRPr="000D74A3">
        <w:rPr>
          <w:lang w:val="en-GB"/>
        </w:rPr>
        <w:t xml:space="preserve">.a and </w:t>
      </w:r>
      <w:r w:rsidRPr="000D74A3">
        <w:rPr>
          <w:lang w:val="en-GB"/>
        </w:rPr>
        <w:fldChar w:fldCharType="begin"/>
      </w:r>
      <w:r w:rsidRPr="000D74A3">
        <w:rPr>
          <w:lang w:val="en-GB"/>
        </w:rPr>
        <w:instrText xml:space="preserve"> REF _Ref165198557 \h </w:instrText>
      </w:r>
      <w:r w:rsidRPr="000D74A3">
        <w:rPr>
          <w:lang w:val="en-GB"/>
        </w:rPr>
      </w:r>
      <w:r w:rsidRPr="000D74A3">
        <w:rPr>
          <w:lang w:val="en-GB"/>
        </w:rPr>
        <w:fldChar w:fldCharType="separate"/>
      </w:r>
      <w:r w:rsidRPr="000D74A3">
        <w:rPr>
          <w:lang w:val="en-GB"/>
        </w:rPr>
        <w:t>Figure 1</w:t>
      </w:r>
      <w:r w:rsidRPr="000D74A3">
        <w:rPr>
          <w:lang w:val="en-GB"/>
        </w:rPr>
        <w:fldChar w:fldCharType="end"/>
      </w:r>
      <w:r w:rsidRPr="000D74A3">
        <w:rPr>
          <w:lang w:val="en-GB"/>
        </w:rPr>
        <w:t>.c</w:t>
      </w:r>
      <w:r w:rsidR="00E92F7F" w:rsidRPr="000D74A3">
        <w:rPr>
          <w:lang w:val="en-GB"/>
        </w:rPr>
        <w:t xml:space="preserve"> respectively</w:t>
      </w:r>
      <w:r w:rsidRPr="000D74A3">
        <w:rPr>
          <w:lang w:val="en-GB"/>
        </w:rPr>
        <w:t xml:space="preserve">) </w:t>
      </w:r>
      <w:r w:rsidR="00E92F7F" w:rsidRPr="000D74A3">
        <w:rPr>
          <w:lang w:val="en-GB"/>
        </w:rPr>
        <w:t xml:space="preserve">or in </w:t>
      </w:r>
      <w:r w:rsidR="00E92F7F" w:rsidRPr="000D74A3">
        <w:rPr>
          <w:rFonts w:cstheme="minorHAnsi"/>
          <w:lang w:val="en-GB"/>
        </w:rPr>
        <w:t xml:space="preserve">old-mine ventilation chimneys, the measurement of the flux was conducted simply by using a Pitot tube and measuring the cross-sectional area of passage. In other cases, as in localised releases from the ground, such as </w:t>
      </w:r>
      <w:proofErr w:type="spellStart"/>
      <w:r w:rsidR="00E92F7F" w:rsidRPr="000D74A3">
        <w:rPr>
          <w:rFonts w:cstheme="minorHAnsi"/>
          <w:lang w:val="en-GB"/>
        </w:rPr>
        <w:t>Selvena</w:t>
      </w:r>
      <w:proofErr w:type="spellEnd"/>
      <w:r w:rsidR="00E92F7F" w:rsidRPr="000D74A3">
        <w:rPr>
          <w:rFonts w:cstheme="minorHAnsi"/>
          <w:lang w:val="en-GB"/>
        </w:rPr>
        <w:t xml:space="preserve"> 1 and Campo la Villa (</w:t>
      </w:r>
      <w:r w:rsidR="00E92F7F" w:rsidRPr="000D74A3">
        <w:rPr>
          <w:lang w:val="en-GB"/>
        </w:rPr>
        <w:fldChar w:fldCharType="begin"/>
      </w:r>
      <w:r w:rsidR="00E92F7F" w:rsidRPr="000D74A3">
        <w:rPr>
          <w:lang w:val="en-GB"/>
        </w:rPr>
        <w:instrText xml:space="preserve"> REF _Ref165198557 \h </w:instrText>
      </w:r>
      <w:r w:rsidR="00E92F7F" w:rsidRPr="000D74A3">
        <w:rPr>
          <w:lang w:val="en-GB"/>
        </w:rPr>
      </w:r>
      <w:r w:rsidR="00E92F7F" w:rsidRPr="000D74A3">
        <w:rPr>
          <w:lang w:val="en-GB"/>
        </w:rPr>
        <w:fldChar w:fldCharType="separate"/>
      </w:r>
      <w:r w:rsidR="00E92F7F" w:rsidRPr="000D74A3">
        <w:rPr>
          <w:lang w:val="en-GB"/>
        </w:rPr>
        <w:t>Figure 1</w:t>
      </w:r>
      <w:r w:rsidR="00E92F7F" w:rsidRPr="000D74A3">
        <w:rPr>
          <w:lang w:val="en-GB"/>
        </w:rPr>
        <w:fldChar w:fldCharType="end"/>
      </w:r>
      <w:r w:rsidR="00E92F7F" w:rsidRPr="000D74A3">
        <w:rPr>
          <w:lang w:val="en-GB"/>
        </w:rPr>
        <w:t xml:space="preserve">.b and </w:t>
      </w:r>
      <w:r w:rsidR="00E92F7F" w:rsidRPr="000D74A3">
        <w:rPr>
          <w:lang w:val="en-GB"/>
        </w:rPr>
        <w:fldChar w:fldCharType="begin"/>
      </w:r>
      <w:r w:rsidR="00E92F7F" w:rsidRPr="000D74A3">
        <w:rPr>
          <w:lang w:val="en-GB"/>
        </w:rPr>
        <w:instrText xml:space="preserve"> REF _Ref165198557 \h </w:instrText>
      </w:r>
      <w:r w:rsidR="00E92F7F" w:rsidRPr="000D74A3">
        <w:rPr>
          <w:lang w:val="en-GB"/>
        </w:rPr>
      </w:r>
      <w:r w:rsidR="00E92F7F" w:rsidRPr="000D74A3">
        <w:rPr>
          <w:lang w:val="en-GB"/>
        </w:rPr>
        <w:fldChar w:fldCharType="separate"/>
      </w:r>
      <w:r w:rsidR="00E92F7F" w:rsidRPr="000D74A3">
        <w:rPr>
          <w:lang w:val="en-GB"/>
        </w:rPr>
        <w:t>Figure 1</w:t>
      </w:r>
      <w:r w:rsidR="00E92F7F" w:rsidRPr="000D74A3">
        <w:rPr>
          <w:lang w:val="en-GB"/>
        </w:rPr>
        <w:fldChar w:fldCharType="end"/>
      </w:r>
      <w:r w:rsidR="00E92F7F" w:rsidRPr="000D74A3">
        <w:rPr>
          <w:lang w:val="en-GB"/>
        </w:rPr>
        <w:t>.d respectively</w:t>
      </w:r>
      <w:r w:rsidR="00E92F7F" w:rsidRPr="000D74A3">
        <w:rPr>
          <w:rFonts w:cstheme="minorHAnsi"/>
          <w:lang w:val="en-GB"/>
        </w:rPr>
        <w:t xml:space="preserve">) or old mine entrances, the estimation of a precise emission cross-sectional area was not possible. </w:t>
      </w:r>
      <w:proofErr w:type="gramStart"/>
      <w:r w:rsidR="00E92F7F" w:rsidRPr="000D74A3">
        <w:rPr>
          <w:rFonts w:cstheme="minorHAnsi"/>
          <w:lang w:val="en-GB"/>
        </w:rPr>
        <w:t>In order to</w:t>
      </w:r>
      <w:proofErr w:type="gramEnd"/>
      <w:r w:rsidR="00E92F7F" w:rsidRPr="000D74A3">
        <w:rPr>
          <w:rFonts w:cstheme="minorHAnsi"/>
          <w:lang w:val="en-GB"/>
        </w:rPr>
        <w:t xml:space="preserve"> obtain a quantitative measure of the emitted gas flux, a </w:t>
      </w:r>
      <w:proofErr w:type="spellStart"/>
      <w:r w:rsidR="00E92F7F" w:rsidRPr="000D74A3">
        <w:rPr>
          <w:rFonts w:cstheme="minorHAnsi"/>
          <w:lang w:val="en-GB"/>
        </w:rPr>
        <w:t>balometer</w:t>
      </w:r>
      <w:proofErr w:type="spellEnd"/>
      <w:r w:rsidR="00E92F7F" w:rsidRPr="000D74A3">
        <w:rPr>
          <w:rFonts w:cstheme="minorHAnsi"/>
          <w:lang w:val="en-GB"/>
        </w:rPr>
        <w:t xml:space="preserve">, typically used for indoor ventilation fluxes, was retrofitted </w:t>
      </w:r>
      <w:r w:rsidR="007266C0" w:rsidRPr="000D74A3">
        <w:rPr>
          <w:rFonts w:cstheme="minorHAnsi"/>
          <w:lang w:val="en-GB"/>
        </w:rPr>
        <w:t xml:space="preserve">with plastic films </w:t>
      </w:r>
      <w:r w:rsidR="00E92F7F" w:rsidRPr="000D74A3">
        <w:rPr>
          <w:rFonts w:cstheme="minorHAnsi"/>
          <w:lang w:val="en-GB"/>
        </w:rPr>
        <w:t xml:space="preserve">and </w:t>
      </w:r>
      <w:r w:rsidR="00CA7FA4">
        <w:rPr>
          <w:rFonts w:cstheme="minorHAnsi"/>
          <w:lang w:val="en-GB"/>
        </w:rPr>
        <w:t>utilised</w:t>
      </w:r>
      <w:r w:rsidR="00E92F7F" w:rsidRPr="000D74A3">
        <w:rPr>
          <w:rFonts w:cstheme="minorHAnsi"/>
          <w:lang w:val="en-GB"/>
        </w:rPr>
        <w:t xml:space="preserve">. </w:t>
      </w:r>
      <w:r w:rsidR="006E240A" w:rsidRPr="000D74A3">
        <w:rPr>
          <w:rFonts w:cstheme="minorHAnsi"/>
          <w:lang w:val="en-GB"/>
        </w:rPr>
        <w:t>An e</w:t>
      </w:r>
      <w:r w:rsidR="00E92F7F" w:rsidRPr="000D74A3">
        <w:rPr>
          <w:rFonts w:cstheme="minorHAnsi"/>
          <w:lang w:val="en-GB"/>
        </w:rPr>
        <w:t>xample of its application in this field campaign</w:t>
      </w:r>
      <w:r w:rsidR="006E240A" w:rsidRPr="000D74A3">
        <w:rPr>
          <w:rFonts w:cstheme="minorHAnsi"/>
          <w:lang w:val="en-GB"/>
        </w:rPr>
        <w:t>, during olfactometric sampling, is</w:t>
      </w:r>
      <w:r w:rsidR="00E92F7F" w:rsidRPr="000D74A3">
        <w:rPr>
          <w:rFonts w:cstheme="minorHAnsi"/>
          <w:lang w:val="en-GB"/>
        </w:rPr>
        <w:t xml:space="preserve"> presented in </w:t>
      </w:r>
      <w:r w:rsidR="006E240A" w:rsidRPr="000D74A3">
        <w:rPr>
          <w:rFonts w:cstheme="minorHAnsi"/>
          <w:lang w:val="en-GB"/>
        </w:rPr>
        <w:fldChar w:fldCharType="begin"/>
      </w:r>
      <w:r w:rsidR="006E240A" w:rsidRPr="000D74A3">
        <w:rPr>
          <w:rFonts w:cstheme="minorHAnsi"/>
          <w:lang w:val="en-GB"/>
        </w:rPr>
        <w:instrText xml:space="preserve"> REF _Ref165202064 \h </w:instrText>
      </w:r>
      <w:r w:rsidR="006E240A" w:rsidRPr="000D74A3">
        <w:rPr>
          <w:rFonts w:cstheme="minorHAnsi"/>
          <w:lang w:val="en-GB"/>
        </w:rPr>
      </w:r>
      <w:r w:rsidR="006E240A" w:rsidRPr="000D74A3">
        <w:rPr>
          <w:rFonts w:cstheme="minorHAnsi"/>
          <w:lang w:val="en-GB"/>
        </w:rPr>
        <w:fldChar w:fldCharType="separate"/>
      </w:r>
      <w:r w:rsidR="006E240A" w:rsidRPr="000D74A3">
        <w:rPr>
          <w:lang w:val="en-GB"/>
        </w:rPr>
        <w:t>Figure 2</w:t>
      </w:r>
      <w:r w:rsidR="006E240A" w:rsidRPr="000D74A3">
        <w:rPr>
          <w:rFonts w:cstheme="minorHAnsi"/>
          <w:lang w:val="en-GB"/>
        </w:rPr>
        <w:fldChar w:fldCharType="end"/>
      </w:r>
      <w:r w:rsidR="00E92F7F" w:rsidRPr="000D74A3">
        <w:rPr>
          <w:rFonts w:cstheme="minorHAnsi"/>
          <w:lang w:val="en-GB"/>
        </w:rPr>
        <w:t xml:space="preserve">. </w:t>
      </w:r>
      <w:r w:rsidR="003A7FB4">
        <w:rPr>
          <w:rFonts w:cstheme="minorHAnsi"/>
          <w:lang w:val="en-GB"/>
        </w:rPr>
        <w:t>The revamped introduction of this tool was</w:t>
      </w:r>
      <w:r w:rsidR="003A7FB4" w:rsidRPr="003A7FB4">
        <w:rPr>
          <w:rFonts w:cstheme="minorHAnsi"/>
          <w:lang w:val="en-GB"/>
        </w:rPr>
        <w:t xml:space="preserve"> a turning point in obtaining useful results for the characterisation of M</w:t>
      </w:r>
      <w:r w:rsidR="003A7FB4">
        <w:rPr>
          <w:rFonts w:cstheme="minorHAnsi"/>
          <w:lang w:val="en-GB"/>
        </w:rPr>
        <w:t xml:space="preserve">t. </w:t>
      </w:r>
      <w:proofErr w:type="spellStart"/>
      <w:r w:rsidR="003A7FB4" w:rsidRPr="003A7FB4">
        <w:rPr>
          <w:rFonts w:cstheme="minorHAnsi"/>
          <w:lang w:val="en-GB"/>
        </w:rPr>
        <w:t>Amiata's</w:t>
      </w:r>
      <w:proofErr w:type="spellEnd"/>
      <w:r w:rsidR="003A7FB4" w:rsidRPr="003A7FB4">
        <w:rPr>
          <w:rFonts w:cstheme="minorHAnsi"/>
          <w:lang w:val="en-GB"/>
        </w:rPr>
        <w:t xml:space="preserve"> natural emissions</w:t>
      </w:r>
      <w:r w:rsidR="003A7FB4">
        <w:rPr>
          <w:rFonts w:cstheme="minorHAnsi"/>
          <w:lang w:val="en-GB"/>
        </w:rPr>
        <w:t xml:space="preserve">. </w:t>
      </w:r>
    </w:p>
    <w:p w14:paraId="38D253DB" w14:textId="77777777" w:rsidR="006E240A" w:rsidRPr="000D74A3" w:rsidRDefault="006E240A" w:rsidP="000367FB">
      <w:pPr>
        <w:pStyle w:val="CETBodytext"/>
        <w:rPr>
          <w:rFonts w:cstheme="minorHAnsi"/>
          <w:lang w:val="en-GB"/>
        </w:rPr>
      </w:pPr>
    </w:p>
    <w:p w14:paraId="5CA8BEB3" w14:textId="77777777" w:rsidR="006E240A" w:rsidRPr="000D74A3" w:rsidRDefault="006E240A" w:rsidP="006E240A">
      <w:pPr>
        <w:pStyle w:val="CETBodytext"/>
        <w:keepNext/>
        <w:jc w:val="center"/>
        <w:rPr>
          <w:lang w:val="en-GB"/>
        </w:rPr>
      </w:pPr>
      <w:r w:rsidRPr="000D74A3">
        <w:rPr>
          <w:rFonts w:cstheme="minorHAnsi"/>
          <w:noProof/>
          <w:lang w:val="en-GB"/>
        </w:rPr>
        <w:lastRenderedPageBreak/>
        <w:drawing>
          <wp:inline distT="0" distB="0" distL="0" distR="0" wp14:anchorId="682708AB" wp14:editId="0C4C4B20">
            <wp:extent cx="4390134" cy="2877349"/>
            <wp:effectExtent l="0" t="0" r="0" b="0"/>
            <wp:docPr id="2021416779" name="Immagine 2" descr="Immagine che contiene aria aperta, vestiti, alber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16779" name="Immagine 2" descr="Immagine che contiene aria aperta, vestiti, albero, persona&#10;&#10;Descrizione generata automaticament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396373" cy="2881438"/>
                    </a:xfrm>
                    <a:prstGeom prst="rect">
                      <a:avLst/>
                    </a:prstGeom>
                    <a:ln>
                      <a:noFill/>
                    </a:ln>
                    <a:extLst>
                      <a:ext uri="{53640926-AAD7-44D8-BBD7-CCE9431645EC}">
                        <a14:shadowObscured xmlns:a14="http://schemas.microsoft.com/office/drawing/2010/main"/>
                      </a:ext>
                    </a:extLst>
                  </pic:spPr>
                </pic:pic>
              </a:graphicData>
            </a:graphic>
          </wp:inline>
        </w:drawing>
      </w:r>
    </w:p>
    <w:p w14:paraId="309A9ED1" w14:textId="51A6DFB9" w:rsidR="000367FB" w:rsidRPr="000D74A3" w:rsidRDefault="006E240A" w:rsidP="00B01240">
      <w:pPr>
        <w:pStyle w:val="CETCaption"/>
      </w:pPr>
      <w:bookmarkStart w:id="1" w:name="_Ref165202064"/>
      <w:r w:rsidRPr="000D74A3">
        <w:t xml:space="preserve">Figure </w:t>
      </w:r>
      <w:r w:rsidRPr="000D74A3">
        <w:fldChar w:fldCharType="begin"/>
      </w:r>
      <w:r w:rsidRPr="000D74A3">
        <w:instrText xml:space="preserve"> SEQ Figure \* ARABIC </w:instrText>
      </w:r>
      <w:r w:rsidRPr="000D74A3">
        <w:fldChar w:fldCharType="separate"/>
      </w:r>
      <w:r w:rsidR="00AB5F78" w:rsidRPr="000D74A3">
        <w:t>2</w:t>
      </w:r>
      <w:r w:rsidRPr="000D74A3">
        <w:fldChar w:fldCharType="end"/>
      </w:r>
      <w:bookmarkEnd w:id="1"/>
      <w:r w:rsidRPr="000D74A3">
        <w:t xml:space="preserve">. </w:t>
      </w:r>
      <w:proofErr w:type="spellStart"/>
      <w:r w:rsidRPr="000D74A3">
        <w:t>Balometer</w:t>
      </w:r>
      <w:proofErr w:type="spellEnd"/>
      <w:r w:rsidRPr="000D74A3">
        <w:t xml:space="preserve"> application for the measurement of the gas flow of </w:t>
      </w:r>
      <w:proofErr w:type="spellStart"/>
      <w:r w:rsidRPr="000D74A3">
        <w:t>Selvena</w:t>
      </w:r>
      <w:proofErr w:type="spellEnd"/>
      <w:r w:rsidRPr="000D74A3">
        <w:t xml:space="preserve"> 2 spot vent (Lat. 42.773°; Long. 11.6252°), during olfactometric sampling. </w:t>
      </w:r>
    </w:p>
    <w:p w14:paraId="69685F55" w14:textId="78214281" w:rsidR="00276651" w:rsidRPr="000D74A3" w:rsidRDefault="00EA54A0" w:rsidP="00276651">
      <w:pPr>
        <w:pStyle w:val="CETHeading1"/>
        <w:rPr>
          <w:lang w:val="en-GB"/>
        </w:rPr>
      </w:pPr>
      <w:r w:rsidRPr="000D74A3">
        <w:rPr>
          <w:lang w:val="en-GB"/>
        </w:rPr>
        <w:t>Results and Discussion</w:t>
      </w:r>
    </w:p>
    <w:p w14:paraId="406A9B42" w14:textId="77777777" w:rsidR="00BB0234" w:rsidRDefault="006E240A" w:rsidP="006E240A">
      <w:pPr>
        <w:pStyle w:val="CETBodytext"/>
        <w:rPr>
          <w:lang w:val="en-GB"/>
        </w:rPr>
      </w:pPr>
      <w:r w:rsidRPr="000D74A3">
        <w:rPr>
          <w:lang w:val="en-GB"/>
        </w:rPr>
        <w:t xml:space="preserve">In </w:t>
      </w:r>
      <w:r w:rsidR="00102F92" w:rsidRPr="000D74A3">
        <w:rPr>
          <w:lang w:val="en-GB"/>
        </w:rPr>
        <w:fldChar w:fldCharType="begin"/>
      </w:r>
      <w:r w:rsidR="00102F92" w:rsidRPr="000D74A3">
        <w:rPr>
          <w:lang w:val="en-GB"/>
        </w:rPr>
        <w:instrText xml:space="preserve"> REF _Ref165202257 \h </w:instrText>
      </w:r>
      <w:r w:rsidR="00102F92" w:rsidRPr="000D74A3">
        <w:rPr>
          <w:lang w:val="en-GB"/>
        </w:rPr>
      </w:r>
      <w:r w:rsidR="00102F92" w:rsidRPr="000D74A3">
        <w:rPr>
          <w:lang w:val="en-GB"/>
        </w:rPr>
        <w:fldChar w:fldCharType="separate"/>
      </w:r>
      <w:r w:rsidR="00102F92" w:rsidRPr="000D74A3">
        <w:rPr>
          <w:lang w:val="en-GB"/>
        </w:rPr>
        <w:t>Table 1</w:t>
      </w:r>
      <w:r w:rsidR="00102F92" w:rsidRPr="000D74A3">
        <w:rPr>
          <w:lang w:val="en-GB"/>
        </w:rPr>
        <w:fldChar w:fldCharType="end"/>
      </w:r>
      <w:r w:rsidR="00102F92" w:rsidRPr="000D74A3">
        <w:rPr>
          <w:lang w:val="en-GB"/>
        </w:rPr>
        <w:t xml:space="preserve"> the concentration results, detected in field campaign</w:t>
      </w:r>
      <w:r w:rsidR="003F5FF1" w:rsidRPr="000D74A3">
        <w:rPr>
          <w:lang w:val="en-GB"/>
        </w:rPr>
        <w:t>s</w:t>
      </w:r>
      <w:r w:rsidR="00102F92" w:rsidRPr="000D74A3">
        <w:rPr>
          <w:lang w:val="en-GB"/>
        </w:rPr>
        <w:t xml:space="preserve"> at Mt. </w:t>
      </w:r>
      <w:proofErr w:type="spellStart"/>
      <w:r w:rsidR="00102F92" w:rsidRPr="000D74A3">
        <w:rPr>
          <w:lang w:val="en-GB"/>
        </w:rPr>
        <w:t>Amiata</w:t>
      </w:r>
      <w:proofErr w:type="spellEnd"/>
      <w:r w:rsidR="00102F92" w:rsidRPr="000D74A3">
        <w:rPr>
          <w:lang w:val="en-GB"/>
        </w:rPr>
        <w:t xml:space="preserve"> area, are summarized.</w:t>
      </w:r>
    </w:p>
    <w:p w14:paraId="027E6B81" w14:textId="474F870D" w:rsidR="006E240A" w:rsidRDefault="00BB0234" w:rsidP="00BB0234">
      <w:pPr>
        <w:pStyle w:val="CETTabletitle"/>
      </w:pPr>
      <w:bookmarkStart w:id="2" w:name="_Ref165202257"/>
      <w:r w:rsidRPr="000D74A3">
        <w:t xml:space="preserve">Table </w:t>
      </w:r>
      <w:r w:rsidRPr="000D74A3">
        <w:fldChar w:fldCharType="begin"/>
      </w:r>
      <w:r w:rsidRPr="000D74A3">
        <w:instrText xml:space="preserve"> SEQ Table \* ARABIC </w:instrText>
      </w:r>
      <w:r w:rsidRPr="000D74A3">
        <w:fldChar w:fldCharType="separate"/>
      </w:r>
      <w:r w:rsidRPr="000D74A3">
        <w:t>1</w:t>
      </w:r>
      <w:r w:rsidRPr="000D74A3">
        <w:fldChar w:fldCharType="end"/>
      </w:r>
      <w:bookmarkEnd w:id="2"/>
      <w:r w:rsidRPr="000D74A3">
        <w:t xml:space="preserve">. Concentration and gas flow data obtained during field campaigns at Mt. </w:t>
      </w:r>
      <w:proofErr w:type="spellStart"/>
      <w:r w:rsidRPr="000D74A3">
        <w:t>Amiata’s</w:t>
      </w:r>
      <w:proofErr w:type="spellEnd"/>
      <w:r w:rsidRPr="000D74A3">
        <w:t xml:space="preserve"> spot vent gaseous emissions. The gas flows are expressed in m</w:t>
      </w:r>
      <w:r w:rsidRPr="000015DC">
        <w:rPr>
          <w:vertAlign w:val="superscript"/>
        </w:rPr>
        <w:t>3</w:t>
      </w:r>
      <w:r w:rsidRPr="000D74A3">
        <w:t xml:space="preserve">/h, normalised for dynamic olfactometry measurements, 101,325 Pa and 293 K.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261"/>
        <w:gridCol w:w="1134"/>
        <w:gridCol w:w="1842"/>
        <w:gridCol w:w="1560"/>
        <w:gridCol w:w="983"/>
      </w:tblGrid>
      <w:tr w:rsidR="00BB0234" w:rsidRPr="00B57B36" w14:paraId="7A756641" w14:textId="77777777" w:rsidTr="00BB0234">
        <w:trPr>
          <w:trHeight w:val="281"/>
        </w:trPr>
        <w:tc>
          <w:tcPr>
            <w:tcW w:w="3261" w:type="dxa"/>
            <w:tcBorders>
              <w:top w:val="single" w:sz="12" w:space="0" w:color="008000"/>
              <w:bottom w:val="single" w:sz="6" w:space="0" w:color="008000"/>
            </w:tcBorders>
            <w:shd w:val="clear" w:color="auto" w:fill="FFFFFF"/>
            <w:vAlign w:val="center"/>
          </w:tcPr>
          <w:p w14:paraId="3D1ABCB6" w14:textId="6AFC3E29" w:rsidR="00BB0234" w:rsidRPr="00BB0234" w:rsidRDefault="00BB0234" w:rsidP="00BB0234">
            <w:pPr>
              <w:pStyle w:val="CETBodytext"/>
              <w:rPr>
                <w:lang w:val="en-GB"/>
              </w:rPr>
            </w:pPr>
            <w:r w:rsidRPr="00BB0234">
              <w:rPr>
                <w:lang w:val="en-GB"/>
              </w:rPr>
              <w:t>Measurement</w:t>
            </w:r>
          </w:p>
        </w:tc>
        <w:tc>
          <w:tcPr>
            <w:tcW w:w="1134" w:type="dxa"/>
            <w:tcBorders>
              <w:top w:val="single" w:sz="12" w:space="0" w:color="008000"/>
              <w:bottom w:val="single" w:sz="6" w:space="0" w:color="008000"/>
            </w:tcBorders>
            <w:shd w:val="clear" w:color="auto" w:fill="FFFFFF"/>
            <w:vAlign w:val="center"/>
          </w:tcPr>
          <w:p w14:paraId="45C66AD5" w14:textId="4327DD7C" w:rsidR="00BB0234" w:rsidRPr="00BB0234" w:rsidRDefault="00BB0234" w:rsidP="00BB0234">
            <w:pPr>
              <w:pStyle w:val="CETBodytext"/>
              <w:rPr>
                <w:lang w:val="en-GB"/>
              </w:rPr>
            </w:pPr>
            <w:r w:rsidRPr="00BB0234">
              <w:rPr>
                <w:lang w:val="en-GB"/>
              </w:rPr>
              <w:t>Average</w:t>
            </w:r>
          </w:p>
        </w:tc>
        <w:tc>
          <w:tcPr>
            <w:tcW w:w="1842" w:type="dxa"/>
            <w:tcBorders>
              <w:top w:val="single" w:sz="12" w:space="0" w:color="008000"/>
              <w:bottom w:val="single" w:sz="6" w:space="0" w:color="008000"/>
            </w:tcBorders>
            <w:shd w:val="clear" w:color="auto" w:fill="FFFFFF"/>
            <w:vAlign w:val="center"/>
          </w:tcPr>
          <w:p w14:paraId="67FD499D" w14:textId="29440995" w:rsidR="00BB0234" w:rsidRPr="00BB0234" w:rsidRDefault="00BB0234" w:rsidP="00BB0234">
            <w:pPr>
              <w:pStyle w:val="CETBodytext"/>
              <w:rPr>
                <w:lang w:val="en-GB"/>
              </w:rPr>
            </w:pPr>
            <w:r w:rsidRPr="00BB0234">
              <w:rPr>
                <w:lang w:val="en-GB"/>
              </w:rPr>
              <w:t>Standard deviation</w:t>
            </w:r>
          </w:p>
        </w:tc>
        <w:tc>
          <w:tcPr>
            <w:tcW w:w="1560" w:type="dxa"/>
            <w:tcBorders>
              <w:top w:val="single" w:sz="12" w:space="0" w:color="008000"/>
              <w:bottom w:val="single" w:sz="6" w:space="0" w:color="008000"/>
            </w:tcBorders>
            <w:shd w:val="clear" w:color="auto" w:fill="FFFFFF"/>
            <w:vAlign w:val="center"/>
          </w:tcPr>
          <w:p w14:paraId="7AFDFCE0" w14:textId="323057D8" w:rsidR="00BB0234" w:rsidRPr="00BB0234" w:rsidRDefault="00BB0234" w:rsidP="00BB0234">
            <w:pPr>
              <w:pStyle w:val="CETBodytext"/>
              <w:ind w:right="-1"/>
              <w:rPr>
                <w:rFonts w:cs="Arial"/>
                <w:szCs w:val="18"/>
                <w:lang w:val="en-GB"/>
              </w:rPr>
            </w:pPr>
            <w:r w:rsidRPr="00BB0234">
              <w:rPr>
                <w:lang w:val="en-GB"/>
              </w:rPr>
              <w:t>Minimum</w:t>
            </w:r>
          </w:p>
        </w:tc>
        <w:tc>
          <w:tcPr>
            <w:tcW w:w="983" w:type="dxa"/>
            <w:tcBorders>
              <w:top w:val="single" w:sz="12" w:space="0" w:color="008000"/>
              <w:bottom w:val="single" w:sz="6" w:space="0" w:color="008000"/>
            </w:tcBorders>
            <w:shd w:val="clear" w:color="auto" w:fill="FFFFFF"/>
            <w:vAlign w:val="center"/>
          </w:tcPr>
          <w:p w14:paraId="7CDB0C57" w14:textId="03A6D496" w:rsidR="00BB0234" w:rsidRPr="00BB0234" w:rsidRDefault="00BB0234" w:rsidP="00BB0234">
            <w:pPr>
              <w:pStyle w:val="CETBodytext"/>
              <w:ind w:right="-1"/>
              <w:rPr>
                <w:rFonts w:cs="Arial"/>
                <w:szCs w:val="18"/>
                <w:lang w:val="en-GB"/>
              </w:rPr>
            </w:pPr>
            <w:r w:rsidRPr="00BB0234">
              <w:rPr>
                <w:lang w:val="en-GB"/>
              </w:rPr>
              <w:t>Maximum</w:t>
            </w:r>
          </w:p>
        </w:tc>
      </w:tr>
      <w:tr w:rsidR="00BB0234" w:rsidRPr="00B57B36" w14:paraId="0E10C4D1" w14:textId="77777777" w:rsidTr="00BB0234">
        <w:trPr>
          <w:trHeight w:val="281"/>
        </w:trPr>
        <w:tc>
          <w:tcPr>
            <w:tcW w:w="3261" w:type="dxa"/>
            <w:shd w:val="clear" w:color="auto" w:fill="FFFFFF"/>
            <w:vAlign w:val="center"/>
          </w:tcPr>
          <w:p w14:paraId="04E0C72D" w14:textId="636FD10A" w:rsidR="00BB0234" w:rsidRPr="00BB0234" w:rsidRDefault="00BB0234" w:rsidP="00BB0234">
            <w:pPr>
              <w:pStyle w:val="CETBodytext"/>
              <w:rPr>
                <w:lang w:val="en-GB"/>
              </w:rPr>
            </w:pPr>
            <w:r w:rsidRPr="00BB0234">
              <w:rPr>
                <w:lang w:val="en-GB"/>
              </w:rPr>
              <w:t>H</w:t>
            </w:r>
            <w:r w:rsidRPr="00BB0234">
              <w:rPr>
                <w:vertAlign w:val="subscript"/>
                <w:lang w:val="en-GB"/>
              </w:rPr>
              <w:t xml:space="preserve">2 </w:t>
            </w:r>
            <w:r w:rsidRPr="00BB0234">
              <w:rPr>
                <w:lang w:val="en-GB"/>
              </w:rPr>
              <w:t>[%v/v]</w:t>
            </w:r>
          </w:p>
        </w:tc>
        <w:tc>
          <w:tcPr>
            <w:tcW w:w="1134" w:type="dxa"/>
            <w:shd w:val="clear" w:color="auto" w:fill="FFFFFF"/>
            <w:vAlign w:val="center"/>
          </w:tcPr>
          <w:p w14:paraId="3E45AAB1" w14:textId="53B36797" w:rsidR="00BB0234" w:rsidRPr="00B57B36" w:rsidRDefault="00BB0234" w:rsidP="00BB0234">
            <w:pPr>
              <w:pStyle w:val="CETBodytext"/>
              <w:rPr>
                <w:lang w:val="en-GB"/>
              </w:rPr>
            </w:pPr>
            <w:r w:rsidRPr="000D74A3">
              <w:rPr>
                <w:lang w:val="en-GB"/>
              </w:rPr>
              <w:t>0.11</w:t>
            </w:r>
          </w:p>
        </w:tc>
        <w:tc>
          <w:tcPr>
            <w:tcW w:w="1842" w:type="dxa"/>
            <w:shd w:val="clear" w:color="auto" w:fill="FFFFFF"/>
            <w:vAlign w:val="center"/>
          </w:tcPr>
          <w:p w14:paraId="11B21BA0" w14:textId="2499E878" w:rsidR="00BB0234" w:rsidRPr="00B57B36" w:rsidRDefault="00BB0234" w:rsidP="00BB0234">
            <w:pPr>
              <w:pStyle w:val="CETBodytext"/>
              <w:rPr>
                <w:lang w:val="en-GB"/>
              </w:rPr>
            </w:pPr>
            <w:r w:rsidRPr="000D74A3">
              <w:rPr>
                <w:lang w:val="en-GB"/>
              </w:rPr>
              <w:t>0.24</w:t>
            </w:r>
          </w:p>
        </w:tc>
        <w:tc>
          <w:tcPr>
            <w:tcW w:w="1560" w:type="dxa"/>
            <w:shd w:val="clear" w:color="auto" w:fill="FFFFFF"/>
            <w:vAlign w:val="center"/>
          </w:tcPr>
          <w:p w14:paraId="78DA7C00" w14:textId="3F780A8D" w:rsidR="00BB0234" w:rsidRPr="00B57B36" w:rsidRDefault="00BB0234" w:rsidP="00BB0234">
            <w:pPr>
              <w:pStyle w:val="CETBodytext"/>
              <w:ind w:right="-1"/>
              <w:rPr>
                <w:rFonts w:cs="Arial"/>
                <w:szCs w:val="18"/>
                <w:lang w:val="en-GB"/>
              </w:rPr>
            </w:pPr>
            <w:r w:rsidRPr="000D74A3">
              <w:rPr>
                <w:lang w:val="en-GB"/>
              </w:rPr>
              <w:t>&lt;0.01</w:t>
            </w:r>
          </w:p>
        </w:tc>
        <w:tc>
          <w:tcPr>
            <w:tcW w:w="983" w:type="dxa"/>
            <w:shd w:val="clear" w:color="auto" w:fill="FFFFFF"/>
            <w:vAlign w:val="center"/>
          </w:tcPr>
          <w:p w14:paraId="70D3F2A6" w14:textId="7B399D95" w:rsidR="00BB0234" w:rsidRPr="00B57B36" w:rsidRDefault="00BB0234" w:rsidP="00BB0234">
            <w:pPr>
              <w:pStyle w:val="CETBodytext"/>
              <w:ind w:right="-1"/>
              <w:rPr>
                <w:rFonts w:cs="Arial"/>
                <w:szCs w:val="18"/>
                <w:lang w:val="en-GB"/>
              </w:rPr>
            </w:pPr>
            <w:r w:rsidRPr="000D74A3">
              <w:rPr>
                <w:lang w:val="en-GB"/>
              </w:rPr>
              <w:t>0.92</w:t>
            </w:r>
          </w:p>
        </w:tc>
      </w:tr>
      <w:tr w:rsidR="00BB0234" w:rsidRPr="00B57B36" w14:paraId="3BC7A61C" w14:textId="77777777" w:rsidTr="00BB0234">
        <w:trPr>
          <w:trHeight w:val="300"/>
        </w:trPr>
        <w:tc>
          <w:tcPr>
            <w:tcW w:w="3261" w:type="dxa"/>
            <w:shd w:val="clear" w:color="auto" w:fill="FFFFFF"/>
            <w:vAlign w:val="center"/>
          </w:tcPr>
          <w:p w14:paraId="345B38CE" w14:textId="6C5F5F94" w:rsidR="00BB0234" w:rsidRPr="00BB0234" w:rsidRDefault="00BB0234" w:rsidP="00BB0234">
            <w:pPr>
              <w:pStyle w:val="CETBodytext"/>
              <w:ind w:right="-1"/>
              <w:rPr>
                <w:rFonts w:cs="Arial"/>
                <w:szCs w:val="18"/>
                <w:lang w:val="en-GB"/>
              </w:rPr>
            </w:pPr>
            <w:r w:rsidRPr="00BB0234">
              <w:rPr>
                <w:lang w:val="en-GB"/>
              </w:rPr>
              <w:t>O</w:t>
            </w:r>
            <w:r w:rsidRPr="00BB0234">
              <w:rPr>
                <w:vertAlign w:val="subscript"/>
                <w:lang w:val="en-GB"/>
              </w:rPr>
              <w:t xml:space="preserve">2 </w:t>
            </w:r>
            <w:r w:rsidRPr="00BB0234">
              <w:rPr>
                <w:lang w:val="en-GB"/>
              </w:rPr>
              <w:t>[%v/v]</w:t>
            </w:r>
          </w:p>
        </w:tc>
        <w:tc>
          <w:tcPr>
            <w:tcW w:w="1134" w:type="dxa"/>
            <w:shd w:val="clear" w:color="auto" w:fill="FFFFFF"/>
            <w:vAlign w:val="center"/>
          </w:tcPr>
          <w:p w14:paraId="2A9EF720" w14:textId="21E293C0" w:rsidR="00BB0234" w:rsidRPr="00B57B36" w:rsidRDefault="00BB0234" w:rsidP="00BB0234">
            <w:pPr>
              <w:pStyle w:val="CETBodytext"/>
              <w:ind w:right="-1"/>
              <w:rPr>
                <w:rFonts w:cs="Arial"/>
                <w:szCs w:val="18"/>
                <w:lang w:val="en-GB"/>
              </w:rPr>
            </w:pPr>
            <w:r w:rsidRPr="000D74A3">
              <w:rPr>
                <w:lang w:val="en-GB"/>
              </w:rPr>
              <w:t>1.06</w:t>
            </w:r>
          </w:p>
        </w:tc>
        <w:tc>
          <w:tcPr>
            <w:tcW w:w="1842" w:type="dxa"/>
            <w:shd w:val="clear" w:color="auto" w:fill="FFFFFF"/>
            <w:vAlign w:val="center"/>
          </w:tcPr>
          <w:p w14:paraId="2F7B5A9F" w14:textId="0C4ADE48" w:rsidR="00BB0234" w:rsidRPr="00B57B36" w:rsidRDefault="00BB0234" w:rsidP="00BB0234">
            <w:pPr>
              <w:pStyle w:val="CETBodytext"/>
              <w:ind w:right="-1"/>
              <w:rPr>
                <w:rFonts w:cs="Arial"/>
                <w:szCs w:val="18"/>
                <w:lang w:val="en-GB"/>
              </w:rPr>
            </w:pPr>
            <w:r w:rsidRPr="000D74A3">
              <w:rPr>
                <w:lang w:val="en-GB"/>
              </w:rPr>
              <w:t>2.15</w:t>
            </w:r>
          </w:p>
        </w:tc>
        <w:tc>
          <w:tcPr>
            <w:tcW w:w="1560" w:type="dxa"/>
            <w:shd w:val="clear" w:color="auto" w:fill="FFFFFF"/>
            <w:vAlign w:val="center"/>
          </w:tcPr>
          <w:p w14:paraId="2A5050FE" w14:textId="2F3E261B" w:rsidR="00BB0234" w:rsidRPr="00B57B36" w:rsidRDefault="00BB0234" w:rsidP="00BB0234">
            <w:pPr>
              <w:pStyle w:val="CETBodytext"/>
              <w:ind w:right="-1"/>
              <w:rPr>
                <w:rFonts w:cs="Arial"/>
                <w:szCs w:val="18"/>
                <w:lang w:val="en-GB"/>
              </w:rPr>
            </w:pPr>
            <w:r w:rsidRPr="000D74A3">
              <w:rPr>
                <w:lang w:val="en-GB"/>
              </w:rPr>
              <w:t>0.01</w:t>
            </w:r>
          </w:p>
        </w:tc>
        <w:tc>
          <w:tcPr>
            <w:tcW w:w="983" w:type="dxa"/>
            <w:shd w:val="clear" w:color="auto" w:fill="FFFFFF"/>
            <w:vAlign w:val="center"/>
          </w:tcPr>
          <w:p w14:paraId="663FE1D5" w14:textId="7E48AB41" w:rsidR="00BB0234" w:rsidRPr="00B57B36" w:rsidRDefault="00BB0234" w:rsidP="00BB0234">
            <w:pPr>
              <w:pStyle w:val="CETBodytext"/>
              <w:ind w:right="-1"/>
              <w:rPr>
                <w:rFonts w:cs="Arial"/>
                <w:szCs w:val="18"/>
                <w:lang w:val="en-GB"/>
              </w:rPr>
            </w:pPr>
            <w:r w:rsidRPr="000D74A3">
              <w:rPr>
                <w:lang w:val="en-GB"/>
              </w:rPr>
              <w:t>8.56</w:t>
            </w:r>
          </w:p>
        </w:tc>
      </w:tr>
      <w:tr w:rsidR="00BB0234" w:rsidRPr="00B57B36" w14:paraId="5517C093" w14:textId="77777777" w:rsidTr="00BB0234">
        <w:trPr>
          <w:trHeight w:val="281"/>
        </w:trPr>
        <w:tc>
          <w:tcPr>
            <w:tcW w:w="3261" w:type="dxa"/>
            <w:shd w:val="clear" w:color="auto" w:fill="FFFFFF"/>
            <w:vAlign w:val="center"/>
          </w:tcPr>
          <w:p w14:paraId="02285435" w14:textId="44DEC776" w:rsidR="00BB0234" w:rsidRPr="00BB0234" w:rsidRDefault="00BB0234" w:rsidP="00BB0234">
            <w:pPr>
              <w:pStyle w:val="CETBodytext"/>
              <w:ind w:right="-1"/>
              <w:rPr>
                <w:rFonts w:cs="Arial"/>
                <w:szCs w:val="18"/>
                <w:lang w:val="en-GB"/>
              </w:rPr>
            </w:pPr>
            <w:r w:rsidRPr="00BB0234">
              <w:rPr>
                <w:lang w:val="en-GB"/>
              </w:rPr>
              <w:t>N</w:t>
            </w:r>
            <w:r w:rsidRPr="00BB0234">
              <w:rPr>
                <w:vertAlign w:val="subscript"/>
                <w:lang w:val="en-GB"/>
              </w:rPr>
              <w:t xml:space="preserve">2 </w:t>
            </w:r>
            <w:r w:rsidRPr="00BB0234">
              <w:rPr>
                <w:lang w:val="en-GB"/>
              </w:rPr>
              <w:t>[%v/v]</w:t>
            </w:r>
          </w:p>
        </w:tc>
        <w:tc>
          <w:tcPr>
            <w:tcW w:w="1134" w:type="dxa"/>
            <w:shd w:val="clear" w:color="auto" w:fill="FFFFFF"/>
            <w:vAlign w:val="center"/>
          </w:tcPr>
          <w:p w14:paraId="603326DB" w14:textId="3196D49B" w:rsidR="00BB0234" w:rsidRPr="00B57B36" w:rsidRDefault="00BB0234" w:rsidP="00BB0234">
            <w:pPr>
              <w:pStyle w:val="CETBodytext"/>
              <w:ind w:right="-1"/>
              <w:rPr>
                <w:rFonts w:cs="Arial"/>
                <w:szCs w:val="18"/>
                <w:lang w:val="en-GB"/>
              </w:rPr>
            </w:pPr>
            <w:r w:rsidRPr="000D74A3">
              <w:rPr>
                <w:lang w:val="en-GB"/>
              </w:rPr>
              <w:t>5.8</w:t>
            </w:r>
          </w:p>
        </w:tc>
        <w:tc>
          <w:tcPr>
            <w:tcW w:w="1842" w:type="dxa"/>
            <w:shd w:val="clear" w:color="auto" w:fill="FFFFFF"/>
            <w:vAlign w:val="center"/>
          </w:tcPr>
          <w:p w14:paraId="256682D8" w14:textId="026716E1" w:rsidR="00BB0234" w:rsidRPr="00B57B36" w:rsidRDefault="00BB0234" w:rsidP="00BB0234">
            <w:pPr>
              <w:pStyle w:val="CETBodytext"/>
              <w:ind w:right="-1"/>
              <w:rPr>
                <w:rFonts w:cs="Arial"/>
                <w:szCs w:val="18"/>
                <w:lang w:val="en-GB"/>
              </w:rPr>
            </w:pPr>
            <w:r w:rsidRPr="000D74A3">
              <w:rPr>
                <w:lang w:val="en-GB"/>
              </w:rPr>
              <w:t>7.6</w:t>
            </w:r>
          </w:p>
        </w:tc>
        <w:tc>
          <w:tcPr>
            <w:tcW w:w="1560" w:type="dxa"/>
            <w:shd w:val="clear" w:color="auto" w:fill="FFFFFF"/>
            <w:vAlign w:val="center"/>
          </w:tcPr>
          <w:p w14:paraId="68B6566F" w14:textId="47E55DAD" w:rsidR="00BB0234" w:rsidRPr="00B57B36" w:rsidRDefault="00BB0234" w:rsidP="00BB0234">
            <w:pPr>
              <w:pStyle w:val="CETBodytext"/>
              <w:ind w:right="-1"/>
              <w:rPr>
                <w:rFonts w:cs="Arial"/>
                <w:szCs w:val="18"/>
                <w:lang w:val="en-GB"/>
              </w:rPr>
            </w:pPr>
            <w:r w:rsidRPr="000D74A3">
              <w:rPr>
                <w:lang w:val="en-GB"/>
              </w:rPr>
              <w:t>1.3</w:t>
            </w:r>
          </w:p>
        </w:tc>
        <w:tc>
          <w:tcPr>
            <w:tcW w:w="983" w:type="dxa"/>
            <w:shd w:val="clear" w:color="auto" w:fill="FFFFFF"/>
            <w:vAlign w:val="center"/>
          </w:tcPr>
          <w:p w14:paraId="361EC27B" w14:textId="45478892" w:rsidR="00BB0234" w:rsidRPr="00B57B36" w:rsidRDefault="00BB0234" w:rsidP="00BB0234">
            <w:pPr>
              <w:pStyle w:val="CETBodytext"/>
              <w:ind w:right="-1"/>
              <w:rPr>
                <w:rFonts w:cs="Arial"/>
                <w:szCs w:val="18"/>
                <w:lang w:val="en-GB"/>
              </w:rPr>
            </w:pPr>
            <w:r w:rsidRPr="000D74A3">
              <w:rPr>
                <w:lang w:val="en-GB"/>
              </w:rPr>
              <w:t>31.5</w:t>
            </w:r>
          </w:p>
        </w:tc>
      </w:tr>
      <w:tr w:rsidR="00BB0234" w:rsidRPr="00B57B36" w14:paraId="507D97D6" w14:textId="77777777" w:rsidTr="00BB0234">
        <w:trPr>
          <w:trHeight w:val="281"/>
        </w:trPr>
        <w:tc>
          <w:tcPr>
            <w:tcW w:w="3261" w:type="dxa"/>
            <w:shd w:val="clear" w:color="auto" w:fill="FFFFFF"/>
            <w:vAlign w:val="center"/>
          </w:tcPr>
          <w:p w14:paraId="20B46351" w14:textId="644F27E5" w:rsidR="00BB0234" w:rsidRPr="00BB0234" w:rsidRDefault="00BB0234" w:rsidP="00BB0234">
            <w:pPr>
              <w:pStyle w:val="CETBodytext"/>
              <w:ind w:right="-1"/>
              <w:rPr>
                <w:rFonts w:cs="Arial"/>
                <w:szCs w:val="18"/>
                <w:lang w:val="en-GB"/>
              </w:rPr>
            </w:pPr>
            <w:r w:rsidRPr="00BB0234">
              <w:rPr>
                <w:lang w:val="en-GB"/>
              </w:rPr>
              <w:t>CH</w:t>
            </w:r>
            <w:r w:rsidRPr="00BB0234">
              <w:rPr>
                <w:vertAlign w:val="subscript"/>
                <w:lang w:val="en-GB"/>
              </w:rPr>
              <w:t xml:space="preserve">4 </w:t>
            </w:r>
            <w:r w:rsidRPr="00BB0234">
              <w:rPr>
                <w:lang w:val="en-GB"/>
              </w:rPr>
              <w:t>[%v/v]</w:t>
            </w:r>
          </w:p>
        </w:tc>
        <w:tc>
          <w:tcPr>
            <w:tcW w:w="1134" w:type="dxa"/>
            <w:shd w:val="clear" w:color="auto" w:fill="FFFFFF"/>
            <w:vAlign w:val="center"/>
          </w:tcPr>
          <w:p w14:paraId="4352EC79" w14:textId="4BBA7ABF" w:rsidR="00BB0234" w:rsidRPr="00B57B36" w:rsidRDefault="00BB0234" w:rsidP="00BB0234">
            <w:pPr>
              <w:pStyle w:val="CETBodytext"/>
              <w:ind w:right="-1"/>
              <w:rPr>
                <w:rFonts w:cs="Arial"/>
                <w:szCs w:val="18"/>
                <w:lang w:val="en-GB"/>
              </w:rPr>
            </w:pPr>
            <w:r w:rsidRPr="000D74A3">
              <w:rPr>
                <w:lang w:val="en-GB"/>
              </w:rPr>
              <w:t>4.3</w:t>
            </w:r>
          </w:p>
        </w:tc>
        <w:tc>
          <w:tcPr>
            <w:tcW w:w="1842" w:type="dxa"/>
            <w:shd w:val="clear" w:color="auto" w:fill="FFFFFF"/>
            <w:vAlign w:val="center"/>
          </w:tcPr>
          <w:p w14:paraId="5F46B3D3" w14:textId="4C03C335" w:rsidR="00BB0234" w:rsidRPr="00B57B36" w:rsidRDefault="00BB0234" w:rsidP="00BB0234">
            <w:pPr>
              <w:pStyle w:val="CETBodytext"/>
              <w:ind w:right="-1"/>
              <w:rPr>
                <w:rFonts w:cs="Arial"/>
                <w:szCs w:val="18"/>
                <w:lang w:val="en-GB"/>
              </w:rPr>
            </w:pPr>
            <w:r w:rsidRPr="000D74A3">
              <w:rPr>
                <w:lang w:val="en-GB"/>
              </w:rPr>
              <w:t>3.1</w:t>
            </w:r>
          </w:p>
        </w:tc>
        <w:tc>
          <w:tcPr>
            <w:tcW w:w="1560" w:type="dxa"/>
            <w:shd w:val="clear" w:color="auto" w:fill="FFFFFF"/>
            <w:vAlign w:val="center"/>
          </w:tcPr>
          <w:p w14:paraId="366D85A3" w14:textId="4764AF94" w:rsidR="00BB0234" w:rsidRPr="00B57B36" w:rsidRDefault="00BB0234" w:rsidP="00BB0234">
            <w:pPr>
              <w:pStyle w:val="CETBodytext"/>
              <w:ind w:right="-1"/>
              <w:rPr>
                <w:rFonts w:cs="Arial"/>
                <w:szCs w:val="18"/>
                <w:lang w:val="en-GB"/>
              </w:rPr>
            </w:pPr>
            <w:r w:rsidRPr="000D74A3">
              <w:rPr>
                <w:lang w:val="en-GB"/>
              </w:rPr>
              <w:t>0.85</w:t>
            </w:r>
          </w:p>
        </w:tc>
        <w:tc>
          <w:tcPr>
            <w:tcW w:w="983" w:type="dxa"/>
            <w:shd w:val="clear" w:color="auto" w:fill="FFFFFF"/>
            <w:vAlign w:val="center"/>
          </w:tcPr>
          <w:p w14:paraId="22AC8BD8" w14:textId="7CB0AD1C" w:rsidR="00BB0234" w:rsidRPr="00B57B36" w:rsidRDefault="00BB0234" w:rsidP="00BB0234">
            <w:pPr>
              <w:pStyle w:val="CETBodytext"/>
              <w:ind w:right="-1"/>
              <w:rPr>
                <w:rFonts w:cs="Arial"/>
                <w:szCs w:val="18"/>
                <w:lang w:val="en-GB"/>
              </w:rPr>
            </w:pPr>
            <w:r w:rsidRPr="000D74A3">
              <w:rPr>
                <w:lang w:val="en-GB"/>
              </w:rPr>
              <w:t>12.9</w:t>
            </w:r>
          </w:p>
        </w:tc>
      </w:tr>
      <w:tr w:rsidR="00BB0234" w:rsidRPr="00B57B36" w14:paraId="2DC2E367" w14:textId="77777777" w:rsidTr="00BB0234">
        <w:trPr>
          <w:trHeight w:val="281"/>
        </w:trPr>
        <w:tc>
          <w:tcPr>
            <w:tcW w:w="3261" w:type="dxa"/>
            <w:shd w:val="clear" w:color="auto" w:fill="FFFFFF"/>
            <w:vAlign w:val="center"/>
          </w:tcPr>
          <w:p w14:paraId="725639C9" w14:textId="20EDFE0A" w:rsidR="00BB0234" w:rsidRPr="00BB0234" w:rsidRDefault="00BB0234" w:rsidP="00BB0234">
            <w:pPr>
              <w:pStyle w:val="CETBodytext"/>
              <w:ind w:right="-1"/>
              <w:rPr>
                <w:rFonts w:cs="Arial"/>
                <w:szCs w:val="18"/>
                <w:lang w:val="en-GB"/>
              </w:rPr>
            </w:pPr>
            <w:r w:rsidRPr="00BB0234">
              <w:rPr>
                <w:lang w:val="en-GB"/>
              </w:rPr>
              <w:t>CO</w:t>
            </w:r>
            <w:r w:rsidRPr="00BB0234">
              <w:rPr>
                <w:vertAlign w:val="subscript"/>
                <w:lang w:val="en-GB"/>
              </w:rPr>
              <w:t xml:space="preserve">2 </w:t>
            </w:r>
            <w:r w:rsidRPr="00BB0234">
              <w:rPr>
                <w:lang w:val="en-GB"/>
              </w:rPr>
              <w:t>[%v/v]</w:t>
            </w:r>
          </w:p>
        </w:tc>
        <w:tc>
          <w:tcPr>
            <w:tcW w:w="1134" w:type="dxa"/>
            <w:shd w:val="clear" w:color="auto" w:fill="FFFFFF"/>
            <w:vAlign w:val="center"/>
          </w:tcPr>
          <w:p w14:paraId="70F3C9B5" w14:textId="65378AA4" w:rsidR="00BB0234" w:rsidRPr="00B57B36" w:rsidRDefault="00BB0234" w:rsidP="00BB0234">
            <w:pPr>
              <w:pStyle w:val="CETBodytext"/>
              <w:ind w:right="-1"/>
              <w:rPr>
                <w:rFonts w:cs="Arial"/>
                <w:szCs w:val="18"/>
                <w:lang w:val="en-GB"/>
              </w:rPr>
            </w:pPr>
            <w:r w:rsidRPr="000D74A3">
              <w:rPr>
                <w:lang w:val="en-GB"/>
              </w:rPr>
              <w:t>88.5</w:t>
            </w:r>
          </w:p>
        </w:tc>
        <w:tc>
          <w:tcPr>
            <w:tcW w:w="1842" w:type="dxa"/>
            <w:shd w:val="clear" w:color="auto" w:fill="FFFFFF"/>
            <w:vAlign w:val="center"/>
          </w:tcPr>
          <w:p w14:paraId="538E1811" w14:textId="1ECE9A95" w:rsidR="00BB0234" w:rsidRPr="00B57B36" w:rsidRDefault="00BB0234" w:rsidP="00BB0234">
            <w:pPr>
              <w:pStyle w:val="CETBodytext"/>
              <w:ind w:right="-1"/>
              <w:rPr>
                <w:rFonts w:cs="Arial"/>
                <w:szCs w:val="18"/>
                <w:lang w:val="en-GB"/>
              </w:rPr>
            </w:pPr>
            <w:r w:rsidRPr="000D74A3">
              <w:rPr>
                <w:lang w:val="en-GB"/>
              </w:rPr>
              <w:t>9.0</w:t>
            </w:r>
          </w:p>
        </w:tc>
        <w:tc>
          <w:tcPr>
            <w:tcW w:w="1560" w:type="dxa"/>
            <w:shd w:val="clear" w:color="auto" w:fill="FFFFFF"/>
            <w:vAlign w:val="center"/>
          </w:tcPr>
          <w:p w14:paraId="0D3E3300" w14:textId="770D1A45" w:rsidR="00BB0234" w:rsidRPr="00B57B36" w:rsidRDefault="00BB0234" w:rsidP="00BB0234">
            <w:pPr>
              <w:pStyle w:val="CETBodytext"/>
              <w:ind w:right="-1"/>
              <w:rPr>
                <w:rFonts w:cs="Arial"/>
                <w:szCs w:val="18"/>
                <w:lang w:val="en-GB"/>
              </w:rPr>
            </w:pPr>
            <w:r w:rsidRPr="000D74A3">
              <w:rPr>
                <w:lang w:val="en-GB"/>
              </w:rPr>
              <w:t>58.9</w:t>
            </w:r>
          </w:p>
        </w:tc>
        <w:tc>
          <w:tcPr>
            <w:tcW w:w="983" w:type="dxa"/>
            <w:shd w:val="clear" w:color="auto" w:fill="FFFFFF"/>
            <w:vAlign w:val="center"/>
          </w:tcPr>
          <w:p w14:paraId="26372CEA" w14:textId="4CB5C898" w:rsidR="00BB0234" w:rsidRPr="00B57B36" w:rsidRDefault="00BB0234" w:rsidP="00BB0234">
            <w:pPr>
              <w:pStyle w:val="CETBodytext"/>
              <w:ind w:right="-1"/>
              <w:rPr>
                <w:rFonts w:cs="Arial"/>
                <w:szCs w:val="18"/>
                <w:lang w:val="en-GB"/>
              </w:rPr>
            </w:pPr>
            <w:r w:rsidRPr="000D74A3">
              <w:rPr>
                <w:lang w:val="en-GB"/>
              </w:rPr>
              <w:t>96.1</w:t>
            </w:r>
          </w:p>
        </w:tc>
      </w:tr>
      <w:tr w:rsidR="00BB0234" w:rsidRPr="00B57B36" w14:paraId="1CB30903" w14:textId="77777777" w:rsidTr="00BB0234">
        <w:trPr>
          <w:trHeight w:val="281"/>
        </w:trPr>
        <w:tc>
          <w:tcPr>
            <w:tcW w:w="3261" w:type="dxa"/>
            <w:shd w:val="clear" w:color="auto" w:fill="FFFFFF"/>
            <w:vAlign w:val="center"/>
          </w:tcPr>
          <w:p w14:paraId="3C6E5C55" w14:textId="74DD4F0D" w:rsidR="00BB0234" w:rsidRPr="00BB0234" w:rsidRDefault="00BB0234" w:rsidP="00BB0234">
            <w:pPr>
              <w:pStyle w:val="CETBodytext"/>
              <w:ind w:right="-1"/>
              <w:rPr>
                <w:rFonts w:cs="Arial"/>
                <w:szCs w:val="18"/>
                <w:lang w:val="en-GB"/>
              </w:rPr>
            </w:pPr>
            <w:r w:rsidRPr="00BB0234">
              <w:rPr>
                <w:lang w:val="en-GB"/>
              </w:rPr>
              <w:t>H</w:t>
            </w:r>
            <w:r w:rsidRPr="00BB0234">
              <w:rPr>
                <w:vertAlign w:val="subscript"/>
                <w:lang w:val="en-GB"/>
              </w:rPr>
              <w:t>2</w:t>
            </w:r>
            <w:r w:rsidRPr="00BB0234">
              <w:rPr>
                <w:lang w:val="en-GB"/>
              </w:rPr>
              <w:t>S [</w:t>
            </w:r>
            <w:proofErr w:type="spellStart"/>
            <w:r w:rsidRPr="00BB0234">
              <w:rPr>
                <w:lang w:val="en-GB"/>
              </w:rPr>
              <w:t>ppm</w:t>
            </w:r>
            <w:r w:rsidRPr="00BB0234">
              <w:rPr>
                <w:vertAlign w:val="subscript"/>
                <w:lang w:val="en-GB"/>
              </w:rPr>
              <w:t>v</w:t>
            </w:r>
            <w:proofErr w:type="spellEnd"/>
            <w:r w:rsidRPr="00BB0234">
              <w:rPr>
                <w:lang w:val="en-GB"/>
              </w:rPr>
              <w:t>]</w:t>
            </w:r>
          </w:p>
        </w:tc>
        <w:tc>
          <w:tcPr>
            <w:tcW w:w="1134" w:type="dxa"/>
            <w:shd w:val="clear" w:color="auto" w:fill="FFFFFF"/>
            <w:vAlign w:val="center"/>
          </w:tcPr>
          <w:p w14:paraId="70D901BE" w14:textId="692E8BC6" w:rsidR="00BB0234" w:rsidRPr="00B57B36" w:rsidRDefault="00BB0234" w:rsidP="00BB0234">
            <w:pPr>
              <w:pStyle w:val="CETBodytext"/>
              <w:ind w:right="-1"/>
              <w:rPr>
                <w:rFonts w:cs="Arial"/>
                <w:szCs w:val="18"/>
                <w:lang w:val="en-GB"/>
              </w:rPr>
            </w:pPr>
            <w:r w:rsidRPr="000D74A3">
              <w:rPr>
                <w:lang w:val="en-GB"/>
              </w:rPr>
              <w:t>2,962</w:t>
            </w:r>
          </w:p>
        </w:tc>
        <w:tc>
          <w:tcPr>
            <w:tcW w:w="1842" w:type="dxa"/>
            <w:shd w:val="clear" w:color="auto" w:fill="FFFFFF"/>
            <w:vAlign w:val="center"/>
          </w:tcPr>
          <w:p w14:paraId="5024C032" w14:textId="39B5140E" w:rsidR="00BB0234" w:rsidRPr="00B57B36" w:rsidRDefault="00BB0234" w:rsidP="00BB0234">
            <w:pPr>
              <w:pStyle w:val="CETBodytext"/>
              <w:ind w:right="-1"/>
              <w:rPr>
                <w:rFonts w:cs="Arial"/>
                <w:szCs w:val="18"/>
                <w:lang w:val="en-GB"/>
              </w:rPr>
            </w:pPr>
            <w:r w:rsidRPr="000D74A3">
              <w:rPr>
                <w:lang w:val="en-GB"/>
              </w:rPr>
              <w:t>2,618</w:t>
            </w:r>
          </w:p>
        </w:tc>
        <w:tc>
          <w:tcPr>
            <w:tcW w:w="1560" w:type="dxa"/>
            <w:shd w:val="clear" w:color="auto" w:fill="FFFFFF"/>
            <w:vAlign w:val="center"/>
          </w:tcPr>
          <w:p w14:paraId="2CEE26D7" w14:textId="72CF30DA" w:rsidR="00BB0234" w:rsidRPr="00B57B36" w:rsidRDefault="00BB0234" w:rsidP="00BB0234">
            <w:pPr>
              <w:pStyle w:val="CETBodytext"/>
              <w:ind w:right="-1"/>
              <w:rPr>
                <w:rFonts w:cs="Arial"/>
                <w:szCs w:val="18"/>
                <w:lang w:val="en-GB"/>
              </w:rPr>
            </w:pPr>
            <w:r w:rsidRPr="000D74A3">
              <w:rPr>
                <w:lang w:val="en-GB"/>
              </w:rPr>
              <w:t>93</w:t>
            </w:r>
          </w:p>
        </w:tc>
        <w:tc>
          <w:tcPr>
            <w:tcW w:w="983" w:type="dxa"/>
            <w:shd w:val="clear" w:color="auto" w:fill="FFFFFF"/>
            <w:vAlign w:val="center"/>
          </w:tcPr>
          <w:p w14:paraId="4754D66E" w14:textId="11921E40" w:rsidR="00BB0234" w:rsidRPr="00B57B36" w:rsidRDefault="00BB0234" w:rsidP="00BB0234">
            <w:pPr>
              <w:pStyle w:val="CETBodytext"/>
              <w:ind w:right="-1"/>
              <w:rPr>
                <w:rFonts w:cs="Arial"/>
                <w:szCs w:val="18"/>
                <w:lang w:val="en-GB"/>
              </w:rPr>
            </w:pPr>
            <w:r w:rsidRPr="000D74A3">
              <w:rPr>
                <w:lang w:val="en-GB"/>
              </w:rPr>
              <w:t>8,242</w:t>
            </w:r>
          </w:p>
        </w:tc>
      </w:tr>
      <w:tr w:rsidR="00BB0234" w:rsidRPr="00B57B36" w14:paraId="739628DD" w14:textId="77777777" w:rsidTr="00BB0234">
        <w:trPr>
          <w:trHeight w:val="281"/>
        </w:trPr>
        <w:tc>
          <w:tcPr>
            <w:tcW w:w="3261" w:type="dxa"/>
            <w:shd w:val="clear" w:color="auto" w:fill="FFFFFF"/>
            <w:vAlign w:val="center"/>
          </w:tcPr>
          <w:p w14:paraId="633B712C" w14:textId="57C62797" w:rsidR="00BB0234" w:rsidRPr="00BB0234" w:rsidRDefault="00BB0234" w:rsidP="00BB0234">
            <w:pPr>
              <w:pStyle w:val="CETBodytext"/>
              <w:ind w:right="-1"/>
              <w:rPr>
                <w:rFonts w:cs="Arial"/>
                <w:szCs w:val="18"/>
                <w:lang w:val="en-GB"/>
              </w:rPr>
            </w:pPr>
            <w:r w:rsidRPr="00BB0234">
              <w:rPr>
                <w:lang w:val="en-GB"/>
              </w:rPr>
              <w:t>Odour conc</w:t>
            </w:r>
            <w:r w:rsidRPr="00BB0234">
              <w:rPr>
                <w:lang w:val="en-GB"/>
              </w:rPr>
              <w:t xml:space="preserve">entration </w:t>
            </w:r>
            <w:r w:rsidRPr="00BB0234">
              <w:rPr>
                <w:lang w:val="en-GB"/>
              </w:rPr>
              <w:t>[</w:t>
            </w:r>
            <w:proofErr w:type="spellStart"/>
            <w:r w:rsidRPr="00BB0234">
              <w:rPr>
                <w:lang w:val="en-GB"/>
              </w:rPr>
              <w:t>ou</w:t>
            </w:r>
            <w:r w:rsidRPr="00BB0234">
              <w:rPr>
                <w:vertAlign w:val="subscript"/>
                <w:lang w:val="en-GB"/>
              </w:rPr>
              <w:t>E</w:t>
            </w:r>
            <w:proofErr w:type="spellEnd"/>
            <w:r w:rsidRPr="00BB0234">
              <w:rPr>
                <w:lang w:val="en-GB"/>
              </w:rPr>
              <w:t>/m</w:t>
            </w:r>
            <w:r w:rsidRPr="00BB0234">
              <w:rPr>
                <w:vertAlign w:val="superscript"/>
                <w:lang w:val="en-GB"/>
              </w:rPr>
              <w:t>3</w:t>
            </w:r>
            <w:r w:rsidRPr="00BB0234">
              <w:rPr>
                <w:lang w:val="en-GB"/>
              </w:rPr>
              <w:t>]</w:t>
            </w:r>
          </w:p>
        </w:tc>
        <w:tc>
          <w:tcPr>
            <w:tcW w:w="1134" w:type="dxa"/>
            <w:shd w:val="clear" w:color="auto" w:fill="FFFFFF"/>
            <w:vAlign w:val="center"/>
          </w:tcPr>
          <w:p w14:paraId="7A718B09" w14:textId="4D56F5AD" w:rsidR="00BB0234" w:rsidRPr="00B57B36" w:rsidRDefault="00BB0234" w:rsidP="00BB0234">
            <w:pPr>
              <w:pStyle w:val="CETBodytext"/>
              <w:ind w:right="-1"/>
              <w:rPr>
                <w:rFonts w:cs="Arial"/>
                <w:szCs w:val="18"/>
                <w:lang w:val="en-GB"/>
              </w:rPr>
            </w:pPr>
            <w:r w:rsidRPr="000D74A3">
              <w:rPr>
                <w:lang w:val="en-GB"/>
              </w:rPr>
              <w:t xml:space="preserve">2.6 </w:t>
            </w:r>
            <w:r w:rsidRPr="000D74A3">
              <w:rPr>
                <w:rFonts w:cs="Arial"/>
                <w:lang w:val="en-GB"/>
              </w:rPr>
              <w:t>∙ 10</w:t>
            </w:r>
            <w:r w:rsidRPr="000D74A3">
              <w:rPr>
                <w:rFonts w:cs="Arial"/>
                <w:vertAlign w:val="superscript"/>
                <w:lang w:val="en-GB"/>
              </w:rPr>
              <w:t>6</w:t>
            </w:r>
          </w:p>
        </w:tc>
        <w:tc>
          <w:tcPr>
            <w:tcW w:w="1842" w:type="dxa"/>
            <w:shd w:val="clear" w:color="auto" w:fill="FFFFFF"/>
            <w:vAlign w:val="center"/>
          </w:tcPr>
          <w:p w14:paraId="70EFC13E" w14:textId="1C1BC631" w:rsidR="00BB0234" w:rsidRPr="00B57B36" w:rsidRDefault="00BB0234" w:rsidP="00BB0234">
            <w:pPr>
              <w:pStyle w:val="CETBodytext"/>
              <w:ind w:right="-1"/>
              <w:rPr>
                <w:rFonts w:cs="Arial"/>
                <w:szCs w:val="18"/>
                <w:lang w:val="en-GB"/>
              </w:rPr>
            </w:pPr>
            <w:r w:rsidRPr="000D74A3">
              <w:rPr>
                <w:lang w:val="en-GB"/>
              </w:rPr>
              <w:t xml:space="preserve">2.0 </w:t>
            </w:r>
            <w:r w:rsidRPr="000D74A3">
              <w:rPr>
                <w:rFonts w:cs="Arial"/>
                <w:lang w:val="en-GB"/>
              </w:rPr>
              <w:t>∙ 10</w:t>
            </w:r>
            <w:r w:rsidRPr="000D74A3">
              <w:rPr>
                <w:rFonts w:cs="Arial"/>
                <w:vertAlign w:val="superscript"/>
                <w:lang w:val="en-GB"/>
              </w:rPr>
              <w:t>6</w:t>
            </w:r>
          </w:p>
        </w:tc>
        <w:tc>
          <w:tcPr>
            <w:tcW w:w="1560" w:type="dxa"/>
            <w:shd w:val="clear" w:color="auto" w:fill="FFFFFF"/>
            <w:vAlign w:val="center"/>
          </w:tcPr>
          <w:p w14:paraId="38D553CC" w14:textId="708EFF31" w:rsidR="00BB0234" w:rsidRPr="00B57B36" w:rsidRDefault="00BB0234" w:rsidP="00BB0234">
            <w:pPr>
              <w:pStyle w:val="CETBodytext"/>
              <w:ind w:right="-1"/>
              <w:rPr>
                <w:rFonts w:cs="Arial"/>
                <w:szCs w:val="18"/>
                <w:lang w:val="en-GB"/>
              </w:rPr>
            </w:pPr>
            <w:r w:rsidRPr="000D74A3">
              <w:rPr>
                <w:lang w:val="en-GB"/>
              </w:rPr>
              <w:t xml:space="preserve">1.4 </w:t>
            </w:r>
            <w:r w:rsidRPr="000D74A3">
              <w:rPr>
                <w:rFonts w:cs="Arial"/>
                <w:lang w:val="en-GB"/>
              </w:rPr>
              <w:t>∙ 10</w:t>
            </w:r>
            <w:r w:rsidRPr="000D74A3">
              <w:rPr>
                <w:rFonts w:cs="Arial"/>
                <w:vertAlign w:val="superscript"/>
                <w:lang w:val="en-GB"/>
              </w:rPr>
              <w:t>5</w:t>
            </w:r>
          </w:p>
        </w:tc>
        <w:tc>
          <w:tcPr>
            <w:tcW w:w="983" w:type="dxa"/>
            <w:shd w:val="clear" w:color="auto" w:fill="FFFFFF"/>
            <w:vAlign w:val="center"/>
          </w:tcPr>
          <w:p w14:paraId="6AFC7EB7" w14:textId="38E10040" w:rsidR="00BB0234" w:rsidRPr="00B57B36" w:rsidRDefault="00BB0234" w:rsidP="00BB0234">
            <w:pPr>
              <w:pStyle w:val="CETBodytext"/>
              <w:ind w:right="-1"/>
              <w:rPr>
                <w:rFonts w:cs="Arial"/>
                <w:szCs w:val="18"/>
                <w:lang w:val="en-GB"/>
              </w:rPr>
            </w:pPr>
            <w:r w:rsidRPr="000D74A3">
              <w:rPr>
                <w:lang w:val="en-GB"/>
              </w:rPr>
              <w:t xml:space="preserve">8.0 </w:t>
            </w:r>
            <w:r w:rsidRPr="000D74A3">
              <w:rPr>
                <w:rFonts w:cs="Arial"/>
                <w:lang w:val="en-GB"/>
              </w:rPr>
              <w:t>∙ 10</w:t>
            </w:r>
            <w:r w:rsidRPr="000D74A3">
              <w:rPr>
                <w:rFonts w:cs="Arial"/>
                <w:vertAlign w:val="superscript"/>
                <w:lang w:val="en-GB"/>
              </w:rPr>
              <w:t>6</w:t>
            </w:r>
          </w:p>
        </w:tc>
      </w:tr>
      <w:tr w:rsidR="00BB0234" w:rsidRPr="00B57B36" w14:paraId="7B370D72" w14:textId="77777777" w:rsidTr="00BB0234">
        <w:trPr>
          <w:trHeight w:val="300"/>
        </w:trPr>
        <w:tc>
          <w:tcPr>
            <w:tcW w:w="3261" w:type="dxa"/>
            <w:shd w:val="clear" w:color="auto" w:fill="FFFFFF"/>
            <w:vAlign w:val="center"/>
          </w:tcPr>
          <w:p w14:paraId="5299AE78" w14:textId="2AD35E0F" w:rsidR="00BB0234" w:rsidRPr="00BB0234" w:rsidRDefault="00BB0234" w:rsidP="00BB0234">
            <w:pPr>
              <w:pStyle w:val="CETBodytext"/>
              <w:ind w:right="-1"/>
              <w:rPr>
                <w:rFonts w:cs="Arial"/>
                <w:szCs w:val="18"/>
                <w:lang w:val="en-GB"/>
              </w:rPr>
            </w:pPr>
            <w:r w:rsidRPr="00BB0234">
              <w:rPr>
                <w:lang w:val="en-GB"/>
              </w:rPr>
              <w:t>Gas flow [m</w:t>
            </w:r>
            <w:r w:rsidRPr="00BB0234">
              <w:rPr>
                <w:vertAlign w:val="superscript"/>
                <w:lang w:val="en-GB"/>
              </w:rPr>
              <w:t>3</w:t>
            </w:r>
            <w:r w:rsidRPr="00BB0234">
              <w:rPr>
                <w:lang w:val="en-GB"/>
              </w:rPr>
              <w:t>/h]</w:t>
            </w:r>
          </w:p>
        </w:tc>
        <w:tc>
          <w:tcPr>
            <w:tcW w:w="1134" w:type="dxa"/>
            <w:shd w:val="clear" w:color="auto" w:fill="FFFFFF"/>
            <w:vAlign w:val="center"/>
          </w:tcPr>
          <w:p w14:paraId="6CC71CBD" w14:textId="09CC31E1" w:rsidR="00BB0234" w:rsidRPr="00B57B36" w:rsidRDefault="00BB0234" w:rsidP="00BB0234">
            <w:pPr>
              <w:pStyle w:val="CETBodytext"/>
              <w:ind w:right="-1"/>
              <w:rPr>
                <w:rFonts w:cs="Arial"/>
                <w:szCs w:val="18"/>
                <w:lang w:val="en-GB"/>
              </w:rPr>
            </w:pPr>
            <w:r w:rsidRPr="000D74A3">
              <w:rPr>
                <w:lang w:val="en-GB"/>
              </w:rPr>
              <w:t>626</w:t>
            </w:r>
          </w:p>
        </w:tc>
        <w:tc>
          <w:tcPr>
            <w:tcW w:w="1842" w:type="dxa"/>
            <w:shd w:val="clear" w:color="auto" w:fill="FFFFFF"/>
            <w:vAlign w:val="center"/>
          </w:tcPr>
          <w:p w14:paraId="2DA67520" w14:textId="79A242B3" w:rsidR="00BB0234" w:rsidRPr="00B57B36" w:rsidRDefault="00BB0234" w:rsidP="00BB0234">
            <w:pPr>
              <w:pStyle w:val="CETBodytext"/>
              <w:ind w:right="-1"/>
              <w:rPr>
                <w:rFonts w:cs="Arial"/>
                <w:szCs w:val="18"/>
                <w:lang w:val="en-GB"/>
              </w:rPr>
            </w:pPr>
            <w:r w:rsidRPr="000D74A3">
              <w:rPr>
                <w:lang w:val="en-GB"/>
              </w:rPr>
              <w:t>898</w:t>
            </w:r>
          </w:p>
        </w:tc>
        <w:tc>
          <w:tcPr>
            <w:tcW w:w="1560" w:type="dxa"/>
            <w:shd w:val="clear" w:color="auto" w:fill="FFFFFF"/>
            <w:vAlign w:val="center"/>
          </w:tcPr>
          <w:p w14:paraId="65E806D8" w14:textId="60E5D58C" w:rsidR="00BB0234" w:rsidRPr="00B57B36" w:rsidRDefault="00BB0234" w:rsidP="00BB0234">
            <w:pPr>
              <w:pStyle w:val="CETBodytext"/>
              <w:ind w:right="-1"/>
              <w:rPr>
                <w:rFonts w:cs="Arial"/>
                <w:szCs w:val="18"/>
                <w:lang w:val="en-GB"/>
              </w:rPr>
            </w:pPr>
            <w:r w:rsidRPr="000D74A3">
              <w:rPr>
                <w:lang w:val="en-GB"/>
              </w:rPr>
              <w:t>12</w:t>
            </w:r>
          </w:p>
        </w:tc>
        <w:tc>
          <w:tcPr>
            <w:tcW w:w="983" w:type="dxa"/>
            <w:shd w:val="clear" w:color="auto" w:fill="FFFFFF"/>
            <w:vAlign w:val="center"/>
          </w:tcPr>
          <w:p w14:paraId="115B6B7B" w14:textId="6C3E33E6" w:rsidR="00BB0234" w:rsidRPr="00B57B36" w:rsidRDefault="00BB0234" w:rsidP="00BB0234">
            <w:pPr>
              <w:pStyle w:val="CETBodytext"/>
              <w:ind w:right="-1"/>
              <w:rPr>
                <w:rFonts w:cs="Arial"/>
                <w:szCs w:val="18"/>
                <w:lang w:val="en-GB"/>
              </w:rPr>
            </w:pPr>
            <w:r w:rsidRPr="000D74A3">
              <w:rPr>
                <w:lang w:val="en-GB"/>
              </w:rPr>
              <w:t>2,885</w:t>
            </w:r>
          </w:p>
        </w:tc>
      </w:tr>
    </w:tbl>
    <w:p w14:paraId="4DA97981" w14:textId="0F55A868" w:rsidR="00102F92" w:rsidRPr="000D74A3" w:rsidRDefault="00102F92" w:rsidP="00102F92">
      <w:pPr>
        <w:pStyle w:val="CETBodytext"/>
        <w:rPr>
          <w:lang w:val="en-GB"/>
        </w:rPr>
      </w:pPr>
      <w:r w:rsidRPr="000D74A3">
        <w:rPr>
          <w:lang w:val="en-GB"/>
        </w:rPr>
        <w:t>As expected, CO</w:t>
      </w:r>
      <w:r w:rsidRPr="000D74A3">
        <w:rPr>
          <w:vertAlign w:val="subscript"/>
          <w:lang w:val="en-GB"/>
        </w:rPr>
        <w:t>2</w:t>
      </w:r>
      <w:r w:rsidRPr="000D74A3">
        <w:rPr>
          <w:lang w:val="en-GB"/>
        </w:rPr>
        <w:t xml:space="preserve"> was the main constituent of endogenous gas emissions</w:t>
      </w:r>
      <w:r w:rsidR="000D74A3">
        <w:rPr>
          <w:lang w:val="en-GB"/>
        </w:rPr>
        <w:t xml:space="preserve"> </w:t>
      </w:r>
      <w:r w:rsidR="000D74A3">
        <w:rPr>
          <w:lang w:val="en-GB"/>
        </w:rPr>
        <w:fldChar w:fldCharType="begin" w:fldLock="1"/>
      </w:r>
      <w:r w:rsidR="0089203B">
        <w:rPr>
          <w:lang w:val="en-GB"/>
        </w:rPr>
        <w:instrText>ADDIN CSL_CITATION {"citationItems":[{"id":"ITEM-1","itemData":{"DOI":"10.1007/s11267-008-9198-2","ISSN":"15677230","abstract":"The present work aims to assess the hazard for human health related to CO2 anomalous concentrations in air emitted from dry gas vents located in the NE area of Mt. Amiata volcano (Tuscany, central Italy). A geochemical multi-methodological approach is adopted to determine the composition and the flux rate of the gas discharges in order to establish (1) the origin of the gas vents and (2) the behaviour of the discharged gases in the areas surrounding the emission sites. The gas vents are hosted within sub-circular morphological depressions (Φ</w:instrText>
      </w:r>
      <w:r w:rsidR="0089203B">
        <w:rPr>
          <w:rFonts w:ascii="Cambria Math" w:hAnsi="Cambria Math" w:cs="Cambria Math"/>
          <w:lang w:val="en-GB"/>
        </w:rPr>
        <w:instrText>∼</w:instrText>
      </w:r>
      <w:r w:rsidR="0089203B">
        <w:rPr>
          <w:lang w:val="en-GB"/>
        </w:rPr>
        <w:instrText>10-30 m), which likely originated by the collapse of cavities formed at shallow depth in the ground by dissolution of Triassic anhydrite formations and recent travertine deposits. CaCO3 and CaSO4 dissolution is mainly related to the underground circulation of CO2-rich fluids whose hydrological pattern is regulated by local and regional tectonics. The CO2-rich (up to 996,070 μmol/mol) gases tend to accumulate within the topographic lows, thus creating a sort of CO2 ponds, and the knowledge of their evolution in time and space is important to evaluate the related hazard. Consequently, a conceptual model of CO2 diffusion in air is developed to understand the dynamic of the CO2 accumulation/dispersion process based on (1) a 24-h continuous measurement of the CO2 flux from one of the main emission sites and (2) the recording of the main meteoric parameters, i.e. air temperature, wind direction and speed to check their influence. The results indicate that the threshold of CO2 concentrations considered dangerous for the human health is frequently overcome. Moreover, when meteoric conditions, i.e. low wind and cloudy weather, did not allow a rapid dispersion of the gas phase emitted from the dry vents, CO2-rich clouds periodically overflowed the morphological depressions for several tens of meters without any significant mixing with air. On the basis of these considerations, the monitoring of the output rate from the main gas emissions, combined with the continuous control of the local meteorological parameters, may be considered an efficient procedure to mitigate the CO2 hazard deriving from dry gas vents. An improvement of the protocol can be achieved in case of installations of CO2 sensors located in the most sensitive areas and connected to a telemetry system able to transmit the data in real time to the closest Civil Defence centre. The CO2 degassing sites can also represent a tourist attraction after the installation …","author":[{"dropping-particle":"","family":"Tassi","given":"F.","non-dropping-particle":"","parse-names":false,"suffix":""},{"dropping-particle":"","family":"Vaselli","given":"O.","non-dropping-particle":"","parse-names":false,"suffix":""},{"dropping-particle":"","family":"Cuccoli","given":"F.","non-dropping-particle":"","parse-names":false,"suffix":""},{"dropping-particle":"","family":"Buccianti","given":"A.","non-dropping-particle":"","parse-names":false,"suffix":""},{"dropping-particle":"","family":"Nisi","given":"B.","non-dropping-particle":"","parse-names":false,"suffix":""},{"dropping-particle":"","family":"Lognoli","given":"E.","non-dropping-particle":"","parse-names":false,"suffix":""},{"dropping-particle":"","family":"Montegrossi","given":"G.","non-dropping-particle":"","parse-names":false,"suffix":""}],"container-title":"Water, Air, and Soil Pollution: Focus","id":"ITEM-1","issued":{"date-parts":[["2009"]]},"page":"117-127","title":"A geochemical multi-methodological approach in hazard assessment of CO 2-rich gas emissions at Mt. Amiata Volcano (Tuscany, Central Italy)","type":"article-journal","volume":"9"},"uris":["http://www.mendeley.com/documents/?uuid=4e5a4d28-ac89-4b92-ab1b-132790d7253e"]}],"mendeley":{"formattedCitation":"(Tassi et al., 2009)","plainTextFormattedCitation":"(Tassi et al., 2009)","previouslyFormattedCitation":"(Tassi et al., 2009)"},"properties":{"noteIndex":0},"schema":"https://github.com/citation-style-language/schema/raw/master/csl-citation.json"}</w:instrText>
      </w:r>
      <w:r w:rsidR="000D74A3">
        <w:rPr>
          <w:lang w:val="en-GB"/>
        </w:rPr>
        <w:fldChar w:fldCharType="separate"/>
      </w:r>
      <w:r w:rsidR="000D74A3" w:rsidRPr="000D74A3">
        <w:rPr>
          <w:noProof/>
          <w:lang w:val="en-GB"/>
        </w:rPr>
        <w:t>(Tassi et al., 2009)</w:t>
      </w:r>
      <w:r w:rsidR="000D74A3">
        <w:rPr>
          <w:lang w:val="en-GB"/>
        </w:rPr>
        <w:fldChar w:fldCharType="end"/>
      </w:r>
      <w:r w:rsidRPr="000D74A3">
        <w:rPr>
          <w:lang w:val="en-GB"/>
        </w:rPr>
        <w:t>. CH</w:t>
      </w:r>
      <w:r w:rsidRPr="000D74A3">
        <w:rPr>
          <w:vertAlign w:val="subscript"/>
          <w:lang w:val="en-GB"/>
        </w:rPr>
        <w:t>4</w:t>
      </w:r>
      <w:r w:rsidRPr="000D74A3">
        <w:rPr>
          <w:lang w:val="en-GB"/>
        </w:rPr>
        <w:t xml:space="preserve"> concentrations </w:t>
      </w:r>
      <w:r w:rsidR="00DD4B94" w:rsidRPr="000D74A3">
        <w:rPr>
          <w:lang w:val="en-GB"/>
        </w:rPr>
        <w:t>were</w:t>
      </w:r>
      <w:r w:rsidRPr="000D74A3">
        <w:rPr>
          <w:lang w:val="en-GB"/>
        </w:rPr>
        <w:t xml:space="preserve"> generally in the range of a few percentage points, and not negligible concentrations of O</w:t>
      </w:r>
      <w:r w:rsidRPr="000D74A3">
        <w:rPr>
          <w:vertAlign w:val="subscript"/>
          <w:lang w:val="en-GB"/>
        </w:rPr>
        <w:t>2</w:t>
      </w:r>
      <w:r w:rsidRPr="000D74A3">
        <w:rPr>
          <w:lang w:val="en-GB"/>
        </w:rPr>
        <w:t xml:space="preserve"> and N</w:t>
      </w:r>
      <w:r w:rsidRPr="000D74A3">
        <w:rPr>
          <w:vertAlign w:val="subscript"/>
          <w:lang w:val="en-GB"/>
        </w:rPr>
        <w:t>2</w:t>
      </w:r>
      <w:r w:rsidRPr="000D74A3">
        <w:rPr>
          <w:lang w:val="en-GB"/>
        </w:rPr>
        <w:t xml:space="preserve"> </w:t>
      </w:r>
      <w:r w:rsidR="00DD4B94" w:rsidRPr="000D74A3">
        <w:rPr>
          <w:lang w:val="en-GB"/>
        </w:rPr>
        <w:t>were</w:t>
      </w:r>
      <w:r w:rsidRPr="000D74A3">
        <w:rPr>
          <w:lang w:val="en-GB"/>
        </w:rPr>
        <w:t xml:space="preserve"> usually detected. </w:t>
      </w:r>
      <w:r w:rsidR="00DD4B94" w:rsidRPr="000D74A3">
        <w:rPr>
          <w:lang w:val="en-GB"/>
        </w:rPr>
        <w:t>H</w:t>
      </w:r>
      <w:r w:rsidR="00DD4B94" w:rsidRPr="000D74A3">
        <w:rPr>
          <w:vertAlign w:val="subscript"/>
          <w:lang w:val="en-GB"/>
        </w:rPr>
        <w:t>2</w:t>
      </w:r>
      <w:r w:rsidR="00DD4B94" w:rsidRPr="000D74A3">
        <w:rPr>
          <w:lang w:val="en-GB"/>
        </w:rPr>
        <w:t xml:space="preserve"> concentrations were always &lt; 1%v/v. </w:t>
      </w:r>
      <w:r w:rsidR="003F5FF1" w:rsidRPr="000D74A3">
        <w:rPr>
          <w:lang w:val="en-GB"/>
        </w:rPr>
        <w:t>From</w:t>
      </w:r>
      <w:r w:rsidRPr="000D74A3">
        <w:rPr>
          <w:lang w:val="en-GB"/>
        </w:rPr>
        <w:t xml:space="preserve"> the odorant point of view, the concentration of H</w:t>
      </w:r>
      <w:r w:rsidRPr="000D74A3">
        <w:rPr>
          <w:vertAlign w:val="subscript"/>
          <w:lang w:val="en-GB"/>
        </w:rPr>
        <w:t>2</w:t>
      </w:r>
      <w:r w:rsidRPr="000D74A3">
        <w:rPr>
          <w:lang w:val="en-GB"/>
        </w:rPr>
        <w:t xml:space="preserve">S reached levels that are rarely encountered in industrial or agricultural atmospheric emissions. </w:t>
      </w:r>
      <w:r w:rsidR="00B01240" w:rsidRPr="000D74A3">
        <w:rPr>
          <w:lang w:val="en-GB"/>
        </w:rPr>
        <w:t xml:space="preserve">These values are indeed characteristic not strictly of a potential olfactory impact in the surrounding area but are so high as to pose a high </w:t>
      </w:r>
      <w:r w:rsidR="003F5FF1" w:rsidRPr="000D74A3">
        <w:rPr>
          <w:lang w:val="en-GB"/>
        </w:rPr>
        <w:t>health risk</w:t>
      </w:r>
      <w:r w:rsidR="00B01240" w:rsidRPr="000D74A3">
        <w:rPr>
          <w:lang w:val="en-GB"/>
        </w:rPr>
        <w:t xml:space="preserve">, and even survival, in the vicinity. </w:t>
      </w:r>
      <w:r w:rsidR="00233D87" w:rsidRPr="000D74A3">
        <w:rPr>
          <w:lang w:val="en-GB"/>
        </w:rPr>
        <w:t>Moreover, the detected odour concentrations are far higher than the ones usually detected in industrial emissions: despite the few available emission limits, expressed in odour concentration, are in the order of 10</w:t>
      </w:r>
      <w:r w:rsidR="00233D87" w:rsidRPr="000D74A3">
        <w:rPr>
          <w:vertAlign w:val="superscript"/>
          <w:lang w:val="en-GB"/>
        </w:rPr>
        <w:t>2</w:t>
      </w:r>
      <w:r w:rsidR="00233D87" w:rsidRPr="000D74A3">
        <w:rPr>
          <w:rFonts w:cs="Arial"/>
          <w:lang w:val="en-GB"/>
        </w:rPr>
        <w:t>÷</w:t>
      </w:r>
      <w:r w:rsidR="00233D87" w:rsidRPr="000D74A3">
        <w:rPr>
          <w:lang w:val="en-GB"/>
        </w:rPr>
        <w:t>10</w:t>
      </w:r>
      <w:r w:rsidR="00233D87" w:rsidRPr="000D74A3">
        <w:rPr>
          <w:vertAlign w:val="superscript"/>
          <w:lang w:val="en-GB"/>
        </w:rPr>
        <w:t>3</w:t>
      </w:r>
      <w:r w:rsidR="00233D87" w:rsidRPr="000D74A3">
        <w:rPr>
          <w:lang w:val="en-GB"/>
        </w:rPr>
        <w:t xml:space="preserve"> </w:t>
      </w:r>
      <w:proofErr w:type="spellStart"/>
      <w:r w:rsidR="00233D87" w:rsidRPr="000D74A3">
        <w:rPr>
          <w:lang w:val="en-GB"/>
        </w:rPr>
        <w:t>ou</w:t>
      </w:r>
      <w:r w:rsidR="00233D87" w:rsidRPr="000D74A3">
        <w:rPr>
          <w:vertAlign w:val="subscript"/>
          <w:lang w:val="en-GB"/>
        </w:rPr>
        <w:t>E</w:t>
      </w:r>
      <w:proofErr w:type="spellEnd"/>
      <w:r w:rsidR="00233D87" w:rsidRPr="000D74A3">
        <w:rPr>
          <w:lang w:val="en-GB"/>
        </w:rPr>
        <w:t>/m</w:t>
      </w:r>
      <w:r w:rsidR="00233D87" w:rsidRPr="000D74A3">
        <w:rPr>
          <w:vertAlign w:val="superscript"/>
          <w:lang w:val="en-GB"/>
        </w:rPr>
        <w:t>3</w:t>
      </w:r>
      <w:r w:rsidR="000D74A3">
        <w:rPr>
          <w:vertAlign w:val="superscript"/>
          <w:lang w:val="en-GB"/>
        </w:rPr>
        <w:t xml:space="preserve"> </w:t>
      </w:r>
      <w:r w:rsidR="000D74A3">
        <w:rPr>
          <w:vertAlign w:val="superscript"/>
          <w:lang w:val="en-GB"/>
        </w:rPr>
        <w:fldChar w:fldCharType="begin" w:fldLock="1"/>
      </w:r>
      <w:r w:rsidR="0089203B">
        <w:rPr>
          <w:vertAlign w:val="superscript"/>
          <w:lang w:val="en-GB"/>
        </w:rPr>
        <w:instrText>ADDIN CSL_CITATION {"citationItems":[{"id":"ITEM-1","itemData":{"DOI":"10.2760/407967","ISBN":"9789279940385","author":[{"dropping-particle":"","family":"Pinasseau","given":"Antoine","non-dropping-particle":"","parse-names":false,"suffix":""},{"dropping-particle":"","family":"Zerger","given":"Benoit","non-dropping-particle":"","parse-names":false,"suffix":""},{"dropping-particle":"","family":"Roth","given":"Joze","non-dropping-particle":"","parse-names":false,"suffix":""},{"dropping-particle":"","family":"Canova","given":"Michele","non-dropping-particle":"","parse-names":false,"suffix":""},{"dropping-particle":"","family":"Roudier","given":"Serge","non-dropping-particle":"","parse-names":false,"suffix":""}],"id":"ITEM-1","issued":{"date-parts":[["2018"]]},"number-of-pages":"851","title":"Best Available Techniques (BAT) Reference Document for Waste Treatment Industries","type":"book"},"uris":["http://www.mendeley.com/documents/?uuid=615f9d58-b440-4638-8fb0-b6fbf84a6fbe"]}],"mendeley":{"formattedCitation":"(Pinasseau et al., 2018)","plainTextFormattedCitation":"(Pinasseau et al., 2018)","previouslyFormattedCitation":"(Pinasseau et al., 2018)"},"properties":{"noteIndex":0},"schema":"https://github.com/citation-style-language/schema/raw/master/csl-citation.json"}</w:instrText>
      </w:r>
      <w:r w:rsidR="000D74A3">
        <w:rPr>
          <w:vertAlign w:val="superscript"/>
          <w:lang w:val="en-GB"/>
        </w:rPr>
        <w:fldChar w:fldCharType="separate"/>
      </w:r>
      <w:r w:rsidR="0089203B" w:rsidRPr="0089203B">
        <w:rPr>
          <w:noProof/>
          <w:lang w:val="en-GB"/>
        </w:rPr>
        <w:t>(Pinasseau et al., 2018)</w:t>
      </w:r>
      <w:r w:rsidR="000D74A3">
        <w:rPr>
          <w:vertAlign w:val="superscript"/>
          <w:lang w:val="en-GB"/>
        </w:rPr>
        <w:fldChar w:fldCharType="end"/>
      </w:r>
      <w:r w:rsidR="00233D87" w:rsidRPr="000D74A3">
        <w:rPr>
          <w:lang w:val="en-GB"/>
        </w:rPr>
        <w:t>, the values found in endogenous gas emissions are in the order of millions of ou</w:t>
      </w:r>
      <w:r w:rsidR="00233D87" w:rsidRPr="000D74A3">
        <w:rPr>
          <w:vertAlign w:val="subscript"/>
          <w:lang w:val="en-GB"/>
        </w:rPr>
        <w:t>E</w:t>
      </w:r>
      <w:r w:rsidR="00233D87" w:rsidRPr="000D74A3">
        <w:rPr>
          <w:lang w:val="en-GB"/>
        </w:rPr>
        <w:t>/m</w:t>
      </w:r>
      <w:r w:rsidR="00233D87" w:rsidRPr="000D74A3">
        <w:rPr>
          <w:vertAlign w:val="superscript"/>
          <w:lang w:val="en-GB"/>
        </w:rPr>
        <w:t>3</w:t>
      </w:r>
      <w:r w:rsidR="00233D87" w:rsidRPr="000D74A3">
        <w:rPr>
          <w:lang w:val="en-GB"/>
        </w:rPr>
        <w:t xml:space="preserve">. </w:t>
      </w:r>
    </w:p>
    <w:p w14:paraId="33645583" w14:textId="08063837" w:rsidR="00233D87" w:rsidRDefault="003F5FF1" w:rsidP="00102F92">
      <w:pPr>
        <w:pStyle w:val="CETBodytext"/>
        <w:rPr>
          <w:lang w:val="en-GB"/>
        </w:rPr>
      </w:pPr>
      <w:r w:rsidRPr="000D74A3">
        <w:rPr>
          <w:lang w:val="en-GB"/>
        </w:rPr>
        <w:t>To</w:t>
      </w:r>
      <w:r w:rsidR="00886093" w:rsidRPr="000D74A3">
        <w:rPr>
          <w:lang w:val="en-GB"/>
        </w:rPr>
        <w:t xml:space="preserve"> estimate the impact which this kind of emissions may have in the nearby, i</w:t>
      </w:r>
      <w:r w:rsidR="00233D87" w:rsidRPr="000D74A3">
        <w:rPr>
          <w:lang w:val="en-GB"/>
        </w:rPr>
        <w:t xml:space="preserve">n </w:t>
      </w:r>
      <w:r w:rsidR="00233D87" w:rsidRPr="000D74A3">
        <w:rPr>
          <w:lang w:val="en-GB"/>
        </w:rPr>
        <w:fldChar w:fldCharType="begin"/>
      </w:r>
      <w:r w:rsidR="00233D87" w:rsidRPr="000D74A3">
        <w:rPr>
          <w:lang w:val="en-GB"/>
        </w:rPr>
        <w:instrText xml:space="preserve"> REF _Ref165214993 \h </w:instrText>
      </w:r>
      <w:r w:rsidR="00233D87" w:rsidRPr="000D74A3">
        <w:rPr>
          <w:lang w:val="en-GB"/>
        </w:rPr>
      </w:r>
      <w:r w:rsidR="00233D87" w:rsidRPr="000D74A3">
        <w:rPr>
          <w:lang w:val="en-GB"/>
        </w:rPr>
        <w:fldChar w:fldCharType="separate"/>
      </w:r>
      <w:r w:rsidR="00233D87" w:rsidRPr="000D74A3">
        <w:rPr>
          <w:lang w:val="en-GB"/>
        </w:rPr>
        <w:t>Table 2</w:t>
      </w:r>
      <w:r w:rsidR="00233D87" w:rsidRPr="000D74A3">
        <w:rPr>
          <w:lang w:val="en-GB"/>
        </w:rPr>
        <w:fldChar w:fldCharType="end"/>
      </w:r>
      <w:r w:rsidR="00233D87" w:rsidRPr="000D74A3">
        <w:rPr>
          <w:lang w:val="en-GB"/>
        </w:rPr>
        <w:t xml:space="preserve"> the overall Mt. </w:t>
      </w:r>
      <w:proofErr w:type="spellStart"/>
      <w:r w:rsidR="00233D87" w:rsidRPr="000D74A3">
        <w:rPr>
          <w:lang w:val="en-GB"/>
        </w:rPr>
        <w:t>Amiata’s</w:t>
      </w:r>
      <w:proofErr w:type="spellEnd"/>
      <w:r w:rsidR="00233D87" w:rsidRPr="000D74A3">
        <w:rPr>
          <w:lang w:val="en-GB"/>
        </w:rPr>
        <w:t xml:space="preserve"> spot vents emission rates</w:t>
      </w:r>
      <w:r w:rsidR="00886093" w:rsidRPr="000D74A3">
        <w:rPr>
          <w:lang w:val="en-GB"/>
        </w:rPr>
        <w:t>, ER,</w:t>
      </w:r>
      <w:r w:rsidR="00233D87" w:rsidRPr="000D74A3">
        <w:rPr>
          <w:lang w:val="en-GB"/>
        </w:rPr>
        <w:t xml:space="preserve"> are reported. </w:t>
      </w:r>
    </w:p>
    <w:p w14:paraId="6BB11D49" w14:textId="77777777" w:rsidR="003A7FB4" w:rsidRDefault="003A7FB4" w:rsidP="00102F92">
      <w:pPr>
        <w:pStyle w:val="CETBodytext"/>
        <w:rPr>
          <w:lang w:val="en-GB"/>
        </w:rPr>
      </w:pPr>
    </w:p>
    <w:p w14:paraId="727AF0D1" w14:textId="77777777" w:rsidR="003A7FB4" w:rsidRDefault="003A7FB4" w:rsidP="00102F92">
      <w:pPr>
        <w:pStyle w:val="CETBodytext"/>
        <w:rPr>
          <w:lang w:val="en-GB"/>
        </w:rPr>
      </w:pPr>
    </w:p>
    <w:p w14:paraId="04245B85" w14:textId="20BA7A72" w:rsidR="00BB0234" w:rsidRDefault="00BB0234" w:rsidP="00BB0234">
      <w:pPr>
        <w:pStyle w:val="CETTabletitle"/>
      </w:pPr>
      <w:r w:rsidRPr="000D74A3">
        <w:lastRenderedPageBreak/>
        <w:t xml:space="preserve">Table </w:t>
      </w:r>
      <w:r w:rsidRPr="000D74A3">
        <w:fldChar w:fldCharType="begin"/>
      </w:r>
      <w:r w:rsidRPr="000D74A3">
        <w:instrText xml:space="preserve"> SEQ Table \* ARABIC </w:instrText>
      </w:r>
      <w:r w:rsidRPr="000D74A3">
        <w:fldChar w:fldCharType="separate"/>
      </w:r>
      <w:r w:rsidRPr="000D74A3">
        <w:t>2</w:t>
      </w:r>
      <w:r w:rsidRPr="000D74A3">
        <w:fldChar w:fldCharType="end"/>
      </w:r>
      <w:r w:rsidRPr="000D74A3">
        <w:t xml:space="preserve">. Overall Mt. </w:t>
      </w:r>
      <w:proofErr w:type="spellStart"/>
      <w:r w:rsidRPr="000D74A3">
        <w:t>Amiata</w:t>
      </w:r>
      <w:proofErr w:type="spellEnd"/>
      <w:r w:rsidRPr="000D74A3">
        <w:t xml:space="preserve"> measured spot vent emission rates.</w:t>
      </w:r>
    </w:p>
    <w:tbl>
      <w:tblPr>
        <w:tblW w:w="883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62"/>
        <w:gridCol w:w="1262"/>
        <w:gridCol w:w="1262"/>
        <w:gridCol w:w="1262"/>
        <w:gridCol w:w="1262"/>
        <w:gridCol w:w="1262"/>
        <w:gridCol w:w="1262"/>
      </w:tblGrid>
      <w:tr w:rsidR="00BB0234" w:rsidRPr="00B57B36" w14:paraId="0682A0B9" w14:textId="1E97D52A" w:rsidTr="00BB0234">
        <w:trPr>
          <w:trHeight w:val="280"/>
        </w:trPr>
        <w:tc>
          <w:tcPr>
            <w:tcW w:w="1262" w:type="dxa"/>
            <w:tcBorders>
              <w:top w:val="single" w:sz="12" w:space="0" w:color="008000"/>
              <w:bottom w:val="single" w:sz="6" w:space="0" w:color="008000"/>
            </w:tcBorders>
            <w:shd w:val="clear" w:color="auto" w:fill="FFFFFF"/>
          </w:tcPr>
          <w:p w14:paraId="23740372" w14:textId="22FFCE7B" w:rsidR="00BB0234" w:rsidRPr="00B57B36" w:rsidRDefault="00BB0234" w:rsidP="00BB0234">
            <w:pPr>
              <w:pStyle w:val="CETBodytext"/>
              <w:rPr>
                <w:lang w:val="en-GB"/>
              </w:rPr>
            </w:pPr>
            <w:r w:rsidRPr="00C475F1">
              <w:t>ER H</w:t>
            </w:r>
            <w:r w:rsidRPr="00BB0234">
              <w:rPr>
                <w:vertAlign w:val="subscript"/>
              </w:rPr>
              <w:t>2</w:t>
            </w:r>
            <w:r w:rsidRPr="00C475F1">
              <w:t xml:space="preserve"> [kg/h]</w:t>
            </w:r>
          </w:p>
        </w:tc>
        <w:tc>
          <w:tcPr>
            <w:tcW w:w="1262" w:type="dxa"/>
            <w:tcBorders>
              <w:top w:val="single" w:sz="12" w:space="0" w:color="008000"/>
              <w:bottom w:val="single" w:sz="6" w:space="0" w:color="008000"/>
            </w:tcBorders>
            <w:shd w:val="clear" w:color="auto" w:fill="FFFFFF"/>
          </w:tcPr>
          <w:p w14:paraId="34B5008F" w14:textId="202E6299" w:rsidR="00BB0234" w:rsidRPr="00B57B36" w:rsidRDefault="00BB0234" w:rsidP="00BB0234">
            <w:pPr>
              <w:pStyle w:val="CETBodytext"/>
              <w:rPr>
                <w:lang w:val="en-GB"/>
              </w:rPr>
            </w:pPr>
            <w:r w:rsidRPr="00C475F1">
              <w:t>ER O</w:t>
            </w:r>
            <w:r w:rsidRPr="00BB0234">
              <w:rPr>
                <w:vertAlign w:val="subscript"/>
              </w:rPr>
              <w:t>2</w:t>
            </w:r>
            <w:r w:rsidRPr="00C475F1">
              <w:t xml:space="preserve"> [kg/h]</w:t>
            </w:r>
          </w:p>
        </w:tc>
        <w:tc>
          <w:tcPr>
            <w:tcW w:w="1262" w:type="dxa"/>
            <w:tcBorders>
              <w:top w:val="single" w:sz="12" w:space="0" w:color="008000"/>
              <w:bottom w:val="single" w:sz="6" w:space="0" w:color="008000"/>
            </w:tcBorders>
            <w:shd w:val="clear" w:color="auto" w:fill="FFFFFF"/>
          </w:tcPr>
          <w:p w14:paraId="6183548C" w14:textId="2E894CE4" w:rsidR="00BB0234" w:rsidRPr="00B57B36" w:rsidRDefault="00BB0234" w:rsidP="00BB0234">
            <w:pPr>
              <w:pStyle w:val="CETBodytext"/>
              <w:rPr>
                <w:lang w:val="en-GB"/>
              </w:rPr>
            </w:pPr>
            <w:r w:rsidRPr="00C475F1">
              <w:t>ER N</w:t>
            </w:r>
            <w:r w:rsidRPr="00BB0234">
              <w:rPr>
                <w:vertAlign w:val="subscript"/>
              </w:rPr>
              <w:t>2</w:t>
            </w:r>
            <w:r w:rsidRPr="00C475F1">
              <w:t xml:space="preserve"> [kg/h]</w:t>
            </w:r>
          </w:p>
        </w:tc>
        <w:tc>
          <w:tcPr>
            <w:tcW w:w="1262" w:type="dxa"/>
            <w:tcBorders>
              <w:top w:val="single" w:sz="12" w:space="0" w:color="008000"/>
              <w:bottom w:val="single" w:sz="6" w:space="0" w:color="008000"/>
            </w:tcBorders>
            <w:shd w:val="clear" w:color="auto" w:fill="FFFFFF"/>
          </w:tcPr>
          <w:p w14:paraId="7451706E" w14:textId="6457A157" w:rsidR="00BB0234" w:rsidRPr="00B57B36" w:rsidRDefault="00BB0234" w:rsidP="00BB0234">
            <w:pPr>
              <w:pStyle w:val="CETBodytext"/>
              <w:rPr>
                <w:lang w:val="en-GB"/>
              </w:rPr>
            </w:pPr>
            <w:r w:rsidRPr="00C475F1">
              <w:t>ER CH</w:t>
            </w:r>
            <w:r w:rsidRPr="00BB0234">
              <w:rPr>
                <w:vertAlign w:val="subscript"/>
              </w:rPr>
              <w:t>4</w:t>
            </w:r>
            <w:r w:rsidRPr="00C475F1">
              <w:t xml:space="preserve"> [kg/h]</w:t>
            </w:r>
          </w:p>
        </w:tc>
        <w:tc>
          <w:tcPr>
            <w:tcW w:w="1262" w:type="dxa"/>
            <w:tcBorders>
              <w:top w:val="single" w:sz="12" w:space="0" w:color="008000"/>
              <w:bottom w:val="single" w:sz="6" w:space="0" w:color="008000"/>
            </w:tcBorders>
            <w:shd w:val="clear" w:color="auto" w:fill="FFFFFF"/>
          </w:tcPr>
          <w:p w14:paraId="1C82272D" w14:textId="10D570A2" w:rsidR="00BB0234" w:rsidRPr="00B57B36" w:rsidRDefault="00BB0234" w:rsidP="00BB0234">
            <w:pPr>
              <w:pStyle w:val="CETBodytext"/>
              <w:rPr>
                <w:lang w:val="en-GB"/>
              </w:rPr>
            </w:pPr>
            <w:r w:rsidRPr="00C475F1">
              <w:t>ER CO</w:t>
            </w:r>
            <w:r w:rsidRPr="00BB0234">
              <w:rPr>
                <w:vertAlign w:val="subscript"/>
              </w:rPr>
              <w:t>2</w:t>
            </w:r>
            <w:r w:rsidRPr="00C475F1">
              <w:t xml:space="preserve"> [t/h]</w:t>
            </w:r>
          </w:p>
        </w:tc>
        <w:tc>
          <w:tcPr>
            <w:tcW w:w="1262" w:type="dxa"/>
            <w:tcBorders>
              <w:top w:val="single" w:sz="12" w:space="0" w:color="008000"/>
              <w:bottom w:val="single" w:sz="6" w:space="0" w:color="008000"/>
            </w:tcBorders>
            <w:shd w:val="clear" w:color="auto" w:fill="FFFFFF"/>
          </w:tcPr>
          <w:p w14:paraId="79E69FA6" w14:textId="674EAB26" w:rsidR="00BB0234" w:rsidRPr="00B57B36" w:rsidRDefault="00BB0234" w:rsidP="00BB0234">
            <w:pPr>
              <w:pStyle w:val="CETBodytext"/>
              <w:rPr>
                <w:lang w:val="en-GB"/>
              </w:rPr>
            </w:pPr>
            <w:r w:rsidRPr="00C475F1">
              <w:t>ER H</w:t>
            </w:r>
            <w:r w:rsidRPr="00BB0234">
              <w:rPr>
                <w:vertAlign w:val="subscript"/>
              </w:rPr>
              <w:t>2</w:t>
            </w:r>
            <w:r w:rsidRPr="00C475F1">
              <w:t>S [kg/h]</w:t>
            </w:r>
          </w:p>
        </w:tc>
        <w:tc>
          <w:tcPr>
            <w:tcW w:w="1262" w:type="dxa"/>
            <w:tcBorders>
              <w:top w:val="single" w:sz="12" w:space="0" w:color="008000"/>
              <w:bottom w:val="single" w:sz="6" w:space="0" w:color="008000"/>
            </w:tcBorders>
            <w:shd w:val="clear" w:color="auto" w:fill="FFFFFF"/>
          </w:tcPr>
          <w:p w14:paraId="41D96641" w14:textId="3D3C31BB" w:rsidR="00BB0234" w:rsidRPr="00BB0234" w:rsidRDefault="00BB0234" w:rsidP="00BB0234">
            <w:pPr>
              <w:pStyle w:val="CETBodytext"/>
            </w:pPr>
            <w:r w:rsidRPr="00BB0234">
              <w:rPr>
                <w:lang w:val="en-GB"/>
              </w:rPr>
              <w:t>OER [</w:t>
            </w:r>
            <w:proofErr w:type="spellStart"/>
            <w:r w:rsidRPr="00BB0234">
              <w:rPr>
                <w:lang w:val="en-GB"/>
              </w:rPr>
              <w:t>ou</w:t>
            </w:r>
            <w:r w:rsidRPr="00BB0234">
              <w:rPr>
                <w:vertAlign w:val="subscript"/>
                <w:lang w:val="en-GB"/>
              </w:rPr>
              <w:t>E</w:t>
            </w:r>
            <w:proofErr w:type="spellEnd"/>
            <w:r w:rsidRPr="00BB0234">
              <w:rPr>
                <w:lang w:val="en-GB"/>
              </w:rPr>
              <w:t>/s]</w:t>
            </w:r>
          </w:p>
        </w:tc>
      </w:tr>
      <w:tr w:rsidR="00BB0234" w:rsidRPr="00B57B36" w14:paraId="5A2C2207" w14:textId="4C3495B8" w:rsidTr="00BB0234">
        <w:trPr>
          <w:trHeight w:val="280"/>
        </w:trPr>
        <w:tc>
          <w:tcPr>
            <w:tcW w:w="1262" w:type="dxa"/>
            <w:shd w:val="clear" w:color="auto" w:fill="FFFFFF"/>
          </w:tcPr>
          <w:p w14:paraId="5C5C9E4A" w14:textId="33A1EB2C" w:rsidR="00BB0234" w:rsidRPr="00B57B36" w:rsidRDefault="00BB0234" w:rsidP="00BB0234">
            <w:pPr>
              <w:pStyle w:val="CETBodytext"/>
              <w:rPr>
                <w:lang w:val="en-GB"/>
              </w:rPr>
            </w:pPr>
            <w:r w:rsidRPr="00BF37F7">
              <w:t>1.6</w:t>
            </w:r>
          </w:p>
        </w:tc>
        <w:tc>
          <w:tcPr>
            <w:tcW w:w="1262" w:type="dxa"/>
            <w:shd w:val="clear" w:color="auto" w:fill="FFFFFF"/>
          </w:tcPr>
          <w:p w14:paraId="683168DA" w14:textId="3E245A81" w:rsidR="00BB0234" w:rsidRPr="00B57B36" w:rsidRDefault="00BB0234" w:rsidP="00BB0234">
            <w:pPr>
              <w:pStyle w:val="CETBodytext"/>
              <w:rPr>
                <w:lang w:val="en-GB"/>
              </w:rPr>
            </w:pPr>
            <w:r w:rsidRPr="00BF37F7">
              <w:t>49</w:t>
            </w:r>
          </w:p>
        </w:tc>
        <w:tc>
          <w:tcPr>
            <w:tcW w:w="1262" w:type="dxa"/>
            <w:shd w:val="clear" w:color="auto" w:fill="FFFFFF"/>
          </w:tcPr>
          <w:p w14:paraId="32547FCA" w14:textId="048C40DA" w:rsidR="00BB0234" w:rsidRPr="00B57B36" w:rsidRDefault="00BB0234" w:rsidP="00BB0234">
            <w:pPr>
              <w:pStyle w:val="CETBodytext"/>
              <w:rPr>
                <w:lang w:val="en-GB"/>
              </w:rPr>
            </w:pPr>
            <w:r w:rsidRPr="00BF37F7">
              <w:t>290</w:t>
            </w:r>
          </w:p>
        </w:tc>
        <w:tc>
          <w:tcPr>
            <w:tcW w:w="1262" w:type="dxa"/>
            <w:shd w:val="clear" w:color="auto" w:fill="FFFFFF"/>
          </w:tcPr>
          <w:p w14:paraId="585F1E2D" w14:textId="1116FF23" w:rsidR="00BB0234" w:rsidRPr="00B57B36" w:rsidRDefault="00BB0234" w:rsidP="00BB0234">
            <w:pPr>
              <w:pStyle w:val="CETBodytext"/>
              <w:rPr>
                <w:lang w:val="en-GB"/>
              </w:rPr>
            </w:pPr>
            <w:r w:rsidRPr="00BF37F7">
              <w:t>280</w:t>
            </w:r>
          </w:p>
        </w:tc>
        <w:tc>
          <w:tcPr>
            <w:tcW w:w="1262" w:type="dxa"/>
            <w:shd w:val="clear" w:color="auto" w:fill="FFFFFF"/>
          </w:tcPr>
          <w:p w14:paraId="65BEDF2B" w14:textId="73793230" w:rsidR="00BB0234" w:rsidRPr="00B57B36" w:rsidRDefault="00BB0234" w:rsidP="00BB0234">
            <w:pPr>
              <w:pStyle w:val="CETBodytext"/>
              <w:rPr>
                <w:lang w:val="en-GB"/>
              </w:rPr>
            </w:pPr>
            <w:r w:rsidRPr="00BF37F7">
              <w:t>15</w:t>
            </w:r>
            <w:r>
              <w:t>.</w:t>
            </w:r>
            <w:r w:rsidRPr="00BF37F7">
              <w:t>8</w:t>
            </w:r>
          </w:p>
        </w:tc>
        <w:tc>
          <w:tcPr>
            <w:tcW w:w="1262" w:type="dxa"/>
            <w:shd w:val="clear" w:color="auto" w:fill="FFFFFF"/>
          </w:tcPr>
          <w:p w14:paraId="32369CF0" w14:textId="64A08518" w:rsidR="00BB0234" w:rsidRPr="00B57B36" w:rsidRDefault="00BB0234" w:rsidP="00BB0234">
            <w:pPr>
              <w:pStyle w:val="CETBodytext"/>
              <w:rPr>
                <w:lang w:val="en-GB"/>
              </w:rPr>
            </w:pPr>
            <w:r w:rsidRPr="00BF37F7">
              <w:t>55</w:t>
            </w:r>
          </w:p>
        </w:tc>
        <w:tc>
          <w:tcPr>
            <w:tcW w:w="1262" w:type="dxa"/>
            <w:shd w:val="clear" w:color="auto" w:fill="FFFFFF"/>
          </w:tcPr>
          <w:p w14:paraId="18607FF9" w14:textId="7D1EDFBA" w:rsidR="00BB0234" w:rsidRPr="00C475F1" w:rsidRDefault="00BB0234" w:rsidP="00BB0234">
            <w:pPr>
              <w:pStyle w:val="CETBodytext"/>
            </w:pPr>
            <w:r w:rsidRPr="00BF37F7">
              <w:t>7.6 ∙ 10</w:t>
            </w:r>
            <w:r w:rsidRPr="00BB0234">
              <w:rPr>
                <w:vertAlign w:val="superscript"/>
              </w:rPr>
              <w:t>6</w:t>
            </w:r>
          </w:p>
        </w:tc>
      </w:tr>
    </w:tbl>
    <w:p w14:paraId="2809513B" w14:textId="728B4CC6" w:rsidR="00AB5F78" w:rsidRPr="000D74A3" w:rsidRDefault="00886093" w:rsidP="00233D87">
      <w:pPr>
        <w:pStyle w:val="CETCaption"/>
        <w:rPr>
          <w:i w:val="0"/>
          <w:iCs/>
        </w:rPr>
      </w:pPr>
      <w:r w:rsidRPr="000D74A3">
        <w:rPr>
          <w:i w:val="0"/>
          <w:iCs/>
        </w:rPr>
        <w:t>Both the values of ER of H</w:t>
      </w:r>
      <w:r w:rsidRPr="000D74A3">
        <w:rPr>
          <w:i w:val="0"/>
          <w:iCs/>
          <w:vertAlign w:val="subscript"/>
        </w:rPr>
        <w:t>2</w:t>
      </w:r>
      <w:r w:rsidRPr="000D74A3">
        <w:rPr>
          <w:i w:val="0"/>
          <w:iCs/>
        </w:rPr>
        <w:t xml:space="preserve">S and OER </w:t>
      </w:r>
      <w:r w:rsidR="003F5FF1" w:rsidRPr="000D74A3">
        <w:rPr>
          <w:i w:val="0"/>
          <w:iCs/>
        </w:rPr>
        <w:t>appeared</w:t>
      </w:r>
      <w:r w:rsidRPr="000D74A3">
        <w:rPr>
          <w:i w:val="0"/>
          <w:iCs/>
        </w:rPr>
        <w:t xml:space="preserve"> to be extremely high: just to have a brief comparison, </w:t>
      </w:r>
      <w:r w:rsidR="007266C0" w:rsidRPr="000D74A3">
        <w:rPr>
          <w:i w:val="0"/>
          <w:iCs/>
        </w:rPr>
        <w:t xml:space="preserve">both </w:t>
      </w:r>
      <w:r w:rsidRPr="000D74A3">
        <w:rPr>
          <w:i w:val="0"/>
          <w:iCs/>
        </w:rPr>
        <w:t>the</w:t>
      </w:r>
      <w:r w:rsidR="007266C0" w:rsidRPr="000D74A3">
        <w:rPr>
          <w:i w:val="0"/>
          <w:iCs/>
        </w:rPr>
        <w:t xml:space="preserve"> H</w:t>
      </w:r>
      <w:r w:rsidR="007266C0" w:rsidRPr="000D74A3">
        <w:rPr>
          <w:i w:val="0"/>
          <w:iCs/>
          <w:vertAlign w:val="subscript"/>
        </w:rPr>
        <w:t>2</w:t>
      </w:r>
      <w:r w:rsidR="007266C0" w:rsidRPr="000D74A3">
        <w:rPr>
          <w:i w:val="0"/>
          <w:iCs/>
        </w:rPr>
        <w:t>S</w:t>
      </w:r>
      <w:r w:rsidRPr="000D74A3">
        <w:rPr>
          <w:i w:val="0"/>
          <w:iCs/>
        </w:rPr>
        <w:t xml:space="preserve"> </w:t>
      </w:r>
      <w:r w:rsidR="007266C0" w:rsidRPr="000D74A3">
        <w:rPr>
          <w:i w:val="0"/>
          <w:iCs/>
        </w:rPr>
        <w:t xml:space="preserve">ER and </w:t>
      </w:r>
      <w:r w:rsidRPr="000D74A3">
        <w:rPr>
          <w:i w:val="0"/>
          <w:iCs/>
        </w:rPr>
        <w:t xml:space="preserve">OER </w:t>
      </w:r>
      <w:r w:rsidR="003F5FF1" w:rsidRPr="000D74A3">
        <w:rPr>
          <w:i w:val="0"/>
          <w:iCs/>
        </w:rPr>
        <w:t>may</w:t>
      </w:r>
      <w:r w:rsidRPr="000D74A3">
        <w:rPr>
          <w:i w:val="0"/>
          <w:iCs/>
        </w:rPr>
        <w:t xml:space="preserve"> be equal to </w:t>
      </w:r>
      <w:r w:rsidR="007266C0" w:rsidRPr="000D74A3">
        <w:rPr>
          <w:i w:val="0"/>
          <w:iCs/>
        </w:rPr>
        <w:t>3</w:t>
      </w:r>
      <w:r w:rsidR="007266C0" w:rsidRPr="000D74A3">
        <w:rPr>
          <w:rFonts w:cs="Arial"/>
          <w:i w:val="0"/>
          <w:iCs/>
        </w:rPr>
        <w:t>÷</w:t>
      </w:r>
      <w:r w:rsidR="007266C0" w:rsidRPr="000D74A3">
        <w:rPr>
          <w:i w:val="0"/>
          <w:iCs/>
        </w:rPr>
        <w:t>5 oil refineries</w:t>
      </w:r>
      <w:r w:rsidR="007D652A">
        <w:rPr>
          <w:i w:val="0"/>
          <w:iCs/>
        </w:rPr>
        <w:t xml:space="preserve"> </w:t>
      </w:r>
      <w:r w:rsidR="007D652A">
        <w:rPr>
          <w:i w:val="0"/>
          <w:iCs/>
        </w:rPr>
        <w:fldChar w:fldCharType="begin" w:fldLock="1"/>
      </w:r>
      <w:r w:rsidR="0089203B">
        <w:rPr>
          <w:i w:val="0"/>
          <w:iCs/>
        </w:rPr>
        <w:instrText>ADDIN CSL_CITATION {"citationItems":[{"id":"ITEM-1","itemData":{"DOI":"10.1016/j.atmosenv.2019.117167","ISSN":"18732844","abstract":"Odour emission factors (OEFs) for oil refineries are useful data for estimating odour emission rates (OERs) of different odour emission sources at oil refineries and developing odour emission inventories with lower cost and time than direct sampling and measurement method. The conventional direct source measurement followed by olfactometry sometimes faces challenges due to access issues and the presence of fugitive emissions for which determining emission rates is difficult. To address these issues, applying reverse odour dispersion modeling could be an appropriate alternative method in estimating OERs of oil refineries and developing OEFs; however, very limited research has been conducted and the level of their accuracy and reliability has not been well investigated. This study obtained OEFs for different sources of a conventional oil refinery plant in Canada using odour reverse dispersion modeling technique with AERMOD, a US EPA regulatory dispersion model. The results showed that the main odour sources at the oil refinery are tall stacks with the share of 99% of odour emissions while passive and fugitive emissions contribute to 1% of the odour emissions of the refinery. Results also demonstrated that the reverse odour dispersion modeling by AERMOD is an appropriate method of estimating OERs as the results of this study are within the ranges reported by previous similar research. Using reverse modeling, a total OER of 1,527,471ou/s was found for the entire oil refinery leading to an OEF of 910,162 ou/barrel which can be used by conventional oil refineries to estimate their odour emission inventories according to their capacity.","author":[{"dropping-particle":"","family":"Motalebi Damuchali","given":"Ali","non-dropping-particle":"","parse-names":false,"suffix":""},{"dropping-particle":"","family":"Guo","given":"Huiqing","non-dropping-particle":"","parse-names":false,"suffix":""}],"container-title":"Atmospheric Environment","id":"ITEM-1","issued":{"date-parts":[["2020"]]},"page":"117167","publisher":"Elsevier Ltd","title":"Developing an odour emission factor for an oil refinery plant using reverse dispersion modeling","type":"article-journal","volume":"222"},"uris":["http://www.mendeley.com/documents/?uuid=87142ee5-377e-4e9d-9e03-e201ba0fab27"]},{"id":"ITEM-2","itemData":{"DOI":"10.1016/j.rineng.2024.102036","ISSN":"25901230","abstract":"High emission factor of identified air pollutants from the artisanal petroleum refineries in the Niger Delta region may be key to the degrading air quality of the region. This study determined air emission factor for the identified pollutants from the local refining technology in the region. The operational sites of these refineries are inaccessible due to security and proximity to raw material, making air quality evaluation and management impossible. However, Emission Factors are one of the best ways to quantify an activity-related air pollution especially in difficult terrain like those of the artisanal refineries. In this regard, air emissions resulting from the operation of these refineries were characterized/quantified with the use of E8500 Portable Industrial Combustion Analyzer. The measured concentrations were used to calculate the emission factors and emission rates for the identified air pollutants. The overall combined emission factors (g/kg) estimated in percentage of emissions for the pollutants characterized at the various unit operation, showed that; at the Oven Heating/Crude Oil Boiling Unit, HC had 52%, 41% for CO, 3% for NOx (NO + NO2), 2% for SO2 and 2% for H2S. Other process units emitted 53% and 55% for HC, 40% and 38% for CO, all 3% for NOx, all 2% for SO2 and all 2% for H2S for the Vapour Condensation and Refined Products Collection Units respectively. It therefore concluded that the high emission factors observed from the activities of these local petroleum refineries could be a contributing factor to the degraded air quality of the region.","author":[{"dropping-particle":"","family":"Onakpohor","given":"Anthony","non-dropping-particle":"","parse-names":false,"suffix":""},{"dropping-particle":"","family":"Fakinle","given":"Bamidele Sunday","non-dropping-particle":"","parse-names":false,"suffix":""},{"dropping-particle":"","family":"Adesanmi","given":"Adewole Johnson","non-dropping-particle":"","parse-names":false,"suffix":""},{"dropping-particle":"","family":"Sonibare","given":"Jacob Ademola","non-dropping-particle":"","parse-names":false,"suffix":""},{"dropping-particle":"","family":"Oke","given":"Michael Abidemi","non-dropping-particle":"","parse-names":false,"suffix":""},{"dropping-particle":"","family":"Akeredolu","given":"Funso Alaba","non-dropping-particle":"","parse-names":false,"suffix":""}],"container-title":"Results in Engineering","id":"ITEM-2","issued":{"date-parts":[["2024"]]},"page":"102036","publisher":"Elsevier B.V.","title":"Determination of air emission factor of pollutants from local crude oil refineries","type":"article-journal","volume":"22"},"uris":["http://www.mendeley.com/documents/?uuid=5479cc42-8d32-47a4-bad2-cc2bd0c79551"]}],"mendeley":{"formattedCitation":"(Motalebi Damuchali &amp; Guo, 2020; Onakpohor et al., 2024)","manualFormatting":"(Motalebi Damuchali and Guo, 2020; Onakpohor et al., 2024)","plainTextFormattedCitation":"(Motalebi Damuchali &amp; Guo, 2020; Onakpohor et al., 2024)","previouslyFormattedCitation":"(Motalebi Damuchali &amp; Guo, 2020; Onakpohor et al., 2024)"},"properties":{"noteIndex":0},"schema":"https://github.com/citation-style-language/schema/raw/master/csl-citation.json"}</w:instrText>
      </w:r>
      <w:r w:rsidR="007D652A">
        <w:rPr>
          <w:i w:val="0"/>
          <w:iCs/>
        </w:rPr>
        <w:fldChar w:fldCharType="separate"/>
      </w:r>
      <w:r w:rsidR="007D652A" w:rsidRPr="007D652A">
        <w:rPr>
          <w:i w:val="0"/>
          <w:iCs/>
          <w:noProof/>
        </w:rPr>
        <w:t xml:space="preserve">(Motalebi Damuchali </w:t>
      </w:r>
      <w:r w:rsidR="007D652A">
        <w:rPr>
          <w:i w:val="0"/>
          <w:iCs/>
          <w:noProof/>
        </w:rPr>
        <w:t>and</w:t>
      </w:r>
      <w:r w:rsidR="007D652A" w:rsidRPr="007D652A">
        <w:rPr>
          <w:i w:val="0"/>
          <w:iCs/>
          <w:noProof/>
        </w:rPr>
        <w:t xml:space="preserve"> Guo, 2020; Onakpohor et al., 2024)</w:t>
      </w:r>
      <w:r w:rsidR="007D652A">
        <w:rPr>
          <w:i w:val="0"/>
          <w:iCs/>
        </w:rPr>
        <w:fldChar w:fldCharType="end"/>
      </w:r>
      <w:r w:rsidR="007266C0" w:rsidRPr="000D74A3">
        <w:rPr>
          <w:i w:val="0"/>
          <w:iCs/>
        </w:rPr>
        <w:t>.</w:t>
      </w:r>
      <w:r w:rsidR="00DD4B94" w:rsidRPr="000D74A3">
        <w:rPr>
          <w:i w:val="0"/>
          <w:iCs/>
        </w:rPr>
        <w:t xml:space="preserve"> </w:t>
      </w:r>
      <w:r w:rsidR="005D1959" w:rsidRPr="000D74A3">
        <w:rPr>
          <w:i w:val="0"/>
          <w:iCs/>
        </w:rPr>
        <w:fldChar w:fldCharType="begin"/>
      </w:r>
      <w:r w:rsidR="005D1959" w:rsidRPr="000D74A3">
        <w:rPr>
          <w:i w:val="0"/>
          <w:iCs/>
        </w:rPr>
        <w:instrText xml:space="preserve"> REF _Ref165218243 \h  \* MERGEFORMAT </w:instrText>
      </w:r>
      <w:r w:rsidR="005D1959" w:rsidRPr="000D74A3">
        <w:rPr>
          <w:i w:val="0"/>
          <w:iCs/>
        </w:rPr>
      </w:r>
      <w:r w:rsidR="005D1959" w:rsidRPr="000D74A3">
        <w:rPr>
          <w:i w:val="0"/>
          <w:iCs/>
        </w:rPr>
        <w:fldChar w:fldCharType="separate"/>
      </w:r>
      <w:r w:rsidR="005D1959" w:rsidRPr="000D74A3">
        <w:rPr>
          <w:i w:val="0"/>
          <w:iCs/>
        </w:rPr>
        <w:t>Figure 3</w:t>
      </w:r>
      <w:r w:rsidR="005D1959" w:rsidRPr="000D74A3">
        <w:rPr>
          <w:i w:val="0"/>
          <w:iCs/>
        </w:rPr>
        <w:fldChar w:fldCharType="end"/>
      </w:r>
      <w:r w:rsidR="005D1959" w:rsidRPr="000D74A3">
        <w:rPr>
          <w:i w:val="0"/>
          <w:iCs/>
        </w:rPr>
        <w:t xml:space="preserve"> shows how the H</w:t>
      </w:r>
      <w:r w:rsidR="005D1959" w:rsidRPr="000D74A3">
        <w:rPr>
          <w:i w:val="0"/>
          <w:iCs/>
          <w:vertAlign w:val="subscript"/>
        </w:rPr>
        <w:t>2</w:t>
      </w:r>
      <w:r w:rsidR="005D1959" w:rsidRPr="000D74A3">
        <w:rPr>
          <w:i w:val="0"/>
          <w:iCs/>
        </w:rPr>
        <w:t xml:space="preserve">S ER and OER </w:t>
      </w:r>
      <w:r w:rsidR="003F5FF1" w:rsidRPr="000D74A3">
        <w:rPr>
          <w:i w:val="0"/>
          <w:iCs/>
        </w:rPr>
        <w:t>were</w:t>
      </w:r>
      <w:r w:rsidR="005D1959" w:rsidRPr="000D74A3">
        <w:rPr>
          <w:i w:val="0"/>
          <w:iCs/>
        </w:rPr>
        <w:t xml:space="preserve"> distributed between completely natural and </w:t>
      </w:r>
      <w:proofErr w:type="spellStart"/>
      <w:r w:rsidR="005D1959" w:rsidRPr="000D74A3">
        <w:rPr>
          <w:i w:val="0"/>
          <w:iCs/>
        </w:rPr>
        <w:t>archaeo</w:t>
      </w:r>
      <w:proofErr w:type="spellEnd"/>
      <w:r w:rsidR="005D1959" w:rsidRPr="000D74A3">
        <w:rPr>
          <w:i w:val="0"/>
          <w:iCs/>
        </w:rPr>
        <w:t>-industrial</w:t>
      </w:r>
      <w:r w:rsidR="003F5FF1" w:rsidRPr="000D74A3">
        <w:rPr>
          <w:i w:val="0"/>
          <w:iCs/>
        </w:rPr>
        <w:t xml:space="preserve"> sources</w:t>
      </w:r>
      <w:r w:rsidR="005D1959" w:rsidRPr="000D74A3">
        <w:rPr>
          <w:i w:val="0"/>
          <w:iCs/>
        </w:rPr>
        <w:t xml:space="preserve">: the contribution of mining remnants </w:t>
      </w:r>
      <w:r w:rsidR="003F5FF1" w:rsidRPr="000D74A3">
        <w:rPr>
          <w:i w:val="0"/>
          <w:iCs/>
        </w:rPr>
        <w:t>appear</w:t>
      </w:r>
      <w:r w:rsidR="00BE2E02" w:rsidRPr="000D74A3">
        <w:rPr>
          <w:i w:val="0"/>
          <w:iCs/>
        </w:rPr>
        <w:t>ed</w:t>
      </w:r>
      <w:r w:rsidR="005D1959" w:rsidRPr="000D74A3">
        <w:rPr>
          <w:i w:val="0"/>
          <w:iCs/>
        </w:rPr>
        <w:t xml:space="preserve"> to be central in the overall odour emission inventory of spot vents in the area.</w:t>
      </w:r>
    </w:p>
    <w:p w14:paraId="1017CDC1" w14:textId="77777777" w:rsidR="00AB5F78" w:rsidRPr="000D74A3" w:rsidRDefault="00AB5F78" w:rsidP="00AB5F78">
      <w:pPr>
        <w:pStyle w:val="CETCaption"/>
        <w:keepNext/>
        <w:jc w:val="center"/>
      </w:pPr>
      <w:r w:rsidRPr="000D74A3">
        <w:rPr>
          <w:i w:val="0"/>
          <w:iCs/>
          <w:noProof/>
        </w:rPr>
        <w:drawing>
          <wp:inline distT="0" distB="0" distL="0" distR="0" wp14:anchorId="18F65A36" wp14:editId="562E7CA3">
            <wp:extent cx="4311608" cy="2441702"/>
            <wp:effectExtent l="0" t="0" r="0" b="0"/>
            <wp:docPr id="39586674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317701" cy="2445152"/>
                    </a:xfrm>
                    <a:prstGeom prst="rect">
                      <a:avLst/>
                    </a:prstGeom>
                    <a:noFill/>
                  </pic:spPr>
                </pic:pic>
              </a:graphicData>
            </a:graphic>
          </wp:inline>
        </w:drawing>
      </w:r>
    </w:p>
    <w:p w14:paraId="25A0E6B9" w14:textId="0F5D0418" w:rsidR="00AB5F78" w:rsidRPr="000D74A3" w:rsidRDefault="00AB5F78" w:rsidP="005D1959">
      <w:pPr>
        <w:pStyle w:val="CETCaption"/>
        <w:rPr>
          <w:iCs/>
        </w:rPr>
      </w:pPr>
      <w:bookmarkStart w:id="3" w:name="_Ref165218243"/>
      <w:r w:rsidRPr="000D74A3">
        <w:t xml:space="preserve">Figure </w:t>
      </w:r>
      <w:r w:rsidRPr="000D74A3">
        <w:fldChar w:fldCharType="begin"/>
      </w:r>
      <w:r w:rsidRPr="000D74A3">
        <w:instrText xml:space="preserve"> SEQ Figure \* ARABIC </w:instrText>
      </w:r>
      <w:r w:rsidRPr="000D74A3">
        <w:fldChar w:fldCharType="separate"/>
      </w:r>
      <w:r w:rsidRPr="000D74A3">
        <w:t>3</w:t>
      </w:r>
      <w:r w:rsidRPr="000D74A3">
        <w:fldChar w:fldCharType="end"/>
      </w:r>
      <w:bookmarkEnd w:id="3"/>
      <w:r w:rsidRPr="000D74A3">
        <w:t xml:space="preserve">. </w:t>
      </w:r>
      <w:r w:rsidR="005D1959" w:rsidRPr="000D74A3">
        <w:t>Distribution of H</w:t>
      </w:r>
      <w:r w:rsidR="005D1959" w:rsidRPr="000D74A3">
        <w:rPr>
          <w:vertAlign w:val="subscript"/>
        </w:rPr>
        <w:t>2</w:t>
      </w:r>
      <w:r w:rsidR="005D1959" w:rsidRPr="000D74A3">
        <w:t xml:space="preserve">S ER and OER between natural and </w:t>
      </w:r>
      <w:proofErr w:type="spellStart"/>
      <w:r w:rsidR="005D1959" w:rsidRPr="000D74A3">
        <w:t>archaeo</w:t>
      </w:r>
      <w:proofErr w:type="spellEnd"/>
      <w:r w:rsidR="005D1959" w:rsidRPr="000D74A3">
        <w:t>-industrial spot vents</w:t>
      </w:r>
    </w:p>
    <w:p w14:paraId="4651BA1C" w14:textId="4AB5D1C3" w:rsidR="00233D87" w:rsidRPr="000D74A3" w:rsidRDefault="00DD4B94" w:rsidP="00233D87">
      <w:pPr>
        <w:pStyle w:val="CETCaption"/>
        <w:rPr>
          <w:i w:val="0"/>
          <w:iCs/>
        </w:rPr>
      </w:pPr>
      <w:r w:rsidRPr="000D74A3">
        <w:rPr>
          <w:i w:val="0"/>
          <w:iCs/>
        </w:rPr>
        <w:t>Due to</w:t>
      </w:r>
      <w:r w:rsidR="005D1959" w:rsidRPr="000D74A3">
        <w:rPr>
          <w:i w:val="0"/>
          <w:iCs/>
        </w:rPr>
        <w:t xml:space="preserve"> all</w:t>
      </w:r>
      <w:r w:rsidRPr="000D74A3">
        <w:rPr>
          <w:i w:val="0"/>
          <w:iCs/>
        </w:rPr>
        <w:t xml:space="preserve"> these findings, natural spot vents </w:t>
      </w:r>
      <w:r w:rsidR="005D1959" w:rsidRPr="000D74A3">
        <w:rPr>
          <w:i w:val="0"/>
          <w:iCs/>
        </w:rPr>
        <w:t>result</w:t>
      </w:r>
      <w:r w:rsidR="003F5FF1" w:rsidRPr="000D74A3">
        <w:rPr>
          <w:i w:val="0"/>
          <w:iCs/>
        </w:rPr>
        <w:t>ed</w:t>
      </w:r>
      <w:r w:rsidRPr="000D74A3">
        <w:rPr>
          <w:i w:val="0"/>
          <w:iCs/>
        </w:rPr>
        <w:t xml:space="preserve"> to play a central role in the characterisation of environmental background odour in the Mt. </w:t>
      </w:r>
      <w:proofErr w:type="spellStart"/>
      <w:r w:rsidRPr="000D74A3">
        <w:rPr>
          <w:i w:val="0"/>
          <w:iCs/>
        </w:rPr>
        <w:t>Amiata</w:t>
      </w:r>
      <w:proofErr w:type="spellEnd"/>
      <w:r w:rsidRPr="000D74A3">
        <w:rPr>
          <w:i w:val="0"/>
          <w:iCs/>
        </w:rPr>
        <w:t xml:space="preserve"> area. </w:t>
      </w:r>
    </w:p>
    <w:p w14:paraId="50DF02FD" w14:textId="43AAE3EB" w:rsidR="00EA54A0" w:rsidRPr="000D74A3" w:rsidRDefault="00EA54A0" w:rsidP="00600535">
      <w:pPr>
        <w:pStyle w:val="CETHeading1"/>
        <w:rPr>
          <w:lang w:val="en-GB"/>
        </w:rPr>
      </w:pPr>
      <w:r w:rsidRPr="000D74A3">
        <w:rPr>
          <w:lang w:val="en-GB"/>
        </w:rPr>
        <w:t>Conclusions</w:t>
      </w:r>
    </w:p>
    <w:p w14:paraId="383D5FDA" w14:textId="0E1A4421" w:rsidR="00886093" w:rsidRPr="000D74A3" w:rsidRDefault="00886093" w:rsidP="00886093">
      <w:pPr>
        <w:pStyle w:val="CETBodytext"/>
        <w:rPr>
          <w:lang w:val="en-GB"/>
        </w:rPr>
      </w:pPr>
      <w:r w:rsidRPr="000D74A3">
        <w:rPr>
          <w:lang w:val="en-GB"/>
        </w:rPr>
        <w:t xml:space="preserve">Field campaigns on Mt. </w:t>
      </w:r>
      <w:proofErr w:type="spellStart"/>
      <w:r w:rsidRPr="000D74A3">
        <w:rPr>
          <w:lang w:val="en-GB"/>
        </w:rPr>
        <w:t>Amiata</w:t>
      </w:r>
      <w:proofErr w:type="spellEnd"/>
      <w:r w:rsidRPr="000D74A3">
        <w:rPr>
          <w:lang w:val="en-GB"/>
        </w:rPr>
        <w:t xml:space="preserve"> ha</w:t>
      </w:r>
      <w:r w:rsidR="00CA7FA4">
        <w:rPr>
          <w:lang w:val="en-GB"/>
        </w:rPr>
        <w:t>ve</w:t>
      </w:r>
      <w:r w:rsidRPr="000D74A3">
        <w:rPr>
          <w:lang w:val="en-GB"/>
        </w:rPr>
        <w:t xml:space="preserve"> shown the presence of several endogenous gas spot vents, both completely natural </w:t>
      </w:r>
      <w:r w:rsidR="00DD4B94" w:rsidRPr="000D74A3">
        <w:rPr>
          <w:lang w:val="en-GB"/>
        </w:rPr>
        <w:t>and</w:t>
      </w:r>
      <w:r w:rsidRPr="000D74A3">
        <w:rPr>
          <w:lang w:val="en-GB"/>
        </w:rPr>
        <w:t xml:space="preserve"> </w:t>
      </w:r>
      <w:proofErr w:type="spellStart"/>
      <w:r w:rsidRPr="000D74A3">
        <w:rPr>
          <w:lang w:val="en-GB"/>
        </w:rPr>
        <w:t>archaeo</w:t>
      </w:r>
      <w:proofErr w:type="spellEnd"/>
      <w:r w:rsidRPr="000D74A3">
        <w:rPr>
          <w:lang w:val="en-GB"/>
        </w:rPr>
        <w:t>-industrial, derived from the old cinnabar mining swellings in the area. These emissions are rich in CO</w:t>
      </w:r>
      <w:r w:rsidRPr="000D74A3">
        <w:rPr>
          <w:vertAlign w:val="subscript"/>
          <w:lang w:val="en-GB"/>
        </w:rPr>
        <w:t>2</w:t>
      </w:r>
      <w:r w:rsidRPr="000D74A3">
        <w:rPr>
          <w:lang w:val="en-GB"/>
        </w:rPr>
        <w:t xml:space="preserve"> but </w:t>
      </w:r>
      <w:r w:rsidR="00CA7FA4">
        <w:rPr>
          <w:lang w:val="en-GB"/>
        </w:rPr>
        <w:t xml:space="preserve">also </w:t>
      </w:r>
      <w:r w:rsidRPr="000D74A3">
        <w:rPr>
          <w:lang w:val="en-GB"/>
        </w:rPr>
        <w:t>show not negligible amount of CH</w:t>
      </w:r>
      <w:r w:rsidRPr="000D74A3">
        <w:rPr>
          <w:vertAlign w:val="subscript"/>
          <w:lang w:val="en-GB"/>
        </w:rPr>
        <w:t>4</w:t>
      </w:r>
      <w:r w:rsidRPr="000D74A3">
        <w:rPr>
          <w:lang w:val="en-GB"/>
        </w:rPr>
        <w:t xml:space="preserve"> and H</w:t>
      </w:r>
      <w:r w:rsidRPr="000D74A3">
        <w:rPr>
          <w:vertAlign w:val="subscript"/>
          <w:lang w:val="en-GB"/>
        </w:rPr>
        <w:t>2</w:t>
      </w:r>
      <w:r w:rsidRPr="000D74A3">
        <w:rPr>
          <w:lang w:val="en-GB"/>
        </w:rPr>
        <w:t xml:space="preserve">S. </w:t>
      </w:r>
      <w:proofErr w:type="gramStart"/>
      <w:r w:rsidRPr="000D74A3">
        <w:rPr>
          <w:lang w:val="en-GB"/>
        </w:rPr>
        <w:t>In particular, H</w:t>
      </w:r>
      <w:r w:rsidRPr="000D74A3">
        <w:rPr>
          <w:vertAlign w:val="subscript"/>
          <w:lang w:val="en-GB"/>
        </w:rPr>
        <w:t>2</w:t>
      </w:r>
      <w:r w:rsidRPr="000D74A3">
        <w:rPr>
          <w:lang w:val="en-GB"/>
        </w:rPr>
        <w:t>S</w:t>
      </w:r>
      <w:proofErr w:type="gramEnd"/>
      <w:r w:rsidRPr="000D74A3">
        <w:rPr>
          <w:lang w:val="en-GB"/>
        </w:rPr>
        <w:t xml:space="preserve"> </w:t>
      </w:r>
      <w:r w:rsidR="00CA7FA4">
        <w:rPr>
          <w:lang w:val="en-GB"/>
        </w:rPr>
        <w:t>is</w:t>
      </w:r>
      <w:r w:rsidR="00CA7FA4" w:rsidRPr="000D74A3">
        <w:rPr>
          <w:lang w:val="en-GB"/>
        </w:rPr>
        <w:t xml:space="preserve"> </w:t>
      </w:r>
      <w:r w:rsidRPr="000D74A3">
        <w:rPr>
          <w:lang w:val="en-GB"/>
        </w:rPr>
        <w:t>present at concentrations even dangerous for humans. These very high H</w:t>
      </w:r>
      <w:r w:rsidRPr="000D74A3">
        <w:rPr>
          <w:vertAlign w:val="subscript"/>
          <w:lang w:val="en-GB"/>
        </w:rPr>
        <w:t>2</w:t>
      </w:r>
      <w:r w:rsidRPr="000D74A3">
        <w:rPr>
          <w:lang w:val="en-GB"/>
        </w:rPr>
        <w:t>S concentrations lead to millions of ou</w:t>
      </w:r>
      <w:r w:rsidRPr="000D74A3">
        <w:rPr>
          <w:vertAlign w:val="subscript"/>
          <w:lang w:val="en-GB"/>
        </w:rPr>
        <w:t>E</w:t>
      </w:r>
      <w:r w:rsidRPr="000D74A3">
        <w:rPr>
          <w:lang w:val="en-GB"/>
        </w:rPr>
        <w:t>/m</w:t>
      </w:r>
      <w:r w:rsidRPr="000D74A3">
        <w:rPr>
          <w:vertAlign w:val="superscript"/>
          <w:lang w:val="en-GB"/>
        </w:rPr>
        <w:t>3</w:t>
      </w:r>
      <w:r w:rsidRPr="000D74A3">
        <w:rPr>
          <w:lang w:val="en-GB"/>
        </w:rPr>
        <w:t xml:space="preserve">. </w:t>
      </w:r>
      <w:r w:rsidR="00BE2E02" w:rsidRPr="000D74A3">
        <w:rPr>
          <w:lang w:val="en-GB"/>
        </w:rPr>
        <w:t>The</w:t>
      </w:r>
      <w:r w:rsidR="00DD4B94" w:rsidRPr="000D74A3">
        <w:rPr>
          <w:lang w:val="en-GB"/>
        </w:rPr>
        <w:t xml:space="preserve"> first conclusion </w:t>
      </w:r>
      <w:r w:rsidR="00BE2E02" w:rsidRPr="000D74A3">
        <w:rPr>
          <w:lang w:val="en-GB"/>
        </w:rPr>
        <w:t xml:space="preserve">of this study </w:t>
      </w:r>
      <w:r w:rsidR="00DD4B94" w:rsidRPr="000D74A3">
        <w:rPr>
          <w:lang w:val="en-GB"/>
        </w:rPr>
        <w:t>is that these spot vents must be clearly identified</w:t>
      </w:r>
      <w:r w:rsidR="00BE2E02" w:rsidRPr="000D74A3">
        <w:rPr>
          <w:lang w:val="en-GB"/>
        </w:rPr>
        <w:t>,</w:t>
      </w:r>
      <w:r w:rsidR="00DD4B94" w:rsidRPr="000D74A3">
        <w:rPr>
          <w:lang w:val="en-GB"/>
        </w:rPr>
        <w:t xml:space="preserve"> </w:t>
      </w:r>
      <w:proofErr w:type="gramStart"/>
      <w:r w:rsidR="00DD4B94" w:rsidRPr="000D74A3">
        <w:rPr>
          <w:lang w:val="en-GB"/>
        </w:rPr>
        <w:t>in order to</w:t>
      </w:r>
      <w:proofErr w:type="gramEnd"/>
      <w:r w:rsidR="00DD4B94" w:rsidRPr="000D74A3">
        <w:rPr>
          <w:lang w:val="en-GB"/>
        </w:rPr>
        <w:t xml:space="preserve"> avoid the possible random</w:t>
      </w:r>
      <w:r w:rsidR="00BE2E02" w:rsidRPr="000D74A3">
        <w:rPr>
          <w:lang w:val="en-GB"/>
        </w:rPr>
        <w:t xml:space="preserve"> and dangerous</w:t>
      </w:r>
      <w:r w:rsidR="00DD4B94" w:rsidRPr="000D74A3">
        <w:rPr>
          <w:lang w:val="en-GB"/>
        </w:rPr>
        <w:t xml:space="preserve"> approach of passers-by. In addition to the installation of fences, continuous maintenance is necessary, given the corrosiveness of the discharged endogenous gases. A further conclusion is the possibility to include these sources of gases in the atmospheric dispersion modelling of the area: given their ground-level emission height, and nearly null plume rise, these emissions may be scarcely diluted by the atmosphere </w:t>
      </w:r>
      <w:r w:rsidR="00BE2E02" w:rsidRPr="000D74A3">
        <w:rPr>
          <w:lang w:val="en-GB"/>
        </w:rPr>
        <w:t>before</w:t>
      </w:r>
      <w:r w:rsidR="00DD4B94" w:rsidRPr="000D74A3">
        <w:rPr>
          <w:lang w:val="en-GB"/>
        </w:rPr>
        <w:t xml:space="preserve"> the fallout at receptors. The use of these tools may </w:t>
      </w:r>
      <w:r w:rsidR="0023411C" w:rsidRPr="000D74A3">
        <w:rPr>
          <w:lang w:val="en-GB"/>
        </w:rPr>
        <w:t>provide useful information for the control and the estimation of H</w:t>
      </w:r>
      <w:r w:rsidR="0023411C" w:rsidRPr="000D74A3">
        <w:rPr>
          <w:vertAlign w:val="subscript"/>
          <w:lang w:val="en-GB"/>
        </w:rPr>
        <w:t>2</w:t>
      </w:r>
      <w:r w:rsidR="0023411C" w:rsidRPr="000D74A3">
        <w:rPr>
          <w:lang w:val="en-GB"/>
        </w:rPr>
        <w:t xml:space="preserve">S in the investigated area. Further development may be needed </w:t>
      </w:r>
      <w:proofErr w:type="gramStart"/>
      <w:r w:rsidR="0023411C" w:rsidRPr="000D74A3">
        <w:rPr>
          <w:lang w:val="en-GB"/>
        </w:rPr>
        <w:t>in order to</w:t>
      </w:r>
      <w:proofErr w:type="gramEnd"/>
      <w:r w:rsidR="0023411C" w:rsidRPr="000D74A3">
        <w:rPr>
          <w:lang w:val="en-GB"/>
        </w:rPr>
        <w:t xml:space="preserve"> consider </w:t>
      </w:r>
      <w:r w:rsidR="00BE2E02" w:rsidRPr="000D74A3">
        <w:rPr>
          <w:lang w:val="en-GB"/>
        </w:rPr>
        <w:t xml:space="preserve">the </w:t>
      </w:r>
      <w:r w:rsidR="0023411C" w:rsidRPr="000D74A3">
        <w:rPr>
          <w:lang w:val="en-GB"/>
        </w:rPr>
        <w:t>atmospheric chemistry of H</w:t>
      </w:r>
      <w:r w:rsidR="0023411C" w:rsidRPr="000D74A3">
        <w:rPr>
          <w:vertAlign w:val="subscript"/>
          <w:lang w:val="en-GB"/>
        </w:rPr>
        <w:t>2</w:t>
      </w:r>
      <w:r w:rsidR="0023411C" w:rsidRPr="000D74A3">
        <w:rPr>
          <w:lang w:val="en-GB"/>
        </w:rPr>
        <w:t xml:space="preserve">S: this gas may be oxidized in the atmosphere and the very high concentrations may enhance the reactions kinetic. </w:t>
      </w:r>
    </w:p>
    <w:p w14:paraId="1BF79DFB" w14:textId="298ACD2D" w:rsidR="0023411C" w:rsidRPr="000D74A3" w:rsidRDefault="005D1959" w:rsidP="00886093">
      <w:pPr>
        <w:pStyle w:val="CETBodytext"/>
        <w:rPr>
          <w:lang w:val="en-GB"/>
        </w:rPr>
      </w:pPr>
      <w:r w:rsidRPr="000D74A3">
        <w:rPr>
          <w:lang w:val="en-GB"/>
        </w:rPr>
        <w:t xml:space="preserve">A final consideration refers to the update of </w:t>
      </w:r>
      <w:r w:rsidR="00BE2E02" w:rsidRPr="000D74A3">
        <w:rPr>
          <w:lang w:val="en-GB"/>
        </w:rPr>
        <w:t>this emission inventory</w:t>
      </w:r>
      <w:r w:rsidRPr="000D74A3">
        <w:rPr>
          <w:lang w:val="en-GB"/>
        </w:rPr>
        <w:t xml:space="preserve">: even within the conduction of the here-presented </w:t>
      </w:r>
      <w:r w:rsidR="00BE2E02" w:rsidRPr="000D74A3">
        <w:rPr>
          <w:lang w:val="en-GB"/>
        </w:rPr>
        <w:t>field campaigns</w:t>
      </w:r>
      <w:r w:rsidRPr="000D74A3">
        <w:rPr>
          <w:lang w:val="en-GB"/>
        </w:rPr>
        <w:t xml:space="preserve">, an evolution in the emissions was noted. The authors underline the importance of continuous monitoring of </w:t>
      </w:r>
      <w:r w:rsidR="00BE2E02" w:rsidRPr="000D74A3">
        <w:rPr>
          <w:lang w:val="en-GB"/>
        </w:rPr>
        <w:t>these emissions</w:t>
      </w:r>
      <w:r w:rsidRPr="000D74A3">
        <w:rPr>
          <w:lang w:val="en-GB"/>
        </w:rPr>
        <w:t xml:space="preserve"> and eventually further explorations </w:t>
      </w:r>
      <w:r w:rsidR="00BE2E02" w:rsidRPr="000D74A3">
        <w:rPr>
          <w:lang w:val="en-GB"/>
        </w:rPr>
        <w:t>to</w:t>
      </w:r>
      <w:r w:rsidRPr="000D74A3">
        <w:rPr>
          <w:lang w:val="en-GB"/>
        </w:rPr>
        <w:t xml:space="preserve"> find the possible presence of further spot vents, which were not discovered (and considered) in the present study. </w:t>
      </w:r>
    </w:p>
    <w:p w14:paraId="4F1327F8" w14:textId="6A524CB8" w:rsidR="00600535" w:rsidRPr="000D74A3" w:rsidRDefault="00600535" w:rsidP="00AA1921">
      <w:pPr>
        <w:pStyle w:val="CETHeading1"/>
        <w:numPr>
          <w:ilvl w:val="0"/>
          <w:numId w:val="0"/>
        </w:numPr>
        <w:rPr>
          <w:lang w:val="en-GB"/>
        </w:rPr>
      </w:pPr>
      <w:r w:rsidRPr="000D74A3">
        <w:rPr>
          <w:lang w:val="en-GB"/>
        </w:rPr>
        <w:t>References</w:t>
      </w:r>
    </w:p>
    <w:p w14:paraId="7BB011F8" w14:textId="31F1D4AD" w:rsidR="0089203B" w:rsidRPr="0089203B" w:rsidRDefault="007D652A" w:rsidP="0089203B">
      <w:pPr>
        <w:widowControl w:val="0"/>
        <w:autoSpaceDE w:val="0"/>
        <w:autoSpaceDN w:val="0"/>
        <w:adjustRightInd w:val="0"/>
        <w:spacing w:line="240" w:lineRule="auto"/>
        <w:ind w:left="480" w:hanging="480"/>
        <w:rPr>
          <w:rFonts w:cs="Arial"/>
          <w:noProof/>
        </w:rPr>
      </w:pPr>
      <w:r>
        <w:fldChar w:fldCharType="begin" w:fldLock="1"/>
      </w:r>
      <w:r>
        <w:instrText xml:space="preserve">ADDIN Mendeley Bibliography CSL_BIBLIOGRAPHY </w:instrText>
      </w:r>
      <w:r>
        <w:fldChar w:fldCharType="separate"/>
      </w:r>
      <w:r w:rsidR="0089203B" w:rsidRPr="0089203B">
        <w:rPr>
          <w:rFonts w:cs="Arial"/>
          <w:noProof/>
        </w:rPr>
        <w:t>Barczak, R. J., Możaryn, J., Fisher, R. M., Stuetz, R. M.</w:t>
      </w:r>
      <w:r w:rsidR="0089203B">
        <w:rPr>
          <w:rFonts w:cs="Arial"/>
          <w:noProof/>
        </w:rPr>
        <w:t>,</w:t>
      </w:r>
      <w:r w:rsidR="0089203B" w:rsidRPr="0089203B">
        <w:rPr>
          <w:rFonts w:cs="Arial"/>
          <w:noProof/>
        </w:rPr>
        <w:t xml:space="preserve"> 2022</w:t>
      </w:r>
      <w:r w:rsidR="0089203B">
        <w:rPr>
          <w:rFonts w:cs="Arial"/>
          <w:noProof/>
        </w:rPr>
        <w:t>,</w:t>
      </w:r>
      <w:r w:rsidR="0089203B" w:rsidRPr="0089203B">
        <w:rPr>
          <w:rFonts w:cs="Arial"/>
          <w:noProof/>
        </w:rPr>
        <w:t xml:space="preserve"> Odour concentrations prediction based on odorants concentrations from biosolid emissions. </w:t>
      </w:r>
      <w:r w:rsidR="0089203B" w:rsidRPr="0089203B">
        <w:rPr>
          <w:rFonts w:cs="Arial"/>
          <w:i/>
          <w:iCs/>
          <w:noProof/>
        </w:rPr>
        <w:t>Environmental Research</w:t>
      </w:r>
      <w:r w:rsidR="0089203B" w:rsidRPr="0089203B">
        <w:rPr>
          <w:rFonts w:cs="Arial"/>
          <w:noProof/>
        </w:rPr>
        <w:t xml:space="preserve">, </w:t>
      </w:r>
      <w:r w:rsidR="0089203B" w:rsidRPr="0089203B">
        <w:rPr>
          <w:rFonts w:cs="Arial"/>
          <w:i/>
          <w:iCs/>
          <w:noProof/>
        </w:rPr>
        <w:t>214</w:t>
      </w:r>
      <w:r w:rsidR="0089203B" w:rsidRPr="0089203B">
        <w:rPr>
          <w:rFonts w:cs="Arial"/>
          <w:noProof/>
        </w:rPr>
        <w:t>, 113871</w:t>
      </w:r>
      <w:r w:rsidR="0089203B">
        <w:rPr>
          <w:rFonts w:cs="Arial"/>
          <w:noProof/>
        </w:rPr>
        <w:t>,</w:t>
      </w:r>
      <w:r w:rsidR="0089203B" w:rsidRPr="0089203B">
        <w:rPr>
          <w:rFonts w:cs="Arial"/>
          <w:noProof/>
        </w:rPr>
        <w:t xml:space="preserve"> https://doi.org/10.1016/j.envres.2022.113871</w:t>
      </w:r>
    </w:p>
    <w:p w14:paraId="2CAE3FEC" w14:textId="1B2CFEEA"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lastRenderedPageBreak/>
        <w:t>Barelli, A., Ceccarelli, A., Fiordelisi, A., Giorgi, N., Lovari, F., Romagnoli, P.</w:t>
      </w:r>
      <w:r>
        <w:rPr>
          <w:rFonts w:cs="Arial"/>
          <w:noProof/>
        </w:rPr>
        <w:t>,</w:t>
      </w:r>
      <w:r w:rsidRPr="0089203B">
        <w:rPr>
          <w:rFonts w:cs="Arial"/>
          <w:noProof/>
        </w:rPr>
        <w:t xml:space="preserve"> 2010</w:t>
      </w:r>
      <w:r>
        <w:rPr>
          <w:rFonts w:cs="Arial"/>
          <w:noProof/>
        </w:rPr>
        <w:t>,</w:t>
      </w:r>
      <w:r w:rsidRPr="0089203B">
        <w:rPr>
          <w:rFonts w:cs="Arial"/>
          <w:noProof/>
        </w:rPr>
        <w:t xml:space="preserve"> A review of the Mt. Amiata geothermal system (Italy)</w:t>
      </w:r>
      <w:r>
        <w:rPr>
          <w:rFonts w:cs="Arial"/>
          <w:noProof/>
        </w:rPr>
        <w:t>,</w:t>
      </w:r>
      <w:r w:rsidRPr="0089203B">
        <w:rPr>
          <w:rFonts w:cs="Arial"/>
          <w:noProof/>
        </w:rPr>
        <w:t xml:space="preserve"> </w:t>
      </w:r>
      <w:r w:rsidRPr="0089203B">
        <w:rPr>
          <w:rFonts w:cs="Arial"/>
          <w:i/>
          <w:iCs/>
          <w:noProof/>
        </w:rPr>
        <w:t>Proceedings World Geothermal Congress</w:t>
      </w:r>
      <w:r>
        <w:rPr>
          <w:rFonts w:cs="Arial"/>
          <w:noProof/>
        </w:rPr>
        <w:t>,</w:t>
      </w:r>
      <w:r w:rsidRPr="0089203B">
        <w:rPr>
          <w:rFonts w:cs="Arial"/>
          <w:noProof/>
        </w:rPr>
        <w:t xml:space="preserve"> http://www.geothermal-energy.org/pdf/IGAstandard/WGC/2010/0613.pdf</w:t>
      </w:r>
    </w:p>
    <w:p w14:paraId="33D6F8B5" w14:textId="48445143"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Bax, C., Sironi, S., Capelli, L.</w:t>
      </w:r>
      <w:r>
        <w:rPr>
          <w:rFonts w:cs="Arial"/>
          <w:noProof/>
        </w:rPr>
        <w:t>,</w:t>
      </w:r>
      <w:r w:rsidRPr="0089203B">
        <w:rPr>
          <w:rFonts w:cs="Arial"/>
          <w:noProof/>
        </w:rPr>
        <w:t xml:space="preserve"> 2020</w:t>
      </w:r>
      <w:r>
        <w:rPr>
          <w:rFonts w:cs="Arial"/>
          <w:noProof/>
        </w:rPr>
        <w:t>,</w:t>
      </w:r>
      <w:r w:rsidRPr="0089203B">
        <w:rPr>
          <w:rFonts w:cs="Arial"/>
          <w:noProof/>
        </w:rPr>
        <w:t xml:space="preserve"> How can odors be measured? An overview of methods and their applications</w:t>
      </w:r>
      <w:r>
        <w:rPr>
          <w:rFonts w:cs="Arial"/>
          <w:noProof/>
        </w:rPr>
        <w:t>,</w:t>
      </w:r>
      <w:r w:rsidRPr="0089203B">
        <w:rPr>
          <w:rFonts w:cs="Arial"/>
          <w:noProof/>
        </w:rPr>
        <w:t xml:space="preserve"> </w:t>
      </w:r>
      <w:r w:rsidRPr="0089203B">
        <w:rPr>
          <w:rFonts w:cs="Arial"/>
          <w:i/>
          <w:iCs/>
          <w:noProof/>
        </w:rPr>
        <w:t>Atmosphere</w:t>
      </w:r>
      <w:r w:rsidRPr="0089203B">
        <w:rPr>
          <w:rFonts w:cs="Arial"/>
          <w:noProof/>
        </w:rPr>
        <w:t xml:space="preserve">, </w:t>
      </w:r>
      <w:r w:rsidRPr="0089203B">
        <w:rPr>
          <w:rFonts w:cs="Arial"/>
          <w:i/>
          <w:iCs/>
          <w:noProof/>
        </w:rPr>
        <w:t>11(92)</w:t>
      </w:r>
      <w:r>
        <w:rPr>
          <w:rFonts w:cs="Arial"/>
          <w:noProof/>
        </w:rPr>
        <w:t>,</w:t>
      </w:r>
      <w:r w:rsidRPr="0089203B">
        <w:rPr>
          <w:rFonts w:cs="Arial"/>
          <w:noProof/>
        </w:rPr>
        <w:t xml:space="preserve"> https://doi.org/10.3390/atmos11010092</w:t>
      </w:r>
    </w:p>
    <w:p w14:paraId="59100587" w14:textId="48329A23"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Boeker, P., Leppert, J., Lammers, P. S.</w:t>
      </w:r>
      <w:r>
        <w:rPr>
          <w:rFonts w:cs="Arial"/>
          <w:noProof/>
        </w:rPr>
        <w:t>,</w:t>
      </w:r>
      <w:r w:rsidRPr="0089203B">
        <w:rPr>
          <w:rFonts w:cs="Arial"/>
          <w:noProof/>
        </w:rPr>
        <w:t xml:space="preserve"> 2014</w:t>
      </w:r>
      <w:r>
        <w:rPr>
          <w:rFonts w:cs="Arial"/>
          <w:noProof/>
        </w:rPr>
        <w:t>,</w:t>
      </w:r>
      <w:r w:rsidRPr="0089203B">
        <w:rPr>
          <w:rFonts w:cs="Arial"/>
          <w:noProof/>
        </w:rPr>
        <w:t xml:space="preserve"> Comparison of odorant losses at the ppb-level from sampling bags of </w:t>
      </w:r>
      <w:r w:rsidR="006E0F7C">
        <w:rPr>
          <w:rFonts w:cs="Arial"/>
          <w:noProof/>
        </w:rPr>
        <w:t>N</w:t>
      </w:r>
      <w:r w:rsidRPr="0089203B">
        <w:rPr>
          <w:rFonts w:cs="Arial"/>
          <w:noProof/>
        </w:rPr>
        <w:t>alophan</w:t>
      </w:r>
      <w:r w:rsidRPr="0089203B">
        <w:rPr>
          <w:rFonts w:cs="Arial"/>
          <w:noProof/>
          <w:vertAlign w:val="superscript"/>
        </w:rPr>
        <w:t>TM</w:t>
      </w:r>
      <w:r>
        <w:rPr>
          <w:rFonts w:cs="Arial"/>
          <w:noProof/>
          <w:vertAlign w:val="superscript"/>
        </w:rPr>
        <w:t xml:space="preserve"> </w:t>
      </w:r>
      <w:r w:rsidRPr="0089203B">
        <w:rPr>
          <w:rFonts w:cs="Arial"/>
          <w:noProof/>
        </w:rPr>
        <w:t xml:space="preserve">and </w:t>
      </w:r>
      <w:r w:rsidR="006E0F7C">
        <w:rPr>
          <w:rFonts w:cs="Arial"/>
          <w:noProof/>
        </w:rPr>
        <w:t>T</w:t>
      </w:r>
      <w:r w:rsidRPr="0089203B">
        <w:rPr>
          <w:rFonts w:cs="Arial"/>
          <w:noProof/>
        </w:rPr>
        <w:t>edlar</w:t>
      </w:r>
      <w:r w:rsidRPr="0089203B">
        <w:rPr>
          <w:rFonts w:cs="Arial"/>
          <w:noProof/>
          <w:vertAlign w:val="superscript"/>
        </w:rPr>
        <w:t>TM</w:t>
      </w:r>
      <w:r>
        <w:rPr>
          <w:rFonts w:cs="Arial"/>
          <w:noProof/>
          <w:vertAlign w:val="superscript"/>
        </w:rPr>
        <w:t xml:space="preserve"> </w:t>
      </w:r>
      <w:r w:rsidRPr="0089203B">
        <w:rPr>
          <w:rFonts w:cs="Arial"/>
          <w:noProof/>
        </w:rPr>
        <w:t>and from adsorption tubes</w:t>
      </w:r>
      <w:r>
        <w:rPr>
          <w:rFonts w:cs="Arial"/>
          <w:noProof/>
        </w:rPr>
        <w:t>,</w:t>
      </w:r>
      <w:r w:rsidRPr="0089203B">
        <w:rPr>
          <w:rFonts w:cs="Arial"/>
          <w:noProof/>
        </w:rPr>
        <w:t xml:space="preserve"> </w:t>
      </w:r>
      <w:r w:rsidRPr="0089203B">
        <w:rPr>
          <w:rFonts w:cs="Arial"/>
          <w:i/>
          <w:iCs/>
          <w:noProof/>
        </w:rPr>
        <w:t>Chemical Engineering Transactions</w:t>
      </w:r>
      <w:r w:rsidRPr="0089203B">
        <w:rPr>
          <w:rFonts w:cs="Arial"/>
          <w:noProof/>
        </w:rPr>
        <w:t xml:space="preserve">, </w:t>
      </w:r>
      <w:r w:rsidRPr="0089203B">
        <w:rPr>
          <w:rFonts w:cs="Arial"/>
          <w:i/>
          <w:iCs/>
          <w:noProof/>
        </w:rPr>
        <w:t>40</w:t>
      </w:r>
      <w:r w:rsidRPr="0089203B">
        <w:rPr>
          <w:rFonts w:cs="Arial"/>
          <w:noProof/>
        </w:rPr>
        <w:t>, 157</w:t>
      </w:r>
      <w:r w:rsidR="006E0F7C">
        <w:rPr>
          <w:rFonts w:cs="Arial"/>
          <w:noProof/>
        </w:rPr>
        <w:t>-</w:t>
      </w:r>
      <w:r w:rsidRPr="0089203B">
        <w:rPr>
          <w:rFonts w:cs="Arial"/>
          <w:noProof/>
        </w:rPr>
        <w:t>162</w:t>
      </w:r>
      <w:r w:rsidR="006E0F7C">
        <w:rPr>
          <w:rFonts w:cs="Arial"/>
          <w:noProof/>
        </w:rPr>
        <w:t>,</w:t>
      </w:r>
      <w:r w:rsidRPr="0089203B">
        <w:rPr>
          <w:rFonts w:cs="Arial"/>
          <w:noProof/>
        </w:rPr>
        <w:t xml:space="preserve"> https://doi.org/10.3303/CET1440027</w:t>
      </w:r>
    </w:p>
    <w:p w14:paraId="56B0FAB6" w14:textId="34933275"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 xml:space="preserve">Bokowa, A. H., Bokowa, M. </w:t>
      </w:r>
      <w:r w:rsidR="006E0F7C">
        <w:rPr>
          <w:rFonts w:cs="Arial"/>
          <w:noProof/>
        </w:rPr>
        <w:t>A</w:t>
      </w:r>
      <w:r w:rsidRPr="0089203B">
        <w:rPr>
          <w:rFonts w:cs="Arial"/>
          <w:noProof/>
        </w:rPr>
        <w:t>.</w:t>
      </w:r>
      <w:r w:rsidR="006E0F7C">
        <w:rPr>
          <w:rFonts w:cs="Arial"/>
          <w:noProof/>
        </w:rPr>
        <w:t>,</w:t>
      </w:r>
      <w:r w:rsidRPr="0089203B">
        <w:rPr>
          <w:rFonts w:cs="Arial"/>
          <w:noProof/>
        </w:rPr>
        <w:t xml:space="preserve"> 2017</w:t>
      </w:r>
      <w:r w:rsidR="006E0F7C">
        <w:rPr>
          <w:rFonts w:cs="Arial"/>
          <w:noProof/>
        </w:rPr>
        <w:t>,</w:t>
      </w:r>
      <w:r w:rsidRPr="0089203B">
        <w:rPr>
          <w:rFonts w:cs="Arial"/>
          <w:noProof/>
        </w:rPr>
        <w:t xml:space="preserve"> Odour assessment methods: appropriate uses to obtain the most accurate results</w:t>
      </w:r>
      <w:r w:rsidR="006E0F7C">
        <w:rPr>
          <w:rFonts w:cs="Arial"/>
          <w:noProof/>
        </w:rPr>
        <w:t>,</w:t>
      </w:r>
      <w:r w:rsidRPr="0089203B">
        <w:rPr>
          <w:rFonts w:cs="Arial"/>
          <w:noProof/>
        </w:rPr>
        <w:t xml:space="preserve"> </w:t>
      </w:r>
      <w:r w:rsidRPr="0089203B">
        <w:rPr>
          <w:rFonts w:cs="Arial"/>
          <w:i/>
          <w:iCs/>
          <w:noProof/>
        </w:rPr>
        <w:t>Austrian Contributions to Veterinary Epidemiology</w:t>
      </w:r>
      <w:r w:rsidRPr="0089203B">
        <w:rPr>
          <w:rFonts w:cs="Arial"/>
          <w:noProof/>
        </w:rPr>
        <w:t xml:space="preserve">, </w:t>
      </w:r>
      <w:r w:rsidRPr="0089203B">
        <w:rPr>
          <w:rFonts w:cs="Arial"/>
          <w:i/>
          <w:iCs/>
          <w:noProof/>
        </w:rPr>
        <w:t>9</w:t>
      </w:r>
      <w:r w:rsidRPr="0089203B">
        <w:rPr>
          <w:rFonts w:cs="Arial"/>
          <w:noProof/>
        </w:rPr>
        <w:t>, 21</w:t>
      </w:r>
      <w:r w:rsidR="006E0F7C">
        <w:rPr>
          <w:rFonts w:cs="Arial"/>
          <w:noProof/>
        </w:rPr>
        <w:t>-</w:t>
      </w:r>
      <w:r w:rsidRPr="0089203B">
        <w:rPr>
          <w:rFonts w:cs="Arial"/>
          <w:noProof/>
        </w:rPr>
        <w:t>35</w:t>
      </w:r>
    </w:p>
    <w:p w14:paraId="5E8EFCD2" w14:textId="2DEF04C8"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Fulignati, P., Marianelli, P., Sbrana, A., Ciani, V.</w:t>
      </w:r>
      <w:r w:rsidR="006E0F7C">
        <w:rPr>
          <w:rFonts w:cs="Arial"/>
          <w:noProof/>
        </w:rPr>
        <w:t>,</w:t>
      </w:r>
      <w:r w:rsidRPr="0089203B">
        <w:rPr>
          <w:rFonts w:cs="Arial"/>
          <w:noProof/>
        </w:rPr>
        <w:t xml:space="preserve"> 2014</w:t>
      </w:r>
      <w:r w:rsidR="006E0F7C">
        <w:rPr>
          <w:rFonts w:cs="Arial"/>
          <w:noProof/>
        </w:rPr>
        <w:t>,</w:t>
      </w:r>
      <w:r w:rsidRPr="0089203B">
        <w:rPr>
          <w:rFonts w:cs="Arial"/>
          <w:noProof/>
        </w:rPr>
        <w:t xml:space="preserve"> 3D geothermal modelling of the </w:t>
      </w:r>
      <w:r w:rsidR="006E0F7C">
        <w:rPr>
          <w:rFonts w:cs="Arial"/>
          <w:noProof/>
        </w:rPr>
        <w:t>M</w:t>
      </w:r>
      <w:r w:rsidRPr="0089203B">
        <w:rPr>
          <w:rFonts w:cs="Arial"/>
          <w:noProof/>
        </w:rPr>
        <w:t xml:space="preserve">ount </w:t>
      </w:r>
      <w:r w:rsidR="006E0F7C">
        <w:rPr>
          <w:rFonts w:cs="Arial"/>
          <w:noProof/>
        </w:rPr>
        <w:t>A</w:t>
      </w:r>
      <w:r w:rsidRPr="0089203B">
        <w:rPr>
          <w:rFonts w:cs="Arial"/>
          <w:noProof/>
        </w:rPr>
        <w:t>miata hydrothermal system in Italy</w:t>
      </w:r>
      <w:r w:rsidR="006E0F7C">
        <w:rPr>
          <w:rFonts w:cs="Arial"/>
          <w:noProof/>
        </w:rPr>
        <w:t>,</w:t>
      </w:r>
      <w:r w:rsidRPr="0089203B">
        <w:rPr>
          <w:rFonts w:cs="Arial"/>
          <w:noProof/>
        </w:rPr>
        <w:t xml:space="preserve"> </w:t>
      </w:r>
      <w:r w:rsidRPr="0089203B">
        <w:rPr>
          <w:rFonts w:cs="Arial"/>
          <w:i/>
          <w:iCs/>
          <w:noProof/>
        </w:rPr>
        <w:t>Energies</w:t>
      </w:r>
      <w:r w:rsidRPr="0089203B">
        <w:rPr>
          <w:rFonts w:cs="Arial"/>
          <w:noProof/>
        </w:rPr>
        <w:t xml:space="preserve">, </w:t>
      </w:r>
      <w:r w:rsidRPr="0089203B">
        <w:rPr>
          <w:rFonts w:cs="Arial"/>
          <w:i/>
          <w:iCs/>
          <w:noProof/>
        </w:rPr>
        <w:t>7</w:t>
      </w:r>
      <w:r w:rsidRPr="0089203B">
        <w:rPr>
          <w:rFonts w:cs="Arial"/>
          <w:noProof/>
        </w:rPr>
        <w:t>, 7434</w:t>
      </w:r>
      <w:r w:rsidR="006E0F7C">
        <w:rPr>
          <w:rFonts w:cs="Arial"/>
          <w:noProof/>
        </w:rPr>
        <w:t>-</w:t>
      </w:r>
      <w:r w:rsidRPr="0089203B">
        <w:rPr>
          <w:rFonts w:cs="Arial"/>
          <w:noProof/>
        </w:rPr>
        <w:t>7453</w:t>
      </w:r>
      <w:r w:rsidR="006E0F7C">
        <w:rPr>
          <w:rFonts w:cs="Arial"/>
          <w:noProof/>
        </w:rPr>
        <w:t>,</w:t>
      </w:r>
      <w:r w:rsidRPr="0089203B">
        <w:rPr>
          <w:rFonts w:cs="Arial"/>
          <w:noProof/>
        </w:rPr>
        <w:t xml:space="preserve"> https://doi.org/10.3390/en7117434</w:t>
      </w:r>
    </w:p>
    <w:p w14:paraId="2E85E2ED" w14:textId="46EE0719"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Harreveld, A. P.</w:t>
      </w:r>
      <w:r w:rsidR="006E0F7C">
        <w:rPr>
          <w:rFonts w:cs="Arial"/>
          <w:noProof/>
        </w:rPr>
        <w:t>,</w:t>
      </w:r>
      <w:r w:rsidRPr="0089203B">
        <w:rPr>
          <w:rFonts w:cs="Arial"/>
          <w:noProof/>
        </w:rPr>
        <w:t xml:space="preserve"> 2021</w:t>
      </w:r>
      <w:r w:rsidR="006E0F7C">
        <w:rPr>
          <w:rFonts w:cs="Arial"/>
          <w:noProof/>
        </w:rPr>
        <w:t>,</w:t>
      </w:r>
      <w:r w:rsidRPr="0089203B">
        <w:rPr>
          <w:rFonts w:cs="Arial"/>
          <w:noProof/>
        </w:rPr>
        <w:t xml:space="preserve"> Update on the new EN 13725:2021</w:t>
      </w:r>
      <w:r w:rsidR="006E0F7C">
        <w:rPr>
          <w:rFonts w:cs="Arial"/>
          <w:noProof/>
        </w:rPr>
        <w:t>,</w:t>
      </w:r>
      <w:r w:rsidRPr="0089203B">
        <w:rPr>
          <w:rFonts w:cs="Arial"/>
          <w:noProof/>
        </w:rPr>
        <w:t xml:space="preserve"> </w:t>
      </w:r>
      <w:r w:rsidRPr="0089203B">
        <w:rPr>
          <w:rFonts w:cs="Arial"/>
          <w:i/>
          <w:iCs/>
          <w:noProof/>
        </w:rPr>
        <w:t>Chemical Engineering Transactions</w:t>
      </w:r>
      <w:r w:rsidRPr="0089203B">
        <w:rPr>
          <w:rFonts w:cs="Arial"/>
          <w:noProof/>
        </w:rPr>
        <w:t xml:space="preserve">, </w:t>
      </w:r>
      <w:r w:rsidRPr="0089203B">
        <w:rPr>
          <w:rFonts w:cs="Arial"/>
          <w:i/>
          <w:iCs/>
          <w:noProof/>
        </w:rPr>
        <w:t>85</w:t>
      </w:r>
      <w:r w:rsidRPr="0089203B">
        <w:rPr>
          <w:rFonts w:cs="Arial"/>
          <w:noProof/>
        </w:rPr>
        <w:t>, 115</w:t>
      </w:r>
      <w:r w:rsidR="006E0F7C">
        <w:rPr>
          <w:rFonts w:cs="Arial"/>
          <w:noProof/>
        </w:rPr>
        <w:t>-</w:t>
      </w:r>
      <w:r w:rsidRPr="0089203B">
        <w:rPr>
          <w:rFonts w:cs="Arial"/>
          <w:noProof/>
        </w:rPr>
        <w:t>120</w:t>
      </w:r>
      <w:r w:rsidR="006E0F7C">
        <w:rPr>
          <w:rFonts w:cs="Arial"/>
          <w:noProof/>
        </w:rPr>
        <w:t>,</w:t>
      </w:r>
      <w:r w:rsidRPr="0089203B">
        <w:rPr>
          <w:rFonts w:cs="Arial"/>
          <w:noProof/>
        </w:rPr>
        <w:t xml:space="preserve"> https://doi.org/10.3303/CET2185020</w:t>
      </w:r>
    </w:p>
    <w:p w14:paraId="615F6162" w14:textId="2F3FA82A"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Kasper, P. L., Hansen, M. J., Feilberg, A.</w:t>
      </w:r>
      <w:r w:rsidR="006E0F7C">
        <w:rPr>
          <w:rFonts w:cs="Arial"/>
          <w:noProof/>
        </w:rPr>
        <w:t>,</w:t>
      </w:r>
      <w:r w:rsidRPr="0089203B">
        <w:rPr>
          <w:rFonts w:cs="Arial"/>
          <w:noProof/>
        </w:rPr>
        <w:t xml:space="preserve"> 2018</w:t>
      </w:r>
      <w:r w:rsidR="006E0F7C">
        <w:rPr>
          <w:rFonts w:cs="Arial"/>
          <w:noProof/>
        </w:rPr>
        <w:t>,</w:t>
      </w:r>
      <w:r w:rsidRPr="0089203B">
        <w:rPr>
          <w:rFonts w:cs="Arial"/>
          <w:noProof/>
        </w:rPr>
        <w:t xml:space="preserve"> Impact of saturation effects during dynamic olfactometry on low-concentration environmental odour samples</w:t>
      </w:r>
      <w:r w:rsidR="006E0F7C">
        <w:rPr>
          <w:rFonts w:cs="Arial"/>
          <w:noProof/>
        </w:rPr>
        <w:t>,</w:t>
      </w:r>
      <w:r w:rsidRPr="0089203B">
        <w:rPr>
          <w:rFonts w:cs="Arial"/>
          <w:noProof/>
        </w:rPr>
        <w:t xml:space="preserve"> </w:t>
      </w:r>
      <w:r w:rsidRPr="0089203B">
        <w:rPr>
          <w:rFonts w:cs="Arial"/>
          <w:i/>
          <w:iCs/>
          <w:noProof/>
        </w:rPr>
        <w:t>Chemical Engineering Transactions</w:t>
      </w:r>
      <w:r w:rsidRPr="0089203B">
        <w:rPr>
          <w:rFonts w:cs="Arial"/>
          <w:noProof/>
        </w:rPr>
        <w:t xml:space="preserve">, </w:t>
      </w:r>
      <w:r w:rsidRPr="0089203B">
        <w:rPr>
          <w:rFonts w:cs="Arial"/>
          <w:i/>
          <w:iCs/>
          <w:noProof/>
        </w:rPr>
        <w:t>68</w:t>
      </w:r>
      <w:r w:rsidRPr="0089203B">
        <w:rPr>
          <w:rFonts w:cs="Arial"/>
          <w:noProof/>
        </w:rPr>
        <w:t>, 37</w:t>
      </w:r>
      <w:r w:rsidR="006E0F7C">
        <w:rPr>
          <w:rFonts w:cs="Arial"/>
          <w:noProof/>
        </w:rPr>
        <w:t>-</w:t>
      </w:r>
      <w:r w:rsidRPr="0089203B">
        <w:rPr>
          <w:rFonts w:cs="Arial"/>
          <w:noProof/>
        </w:rPr>
        <w:t>42</w:t>
      </w:r>
      <w:r w:rsidR="006E0F7C">
        <w:rPr>
          <w:rFonts w:cs="Arial"/>
          <w:noProof/>
        </w:rPr>
        <w:t>,</w:t>
      </w:r>
      <w:r w:rsidRPr="0089203B">
        <w:rPr>
          <w:rFonts w:cs="Arial"/>
          <w:noProof/>
        </w:rPr>
        <w:t xml:space="preserve"> https://doi.org/10.3303/CET1868007</w:t>
      </w:r>
    </w:p>
    <w:p w14:paraId="2327CACA" w14:textId="2F27E782" w:rsidR="0089203B" w:rsidRPr="004A1B7D" w:rsidRDefault="0089203B" w:rsidP="0089203B">
      <w:pPr>
        <w:widowControl w:val="0"/>
        <w:autoSpaceDE w:val="0"/>
        <w:autoSpaceDN w:val="0"/>
        <w:adjustRightInd w:val="0"/>
        <w:spacing w:line="240" w:lineRule="auto"/>
        <w:ind w:left="480" w:hanging="480"/>
        <w:rPr>
          <w:rFonts w:cs="Arial"/>
          <w:noProof/>
          <w:lang w:val="it-IT"/>
        </w:rPr>
      </w:pPr>
      <w:r w:rsidRPr="004A1B7D">
        <w:rPr>
          <w:rFonts w:cs="Arial"/>
          <w:noProof/>
          <w:lang w:val="it-IT"/>
        </w:rPr>
        <w:t>Marroni, M., Moratti, G., Costantini, A., Conticelli, S., Benvenuti, M. G., Pandolfi, L., Bonini, M., Cornamusini, G., Laurenzi, M. A.</w:t>
      </w:r>
      <w:r w:rsidR="006E0F7C" w:rsidRPr="004A1B7D">
        <w:rPr>
          <w:rFonts w:cs="Arial"/>
          <w:noProof/>
          <w:lang w:val="it-IT"/>
        </w:rPr>
        <w:t>,</w:t>
      </w:r>
      <w:r w:rsidRPr="004A1B7D">
        <w:rPr>
          <w:rFonts w:cs="Arial"/>
          <w:noProof/>
          <w:lang w:val="it-IT"/>
        </w:rPr>
        <w:t xml:space="preserve"> 2015</w:t>
      </w:r>
      <w:r w:rsidR="006E0F7C" w:rsidRPr="004A1B7D">
        <w:rPr>
          <w:rFonts w:cs="Arial"/>
          <w:noProof/>
          <w:lang w:val="it-IT"/>
        </w:rPr>
        <w:t>,</w:t>
      </w:r>
      <w:r w:rsidRPr="004A1B7D">
        <w:rPr>
          <w:rFonts w:cs="Arial"/>
          <w:noProof/>
          <w:lang w:val="it-IT"/>
        </w:rPr>
        <w:t xml:space="preserve"> Geology of the Monte Amiata Region, Southern Tuscany, Central Italy</w:t>
      </w:r>
      <w:r w:rsidR="006E0F7C" w:rsidRPr="004A1B7D">
        <w:rPr>
          <w:rFonts w:cs="Arial"/>
          <w:noProof/>
          <w:lang w:val="it-IT"/>
        </w:rPr>
        <w:t>,</w:t>
      </w:r>
      <w:r w:rsidRPr="004A1B7D">
        <w:rPr>
          <w:rFonts w:cs="Arial"/>
          <w:noProof/>
          <w:lang w:val="it-IT"/>
        </w:rPr>
        <w:t xml:space="preserve"> </w:t>
      </w:r>
      <w:r w:rsidRPr="004A1B7D">
        <w:rPr>
          <w:rFonts w:cs="Arial"/>
          <w:i/>
          <w:iCs/>
          <w:noProof/>
          <w:lang w:val="it-IT"/>
        </w:rPr>
        <w:t>Italian Journal of Geosciences</w:t>
      </w:r>
      <w:r w:rsidRPr="004A1B7D">
        <w:rPr>
          <w:rFonts w:cs="Arial"/>
          <w:noProof/>
          <w:lang w:val="it-IT"/>
        </w:rPr>
        <w:t xml:space="preserve">, </w:t>
      </w:r>
      <w:r w:rsidRPr="004A1B7D">
        <w:rPr>
          <w:rFonts w:cs="Arial"/>
          <w:i/>
          <w:iCs/>
          <w:noProof/>
          <w:lang w:val="it-IT"/>
        </w:rPr>
        <w:t>134</w:t>
      </w:r>
      <w:r w:rsidRPr="004A1B7D">
        <w:rPr>
          <w:rFonts w:cs="Arial"/>
          <w:noProof/>
          <w:lang w:val="it-IT"/>
        </w:rPr>
        <w:t>(2), 171</w:t>
      </w:r>
      <w:r w:rsidR="006E0F7C" w:rsidRPr="004A1B7D">
        <w:rPr>
          <w:rFonts w:cs="Arial"/>
          <w:noProof/>
          <w:lang w:val="it-IT"/>
        </w:rPr>
        <w:t>-</w:t>
      </w:r>
      <w:r w:rsidRPr="004A1B7D">
        <w:rPr>
          <w:rFonts w:cs="Arial"/>
          <w:noProof/>
          <w:lang w:val="it-IT"/>
        </w:rPr>
        <w:t>199</w:t>
      </w:r>
      <w:r w:rsidR="006E0F7C" w:rsidRPr="004A1B7D">
        <w:rPr>
          <w:rFonts w:cs="Arial"/>
          <w:noProof/>
          <w:lang w:val="it-IT"/>
        </w:rPr>
        <w:t>,</w:t>
      </w:r>
      <w:r w:rsidRPr="004A1B7D">
        <w:rPr>
          <w:rFonts w:cs="Arial"/>
          <w:noProof/>
          <w:lang w:val="it-IT"/>
        </w:rPr>
        <w:t xml:space="preserve"> https://doi.org/10.3301/IJG.2015.13</w:t>
      </w:r>
    </w:p>
    <w:p w14:paraId="489B6739" w14:textId="595DB7EF"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Motalebi Damuchali, A., Guo, H.</w:t>
      </w:r>
      <w:r w:rsidR="006E0F7C">
        <w:rPr>
          <w:rFonts w:cs="Arial"/>
          <w:noProof/>
        </w:rPr>
        <w:t>,</w:t>
      </w:r>
      <w:r w:rsidRPr="0089203B">
        <w:rPr>
          <w:rFonts w:cs="Arial"/>
          <w:noProof/>
        </w:rPr>
        <w:t xml:space="preserve"> 2020</w:t>
      </w:r>
      <w:r w:rsidR="006E0F7C">
        <w:rPr>
          <w:rFonts w:cs="Arial"/>
          <w:noProof/>
        </w:rPr>
        <w:t>,</w:t>
      </w:r>
      <w:r w:rsidRPr="0089203B">
        <w:rPr>
          <w:rFonts w:cs="Arial"/>
          <w:noProof/>
        </w:rPr>
        <w:t xml:space="preserve"> Developing an </w:t>
      </w:r>
      <w:r w:rsidR="006E0F7C">
        <w:rPr>
          <w:rFonts w:cs="Arial"/>
          <w:noProof/>
        </w:rPr>
        <w:t>O</w:t>
      </w:r>
      <w:r w:rsidRPr="0089203B">
        <w:rPr>
          <w:rFonts w:cs="Arial"/>
          <w:noProof/>
        </w:rPr>
        <w:t xml:space="preserve">dour </w:t>
      </w:r>
      <w:r w:rsidR="006E0F7C">
        <w:rPr>
          <w:rFonts w:cs="Arial"/>
          <w:noProof/>
        </w:rPr>
        <w:t>E</w:t>
      </w:r>
      <w:r w:rsidRPr="0089203B">
        <w:rPr>
          <w:rFonts w:cs="Arial"/>
          <w:noProof/>
        </w:rPr>
        <w:t xml:space="preserve">mission </w:t>
      </w:r>
      <w:r w:rsidR="006E0F7C">
        <w:rPr>
          <w:rFonts w:cs="Arial"/>
          <w:noProof/>
        </w:rPr>
        <w:t>F</w:t>
      </w:r>
      <w:r w:rsidRPr="0089203B">
        <w:rPr>
          <w:rFonts w:cs="Arial"/>
          <w:noProof/>
        </w:rPr>
        <w:t>actor for an oil refinery plant using reverse dispersion modeling</w:t>
      </w:r>
      <w:r w:rsidR="006E0F7C">
        <w:rPr>
          <w:rFonts w:cs="Arial"/>
          <w:noProof/>
        </w:rPr>
        <w:t>,</w:t>
      </w:r>
      <w:r w:rsidRPr="0089203B">
        <w:rPr>
          <w:rFonts w:cs="Arial"/>
          <w:noProof/>
        </w:rPr>
        <w:t xml:space="preserve"> </w:t>
      </w:r>
      <w:r w:rsidRPr="0089203B">
        <w:rPr>
          <w:rFonts w:cs="Arial"/>
          <w:i/>
          <w:iCs/>
          <w:noProof/>
        </w:rPr>
        <w:t>Atmospheric Environment</w:t>
      </w:r>
      <w:r w:rsidRPr="0089203B">
        <w:rPr>
          <w:rFonts w:cs="Arial"/>
          <w:noProof/>
        </w:rPr>
        <w:t xml:space="preserve">, </w:t>
      </w:r>
      <w:r w:rsidRPr="0089203B">
        <w:rPr>
          <w:rFonts w:cs="Arial"/>
          <w:i/>
          <w:iCs/>
          <w:noProof/>
        </w:rPr>
        <w:t>222</w:t>
      </w:r>
      <w:r w:rsidRPr="0089203B">
        <w:rPr>
          <w:rFonts w:cs="Arial"/>
          <w:noProof/>
        </w:rPr>
        <w:t>, 117167</w:t>
      </w:r>
      <w:r w:rsidR="006E0F7C">
        <w:rPr>
          <w:rFonts w:cs="Arial"/>
          <w:noProof/>
        </w:rPr>
        <w:t>,</w:t>
      </w:r>
      <w:r w:rsidRPr="0089203B">
        <w:rPr>
          <w:rFonts w:cs="Arial"/>
          <w:noProof/>
        </w:rPr>
        <w:t xml:space="preserve"> https://doi.org/10.1016/j.atmosenv.2019.117167</w:t>
      </w:r>
    </w:p>
    <w:p w14:paraId="0CD3C642" w14:textId="748CEEB5"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Onakpohor, A., Fakinle, B. S., Adesanmi, A. J., Sonibare, J. A., Oke, M. A., Akeredolu, F. A.</w:t>
      </w:r>
      <w:r w:rsidR="006E0F7C">
        <w:rPr>
          <w:rFonts w:cs="Arial"/>
          <w:noProof/>
        </w:rPr>
        <w:t>,</w:t>
      </w:r>
      <w:r w:rsidRPr="0089203B">
        <w:rPr>
          <w:rFonts w:cs="Arial"/>
          <w:noProof/>
        </w:rPr>
        <w:t xml:space="preserve"> 2024</w:t>
      </w:r>
      <w:r w:rsidR="006E0F7C">
        <w:rPr>
          <w:rFonts w:cs="Arial"/>
          <w:noProof/>
        </w:rPr>
        <w:t>,</w:t>
      </w:r>
      <w:r w:rsidRPr="0089203B">
        <w:rPr>
          <w:rFonts w:cs="Arial"/>
          <w:noProof/>
        </w:rPr>
        <w:t xml:space="preserve"> Determination of air emission factor of pollutants from local crude oil refineries</w:t>
      </w:r>
      <w:r w:rsidR="006E0F7C">
        <w:rPr>
          <w:rFonts w:cs="Arial"/>
          <w:noProof/>
        </w:rPr>
        <w:t>,</w:t>
      </w:r>
      <w:r w:rsidRPr="0089203B">
        <w:rPr>
          <w:rFonts w:cs="Arial"/>
          <w:noProof/>
        </w:rPr>
        <w:t xml:space="preserve"> </w:t>
      </w:r>
      <w:r w:rsidRPr="0089203B">
        <w:rPr>
          <w:rFonts w:cs="Arial"/>
          <w:i/>
          <w:iCs/>
          <w:noProof/>
        </w:rPr>
        <w:t>Results in Engineering</w:t>
      </w:r>
      <w:r w:rsidRPr="0089203B">
        <w:rPr>
          <w:rFonts w:cs="Arial"/>
          <w:noProof/>
        </w:rPr>
        <w:t xml:space="preserve">, </w:t>
      </w:r>
      <w:r w:rsidRPr="0089203B">
        <w:rPr>
          <w:rFonts w:cs="Arial"/>
          <w:i/>
          <w:iCs/>
          <w:noProof/>
        </w:rPr>
        <w:t>22</w:t>
      </w:r>
      <w:r w:rsidRPr="0089203B">
        <w:rPr>
          <w:rFonts w:cs="Arial"/>
          <w:noProof/>
        </w:rPr>
        <w:t>, 102036</w:t>
      </w:r>
      <w:r w:rsidR="006E0F7C">
        <w:rPr>
          <w:rFonts w:cs="Arial"/>
          <w:noProof/>
        </w:rPr>
        <w:t>,</w:t>
      </w:r>
      <w:r w:rsidRPr="0089203B">
        <w:rPr>
          <w:rFonts w:cs="Arial"/>
          <w:noProof/>
        </w:rPr>
        <w:t xml:space="preserve"> https://doi.org/10.1016/j.rineng.2024.102036</w:t>
      </w:r>
    </w:p>
    <w:p w14:paraId="33698F92" w14:textId="02CF8E47"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Pinasseau, A., Zerger, B., Roth, J., Canova, M., Roudier, S.</w:t>
      </w:r>
      <w:r w:rsidR="006E0F7C">
        <w:rPr>
          <w:rFonts w:cs="Arial"/>
          <w:noProof/>
        </w:rPr>
        <w:t xml:space="preserve">, </w:t>
      </w:r>
      <w:r w:rsidRPr="0089203B">
        <w:rPr>
          <w:rFonts w:cs="Arial"/>
          <w:noProof/>
        </w:rPr>
        <w:t>2018</w:t>
      </w:r>
      <w:r w:rsidR="006E0F7C">
        <w:rPr>
          <w:rFonts w:cs="Arial"/>
          <w:noProof/>
        </w:rPr>
        <w:t>,</w:t>
      </w:r>
      <w:r w:rsidRPr="0089203B">
        <w:rPr>
          <w:rFonts w:cs="Arial"/>
          <w:noProof/>
        </w:rPr>
        <w:t xml:space="preserve"> </w:t>
      </w:r>
      <w:r w:rsidRPr="0089203B">
        <w:rPr>
          <w:rFonts w:cs="Arial"/>
          <w:i/>
          <w:iCs/>
          <w:noProof/>
        </w:rPr>
        <w:t>Best Available Techniques (BAT) Reference Document for Waste Treatment Industries</w:t>
      </w:r>
      <w:r w:rsidR="006E0F7C">
        <w:rPr>
          <w:rFonts w:cs="Arial"/>
          <w:noProof/>
        </w:rPr>
        <w:t>,</w:t>
      </w:r>
      <w:r w:rsidRPr="0089203B">
        <w:rPr>
          <w:rFonts w:cs="Arial"/>
          <w:noProof/>
        </w:rPr>
        <w:t xml:space="preserve"> https://doi.org/10.2760/407967</w:t>
      </w:r>
    </w:p>
    <w:p w14:paraId="73B5935A" w14:textId="11267253"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Polvara, E., Gallego, E., Invernizzi, M., Perales, J. F., Sironi, S.</w:t>
      </w:r>
      <w:r w:rsidR="006E0F7C">
        <w:rPr>
          <w:rFonts w:cs="Arial"/>
          <w:noProof/>
        </w:rPr>
        <w:t>,</w:t>
      </w:r>
      <w:r w:rsidRPr="0089203B">
        <w:rPr>
          <w:rFonts w:cs="Arial"/>
          <w:noProof/>
        </w:rPr>
        <w:t xml:space="preserve"> 2023</w:t>
      </w:r>
      <w:r w:rsidR="006E0F7C">
        <w:rPr>
          <w:rFonts w:cs="Arial"/>
          <w:noProof/>
        </w:rPr>
        <w:t>,</w:t>
      </w:r>
      <w:r w:rsidRPr="0089203B">
        <w:rPr>
          <w:rFonts w:cs="Arial"/>
          <w:noProof/>
        </w:rPr>
        <w:t xml:space="preserve"> Chemical characterization of odorous emissions: A comparative performance study of different sampling methods</w:t>
      </w:r>
      <w:r w:rsidR="006E0F7C">
        <w:rPr>
          <w:rFonts w:cs="Arial"/>
          <w:noProof/>
        </w:rPr>
        <w:t>,</w:t>
      </w:r>
      <w:r w:rsidRPr="0089203B">
        <w:rPr>
          <w:rFonts w:cs="Arial"/>
          <w:noProof/>
        </w:rPr>
        <w:t xml:space="preserve"> </w:t>
      </w:r>
      <w:r w:rsidRPr="0089203B">
        <w:rPr>
          <w:rFonts w:cs="Arial"/>
          <w:i/>
          <w:iCs/>
          <w:noProof/>
        </w:rPr>
        <w:t>Talanta</w:t>
      </w:r>
      <w:r w:rsidRPr="0089203B">
        <w:rPr>
          <w:rFonts w:cs="Arial"/>
          <w:noProof/>
        </w:rPr>
        <w:t xml:space="preserve">, </w:t>
      </w:r>
      <w:r w:rsidRPr="0089203B">
        <w:rPr>
          <w:rFonts w:cs="Arial"/>
          <w:i/>
          <w:iCs/>
          <w:noProof/>
        </w:rPr>
        <w:t>253</w:t>
      </w:r>
      <w:r w:rsidRPr="0089203B">
        <w:rPr>
          <w:rFonts w:cs="Arial"/>
          <w:noProof/>
        </w:rPr>
        <w:t>, 124110</w:t>
      </w:r>
      <w:r w:rsidR="006E0F7C">
        <w:rPr>
          <w:rFonts w:cs="Arial"/>
          <w:noProof/>
        </w:rPr>
        <w:t>,</w:t>
      </w:r>
      <w:r w:rsidRPr="0089203B">
        <w:rPr>
          <w:rFonts w:cs="Arial"/>
          <w:noProof/>
        </w:rPr>
        <w:t xml:space="preserve"> https://doi.org/10.1016/j.talanta.2022.124110</w:t>
      </w:r>
    </w:p>
    <w:p w14:paraId="17E2D032" w14:textId="681B266B"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Sbrana, A., Marianelli, P., Belgiorno, M., Sbrana, M., Ciani, V.</w:t>
      </w:r>
      <w:r w:rsidR="006E0F7C">
        <w:rPr>
          <w:rFonts w:cs="Arial"/>
          <w:noProof/>
        </w:rPr>
        <w:t>,</w:t>
      </w:r>
      <w:r w:rsidRPr="0089203B">
        <w:rPr>
          <w:rFonts w:cs="Arial"/>
          <w:noProof/>
        </w:rPr>
        <w:t xml:space="preserve"> 2020</w:t>
      </w:r>
      <w:r w:rsidR="006E0F7C">
        <w:rPr>
          <w:rFonts w:cs="Arial"/>
          <w:noProof/>
        </w:rPr>
        <w:t>,</w:t>
      </w:r>
      <w:r w:rsidRPr="0089203B">
        <w:rPr>
          <w:rFonts w:cs="Arial"/>
          <w:noProof/>
        </w:rPr>
        <w:t xml:space="preserve"> Natural CO2 degassing in the Mount Amiata volcanic</w:t>
      </w:r>
      <w:r w:rsidR="006E0F7C">
        <w:rPr>
          <w:rFonts w:cs="Arial"/>
          <w:noProof/>
        </w:rPr>
        <w:t>-</w:t>
      </w:r>
      <w:r w:rsidRPr="0089203B">
        <w:rPr>
          <w:rFonts w:cs="Arial"/>
          <w:noProof/>
        </w:rPr>
        <w:t>geothermal area</w:t>
      </w:r>
      <w:r w:rsidR="006E0F7C">
        <w:rPr>
          <w:rFonts w:cs="Arial"/>
          <w:noProof/>
        </w:rPr>
        <w:t>,</w:t>
      </w:r>
      <w:r w:rsidRPr="0089203B">
        <w:rPr>
          <w:rFonts w:cs="Arial"/>
          <w:noProof/>
        </w:rPr>
        <w:t xml:space="preserve"> </w:t>
      </w:r>
      <w:r w:rsidRPr="0089203B">
        <w:rPr>
          <w:rFonts w:cs="Arial"/>
          <w:i/>
          <w:iCs/>
          <w:noProof/>
        </w:rPr>
        <w:t>Journal of Volcanology and Geothermal Research</w:t>
      </w:r>
      <w:r w:rsidRPr="0089203B">
        <w:rPr>
          <w:rFonts w:cs="Arial"/>
          <w:noProof/>
        </w:rPr>
        <w:t xml:space="preserve">, </w:t>
      </w:r>
      <w:r w:rsidRPr="0089203B">
        <w:rPr>
          <w:rFonts w:cs="Arial"/>
          <w:i/>
          <w:iCs/>
          <w:noProof/>
        </w:rPr>
        <w:t>397</w:t>
      </w:r>
      <w:r w:rsidRPr="0089203B">
        <w:rPr>
          <w:rFonts w:cs="Arial"/>
          <w:noProof/>
        </w:rPr>
        <w:t>, 106852</w:t>
      </w:r>
      <w:r w:rsidR="006E0F7C">
        <w:rPr>
          <w:rFonts w:cs="Arial"/>
          <w:noProof/>
        </w:rPr>
        <w:t>,</w:t>
      </w:r>
      <w:r w:rsidRPr="0089203B">
        <w:rPr>
          <w:rFonts w:cs="Arial"/>
          <w:noProof/>
        </w:rPr>
        <w:t xml:space="preserve"> https://doi.org/10.1016/j.jvolgeores.2020.106852</w:t>
      </w:r>
    </w:p>
    <w:p w14:paraId="7359C23D" w14:textId="26F312B4"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Tagliaferri, F., Facagni, L., Invernizzi, M., Ferrer Hernández, A. L., Hernández-Garces, A. Sironi, S.</w:t>
      </w:r>
      <w:r w:rsidR="006E0F7C">
        <w:rPr>
          <w:rFonts w:cs="Arial"/>
          <w:noProof/>
        </w:rPr>
        <w:t xml:space="preserve">, </w:t>
      </w:r>
      <w:r w:rsidRPr="0089203B">
        <w:rPr>
          <w:rFonts w:cs="Arial"/>
          <w:noProof/>
        </w:rPr>
        <w:t>2024</w:t>
      </w:r>
      <w:r w:rsidR="004A1B7D">
        <w:rPr>
          <w:rFonts w:cs="Arial"/>
          <w:noProof/>
        </w:rPr>
        <w:t>a</w:t>
      </w:r>
      <w:r w:rsidR="006E0F7C">
        <w:rPr>
          <w:rFonts w:cs="Arial"/>
          <w:noProof/>
        </w:rPr>
        <w:t>,</w:t>
      </w:r>
      <w:r w:rsidRPr="0089203B">
        <w:rPr>
          <w:rFonts w:cs="Arial"/>
          <w:noProof/>
        </w:rPr>
        <w:t xml:space="preserve"> Odor Impact Assessment via Dispersion Model: Comparison of Different Input Meteorological Datasets</w:t>
      </w:r>
      <w:r w:rsidR="006E0F7C">
        <w:rPr>
          <w:rFonts w:cs="Arial"/>
          <w:noProof/>
        </w:rPr>
        <w:t>,</w:t>
      </w:r>
      <w:r w:rsidRPr="0089203B">
        <w:rPr>
          <w:rFonts w:cs="Arial"/>
          <w:noProof/>
        </w:rPr>
        <w:t xml:space="preserve"> </w:t>
      </w:r>
      <w:r w:rsidRPr="0089203B">
        <w:rPr>
          <w:rFonts w:cs="Arial"/>
          <w:i/>
          <w:iCs/>
          <w:noProof/>
        </w:rPr>
        <w:t>Applied Sciences</w:t>
      </w:r>
      <w:r w:rsidRPr="0089203B">
        <w:rPr>
          <w:rFonts w:cs="Arial"/>
          <w:noProof/>
        </w:rPr>
        <w:t xml:space="preserve">, </w:t>
      </w:r>
      <w:r w:rsidRPr="0089203B">
        <w:rPr>
          <w:rFonts w:cs="Arial"/>
          <w:i/>
          <w:iCs/>
          <w:noProof/>
        </w:rPr>
        <w:t>14</w:t>
      </w:r>
      <w:r w:rsidRPr="0089203B">
        <w:rPr>
          <w:rFonts w:cs="Arial"/>
          <w:noProof/>
        </w:rPr>
        <w:t>, 2457</w:t>
      </w:r>
      <w:r w:rsidR="006E0F7C">
        <w:rPr>
          <w:rFonts w:cs="Arial"/>
          <w:noProof/>
        </w:rPr>
        <w:t>,</w:t>
      </w:r>
      <w:r w:rsidRPr="0089203B">
        <w:rPr>
          <w:rFonts w:cs="Arial"/>
          <w:noProof/>
        </w:rPr>
        <w:t xml:space="preserve"> https://doi.org/10.3390/app14062457</w:t>
      </w:r>
    </w:p>
    <w:p w14:paraId="557D8137" w14:textId="56213837"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Tagliaferri, F., Panzeri, F., Invernizzi, M., Manganelli, C., Sironi, S.</w:t>
      </w:r>
      <w:r w:rsidR="006E0F7C">
        <w:rPr>
          <w:rFonts w:cs="Arial"/>
          <w:noProof/>
        </w:rPr>
        <w:t>,</w:t>
      </w:r>
      <w:r w:rsidRPr="0089203B">
        <w:rPr>
          <w:rFonts w:cs="Arial"/>
          <w:noProof/>
        </w:rPr>
        <w:t xml:space="preserve"> 2024</w:t>
      </w:r>
      <w:r w:rsidR="004A1B7D">
        <w:rPr>
          <w:rFonts w:cs="Arial"/>
          <w:noProof/>
        </w:rPr>
        <w:t>b</w:t>
      </w:r>
      <w:r w:rsidR="006E0F7C">
        <w:rPr>
          <w:rFonts w:cs="Arial"/>
          <w:noProof/>
        </w:rPr>
        <w:t>,</w:t>
      </w:r>
      <w:r w:rsidRPr="0089203B">
        <w:rPr>
          <w:rFonts w:cs="Arial"/>
          <w:noProof/>
        </w:rPr>
        <w:t xml:space="preserve"> Characterization of diffuse odorous emissions from lignocellulosic biomass storage</w:t>
      </w:r>
      <w:r w:rsidR="006E0F7C">
        <w:rPr>
          <w:rFonts w:cs="Arial"/>
          <w:noProof/>
        </w:rPr>
        <w:t>,</w:t>
      </w:r>
      <w:r w:rsidRPr="0089203B">
        <w:rPr>
          <w:rFonts w:cs="Arial"/>
          <w:noProof/>
        </w:rPr>
        <w:t xml:space="preserve"> </w:t>
      </w:r>
      <w:r w:rsidRPr="0089203B">
        <w:rPr>
          <w:rFonts w:cs="Arial"/>
          <w:i/>
          <w:iCs/>
          <w:noProof/>
        </w:rPr>
        <w:t>Journal of the Energy Institute</w:t>
      </w:r>
      <w:r w:rsidRPr="0089203B">
        <w:rPr>
          <w:rFonts w:cs="Arial"/>
          <w:noProof/>
        </w:rPr>
        <w:t xml:space="preserve">, </w:t>
      </w:r>
      <w:r w:rsidRPr="0089203B">
        <w:rPr>
          <w:rFonts w:cs="Arial"/>
          <w:i/>
          <w:iCs/>
          <w:noProof/>
        </w:rPr>
        <w:t>112</w:t>
      </w:r>
      <w:r w:rsidRPr="0089203B">
        <w:rPr>
          <w:rFonts w:cs="Arial"/>
          <w:noProof/>
        </w:rPr>
        <w:t>, 101440</w:t>
      </w:r>
      <w:r w:rsidR="006E0F7C">
        <w:rPr>
          <w:rFonts w:cs="Arial"/>
          <w:noProof/>
        </w:rPr>
        <w:t>,</w:t>
      </w:r>
      <w:r w:rsidRPr="0089203B">
        <w:rPr>
          <w:rFonts w:cs="Arial"/>
          <w:noProof/>
        </w:rPr>
        <w:t xml:space="preserve"> https://doi.org/10.1016/j.joei.2023.101440</w:t>
      </w:r>
    </w:p>
    <w:p w14:paraId="4AD2F9EA" w14:textId="71EE5C89" w:rsidR="0089203B" w:rsidRPr="0089203B" w:rsidRDefault="0089203B" w:rsidP="0089203B">
      <w:pPr>
        <w:widowControl w:val="0"/>
        <w:autoSpaceDE w:val="0"/>
        <w:autoSpaceDN w:val="0"/>
        <w:adjustRightInd w:val="0"/>
        <w:spacing w:line="240" w:lineRule="auto"/>
        <w:ind w:left="480" w:hanging="480"/>
        <w:rPr>
          <w:rFonts w:cs="Arial"/>
          <w:noProof/>
        </w:rPr>
      </w:pPr>
      <w:r w:rsidRPr="0089203B">
        <w:rPr>
          <w:rFonts w:cs="Arial"/>
          <w:noProof/>
        </w:rPr>
        <w:t>Tassi, F., Vaselli, O., Cuccoli, F., Buccianti, A., Nisi, B., Lognoli, E., Montegrossi, G.</w:t>
      </w:r>
      <w:r w:rsidR="006E0F7C">
        <w:rPr>
          <w:rFonts w:cs="Arial"/>
          <w:noProof/>
        </w:rPr>
        <w:t>,</w:t>
      </w:r>
      <w:r w:rsidRPr="0089203B">
        <w:rPr>
          <w:rFonts w:cs="Arial"/>
          <w:noProof/>
        </w:rPr>
        <w:t xml:space="preserve"> 2009</w:t>
      </w:r>
      <w:r w:rsidR="006E0F7C">
        <w:rPr>
          <w:rFonts w:cs="Arial"/>
          <w:noProof/>
        </w:rPr>
        <w:t>,</w:t>
      </w:r>
      <w:r w:rsidRPr="0089203B">
        <w:rPr>
          <w:rFonts w:cs="Arial"/>
          <w:noProof/>
        </w:rPr>
        <w:t xml:space="preserve"> A geochemical multi-methodological approach in hazard assessment of CO 2-rich gas emissions at Mt. Amiata Volcano (Tuscany, Central Italy)</w:t>
      </w:r>
      <w:r w:rsidR="006E0F7C">
        <w:rPr>
          <w:rFonts w:cs="Arial"/>
          <w:noProof/>
        </w:rPr>
        <w:t>,</w:t>
      </w:r>
      <w:r w:rsidRPr="0089203B">
        <w:rPr>
          <w:rFonts w:cs="Arial"/>
          <w:noProof/>
        </w:rPr>
        <w:t xml:space="preserve"> </w:t>
      </w:r>
      <w:r w:rsidRPr="0089203B">
        <w:rPr>
          <w:rFonts w:cs="Arial"/>
          <w:i/>
          <w:iCs/>
          <w:noProof/>
        </w:rPr>
        <w:t>Water, Air, and Soil Pollution: Focus</w:t>
      </w:r>
      <w:r w:rsidRPr="0089203B">
        <w:rPr>
          <w:rFonts w:cs="Arial"/>
          <w:noProof/>
        </w:rPr>
        <w:t xml:space="preserve">, </w:t>
      </w:r>
      <w:r w:rsidRPr="0089203B">
        <w:rPr>
          <w:rFonts w:cs="Arial"/>
          <w:i/>
          <w:iCs/>
          <w:noProof/>
        </w:rPr>
        <w:t>9</w:t>
      </w:r>
      <w:r w:rsidRPr="0089203B">
        <w:rPr>
          <w:rFonts w:cs="Arial"/>
          <w:noProof/>
        </w:rPr>
        <w:t>, 117</w:t>
      </w:r>
      <w:r w:rsidR="006E0F7C">
        <w:rPr>
          <w:rFonts w:cs="Arial"/>
          <w:noProof/>
        </w:rPr>
        <w:t>-</w:t>
      </w:r>
      <w:r w:rsidRPr="0089203B">
        <w:rPr>
          <w:rFonts w:cs="Arial"/>
          <w:noProof/>
        </w:rPr>
        <w:t>127</w:t>
      </w:r>
      <w:r w:rsidR="006E0F7C">
        <w:rPr>
          <w:rFonts w:cs="Arial"/>
          <w:noProof/>
        </w:rPr>
        <w:t>,</w:t>
      </w:r>
      <w:r w:rsidRPr="0089203B">
        <w:rPr>
          <w:rFonts w:cs="Arial"/>
          <w:noProof/>
        </w:rPr>
        <w:t xml:space="preserve"> https://doi.org/10.1007/s11267-008-9198-2</w:t>
      </w:r>
    </w:p>
    <w:p w14:paraId="4A96BA75" w14:textId="521825D0" w:rsidR="00BE2E02" w:rsidRPr="000D74A3" w:rsidRDefault="007D652A" w:rsidP="00BE2E02">
      <w:pPr>
        <w:pStyle w:val="CETBodytext"/>
        <w:rPr>
          <w:lang w:val="en-GB"/>
        </w:rPr>
      </w:pPr>
      <w:r>
        <w:rPr>
          <w:lang w:val="en-GB"/>
        </w:rPr>
        <w:fldChar w:fldCharType="end"/>
      </w:r>
    </w:p>
    <w:sectPr w:rsidR="00BE2E02" w:rsidRPr="000D74A3" w:rsidSect="00B7463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6D410" w14:textId="77777777" w:rsidR="00D83649" w:rsidRPr="003F5FF1" w:rsidRDefault="00D83649" w:rsidP="004F5E36">
      <w:r w:rsidRPr="003F5FF1">
        <w:separator/>
      </w:r>
    </w:p>
  </w:endnote>
  <w:endnote w:type="continuationSeparator" w:id="0">
    <w:p w14:paraId="3C2CA989" w14:textId="77777777" w:rsidR="00D83649" w:rsidRPr="003F5FF1" w:rsidRDefault="00D83649" w:rsidP="004F5E36">
      <w:r w:rsidRPr="003F5F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3EBC47" w14:textId="77777777" w:rsidR="00D83649" w:rsidRPr="003F5FF1" w:rsidRDefault="00D83649" w:rsidP="004F5E36">
      <w:r w:rsidRPr="003F5FF1">
        <w:separator/>
      </w:r>
    </w:p>
  </w:footnote>
  <w:footnote w:type="continuationSeparator" w:id="0">
    <w:p w14:paraId="4CDBE270" w14:textId="77777777" w:rsidR="00D83649" w:rsidRPr="003F5FF1" w:rsidRDefault="00D83649" w:rsidP="004F5E36">
      <w:r w:rsidRPr="003F5FF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1534E1B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8D36CBE"/>
    <w:multiLevelType w:val="hybridMultilevel"/>
    <w:tmpl w:val="08029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739991">
    <w:abstractNumId w:val="10"/>
  </w:num>
  <w:num w:numId="2" w16cid:durableId="35738429">
    <w:abstractNumId w:val="8"/>
  </w:num>
  <w:num w:numId="3" w16cid:durableId="901332480">
    <w:abstractNumId w:val="3"/>
  </w:num>
  <w:num w:numId="4" w16cid:durableId="1816482271">
    <w:abstractNumId w:val="2"/>
  </w:num>
  <w:num w:numId="5" w16cid:durableId="660548098">
    <w:abstractNumId w:val="1"/>
  </w:num>
  <w:num w:numId="6" w16cid:durableId="1727483969">
    <w:abstractNumId w:val="0"/>
  </w:num>
  <w:num w:numId="7" w16cid:durableId="1121262803">
    <w:abstractNumId w:val="9"/>
  </w:num>
  <w:num w:numId="8" w16cid:durableId="1721857931">
    <w:abstractNumId w:val="7"/>
  </w:num>
  <w:num w:numId="9" w16cid:durableId="1074087922">
    <w:abstractNumId w:val="6"/>
  </w:num>
  <w:num w:numId="10" w16cid:durableId="537008197">
    <w:abstractNumId w:val="5"/>
  </w:num>
  <w:num w:numId="11" w16cid:durableId="1316952308">
    <w:abstractNumId w:val="4"/>
  </w:num>
  <w:num w:numId="12" w16cid:durableId="1303462342">
    <w:abstractNumId w:val="17"/>
  </w:num>
  <w:num w:numId="13" w16cid:durableId="812336157">
    <w:abstractNumId w:val="13"/>
  </w:num>
  <w:num w:numId="14" w16cid:durableId="1421026543">
    <w:abstractNumId w:val="18"/>
  </w:num>
  <w:num w:numId="15" w16cid:durableId="890849015">
    <w:abstractNumId w:val="20"/>
  </w:num>
  <w:num w:numId="16" w16cid:durableId="1068379164">
    <w:abstractNumId w:val="19"/>
  </w:num>
  <w:num w:numId="17" w16cid:durableId="735056345">
    <w:abstractNumId w:val="12"/>
  </w:num>
  <w:num w:numId="18" w16cid:durableId="118500530">
    <w:abstractNumId w:val="13"/>
    <w:lvlOverride w:ilvl="0">
      <w:startOverride w:val="1"/>
    </w:lvlOverride>
  </w:num>
  <w:num w:numId="19" w16cid:durableId="1119684929">
    <w:abstractNumId w:val="16"/>
  </w:num>
  <w:num w:numId="20" w16cid:durableId="1872762434">
    <w:abstractNumId w:val="15"/>
  </w:num>
  <w:num w:numId="21" w16cid:durableId="1189177750">
    <w:abstractNumId w:val="14"/>
  </w:num>
  <w:num w:numId="22" w16cid:durableId="1081635821">
    <w:abstractNumId w:val="10"/>
  </w:num>
  <w:num w:numId="23" w16cid:durableId="1729767811">
    <w:abstractNumId w:val="10"/>
  </w:num>
  <w:num w:numId="24" w16cid:durableId="671027667">
    <w:abstractNumId w:val="11"/>
  </w:num>
  <w:num w:numId="25" w16cid:durableId="1421218022">
    <w:abstractNumId w:val="10"/>
  </w:num>
  <w:num w:numId="26" w16cid:durableId="128203867">
    <w:abstractNumId w:val="10"/>
  </w:num>
  <w:num w:numId="27" w16cid:durableId="9764913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C07"/>
    <w:rsid w:val="000015DC"/>
    <w:rsid w:val="000018A4"/>
    <w:rsid w:val="000027C0"/>
    <w:rsid w:val="00002A39"/>
    <w:rsid w:val="00004774"/>
    <w:rsid w:val="000052FB"/>
    <w:rsid w:val="000117CB"/>
    <w:rsid w:val="000146F1"/>
    <w:rsid w:val="0001515D"/>
    <w:rsid w:val="000206F4"/>
    <w:rsid w:val="000259C7"/>
    <w:rsid w:val="0003148D"/>
    <w:rsid w:val="000328D5"/>
    <w:rsid w:val="0003442A"/>
    <w:rsid w:val="00036120"/>
    <w:rsid w:val="000367FB"/>
    <w:rsid w:val="00051566"/>
    <w:rsid w:val="00053EDD"/>
    <w:rsid w:val="00055F0D"/>
    <w:rsid w:val="000606F8"/>
    <w:rsid w:val="00062A9A"/>
    <w:rsid w:val="00063EBC"/>
    <w:rsid w:val="00065058"/>
    <w:rsid w:val="00067663"/>
    <w:rsid w:val="00072A2D"/>
    <w:rsid w:val="000836F2"/>
    <w:rsid w:val="00086C39"/>
    <w:rsid w:val="00093BD6"/>
    <w:rsid w:val="00096FE1"/>
    <w:rsid w:val="000A03B2"/>
    <w:rsid w:val="000A2936"/>
    <w:rsid w:val="000B3BF1"/>
    <w:rsid w:val="000B552B"/>
    <w:rsid w:val="000B66C0"/>
    <w:rsid w:val="000C481C"/>
    <w:rsid w:val="000C536E"/>
    <w:rsid w:val="000C5463"/>
    <w:rsid w:val="000D0268"/>
    <w:rsid w:val="000D09C7"/>
    <w:rsid w:val="000D34BE"/>
    <w:rsid w:val="000D4ADE"/>
    <w:rsid w:val="000D74A3"/>
    <w:rsid w:val="000E102F"/>
    <w:rsid w:val="000E1202"/>
    <w:rsid w:val="000E36F1"/>
    <w:rsid w:val="000E3A73"/>
    <w:rsid w:val="000E414A"/>
    <w:rsid w:val="000E6F32"/>
    <w:rsid w:val="000F093C"/>
    <w:rsid w:val="000F46FF"/>
    <w:rsid w:val="000F6004"/>
    <w:rsid w:val="000F787B"/>
    <w:rsid w:val="00102F92"/>
    <w:rsid w:val="00107FF8"/>
    <w:rsid w:val="00114A36"/>
    <w:rsid w:val="00114EFD"/>
    <w:rsid w:val="00115040"/>
    <w:rsid w:val="0012091F"/>
    <w:rsid w:val="00122318"/>
    <w:rsid w:val="001244C6"/>
    <w:rsid w:val="00124839"/>
    <w:rsid w:val="00126BC2"/>
    <w:rsid w:val="00127821"/>
    <w:rsid w:val="001308B6"/>
    <w:rsid w:val="0013121F"/>
    <w:rsid w:val="00131516"/>
    <w:rsid w:val="00131FE6"/>
    <w:rsid w:val="0013263F"/>
    <w:rsid w:val="001330FD"/>
    <w:rsid w:val="00133184"/>
    <w:rsid w:val="00134DE4"/>
    <w:rsid w:val="0014034D"/>
    <w:rsid w:val="00143127"/>
    <w:rsid w:val="00150E59"/>
    <w:rsid w:val="00152DE3"/>
    <w:rsid w:val="0015336A"/>
    <w:rsid w:val="00153CE7"/>
    <w:rsid w:val="00156335"/>
    <w:rsid w:val="001611F5"/>
    <w:rsid w:val="00164475"/>
    <w:rsid w:val="00164CF9"/>
    <w:rsid w:val="00164D62"/>
    <w:rsid w:val="001667A6"/>
    <w:rsid w:val="00174A48"/>
    <w:rsid w:val="0018080D"/>
    <w:rsid w:val="001820A2"/>
    <w:rsid w:val="00184AD6"/>
    <w:rsid w:val="001950E6"/>
    <w:rsid w:val="001A2380"/>
    <w:rsid w:val="001A32D0"/>
    <w:rsid w:val="001A3FC2"/>
    <w:rsid w:val="001A4AF7"/>
    <w:rsid w:val="001B0349"/>
    <w:rsid w:val="001B2728"/>
    <w:rsid w:val="001B3981"/>
    <w:rsid w:val="001B5D43"/>
    <w:rsid w:val="001B65C1"/>
    <w:rsid w:val="001C253D"/>
    <w:rsid w:val="001C2E18"/>
    <w:rsid w:val="001C4B51"/>
    <w:rsid w:val="001C5E56"/>
    <w:rsid w:val="001C684B"/>
    <w:rsid w:val="001D53FC"/>
    <w:rsid w:val="001D5B2A"/>
    <w:rsid w:val="001E2479"/>
    <w:rsid w:val="001E4D1E"/>
    <w:rsid w:val="001F1913"/>
    <w:rsid w:val="001F27F5"/>
    <w:rsid w:val="001F42A5"/>
    <w:rsid w:val="001F7262"/>
    <w:rsid w:val="001F7995"/>
    <w:rsid w:val="001F7B9D"/>
    <w:rsid w:val="00200DE6"/>
    <w:rsid w:val="00206204"/>
    <w:rsid w:val="00210955"/>
    <w:rsid w:val="002124D6"/>
    <w:rsid w:val="0021370A"/>
    <w:rsid w:val="002179D2"/>
    <w:rsid w:val="002224B4"/>
    <w:rsid w:val="00224D7A"/>
    <w:rsid w:val="002252CC"/>
    <w:rsid w:val="00226BB8"/>
    <w:rsid w:val="0023247F"/>
    <w:rsid w:val="00233D87"/>
    <w:rsid w:val="0023411C"/>
    <w:rsid w:val="00237659"/>
    <w:rsid w:val="00242982"/>
    <w:rsid w:val="002447EF"/>
    <w:rsid w:val="00250392"/>
    <w:rsid w:val="00251550"/>
    <w:rsid w:val="00260009"/>
    <w:rsid w:val="00260E10"/>
    <w:rsid w:val="00263B05"/>
    <w:rsid w:val="00265C63"/>
    <w:rsid w:val="002706CB"/>
    <w:rsid w:val="0027221A"/>
    <w:rsid w:val="00272602"/>
    <w:rsid w:val="00272656"/>
    <w:rsid w:val="00275730"/>
    <w:rsid w:val="00275B61"/>
    <w:rsid w:val="002765D4"/>
    <w:rsid w:val="00276651"/>
    <w:rsid w:val="00282656"/>
    <w:rsid w:val="00285A8B"/>
    <w:rsid w:val="0029499E"/>
    <w:rsid w:val="00294F2E"/>
    <w:rsid w:val="00296B83"/>
    <w:rsid w:val="002A293E"/>
    <w:rsid w:val="002A358B"/>
    <w:rsid w:val="002A3831"/>
    <w:rsid w:val="002A596E"/>
    <w:rsid w:val="002A7006"/>
    <w:rsid w:val="002B04D5"/>
    <w:rsid w:val="002B1FB3"/>
    <w:rsid w:val="002B2611"/>
    <w:rsid w:val="002B78CE"/>
    <w:rsid w:val="002C2FB6"/>
    <w:rsid w:val="002C5399"/>
    <w:rsid w:val="002C6BF9"/>
    <w:rsid w:val="002C6F9B"/>
    <w:rsid w:val="002C7300"/>
    <w:rsid w:val="002E4450"/>
    <w:rsid w:val="002E5324"/>
    <w:rsid w:val="002E6EF3"/>
    <w:rsid w:val="002E7B90"/>
    <w:rsid w:val="002F3309"/>
    <w:rsid w:val="002F3322"/>
    <w:rsid w:val="002F7B9C"/>
    <w:rsid w:val="0030014E"/>
    <w:rsid w:val="003009B7"/>
    <w:rsid w:val="00300E56"/>
    <w:rsid w:val="00302DAC"/>
    <w:rsid w:val="0030469C"/>
    <w:rsid w:val="00313452"/>
    <w:rsid w:val="00313A05"/>
    <w:rsid w:val="00314579"/>
    <w:rsid w:val="00321478"/>
    <w:rsid w:val="00321CA6"/>
    <w:rsid w:val="00324245"/>
    <w:rsid w:val="0032446F"/>
    <w:rsid w:val="003307F6"/>
    <w:rsid w:val="00331F6D"/>
    <w:rsid w:val="00334C09"/>
    <w:rsid w:val="0033724A"/>
    <w:rsid w:val="00347FA5"/>
    <w:rsid w:val="00355A9E"/>
    <w:rsid w:val="003572D0"/>
    <w:rsid w:val="003577FB"/>
    <w:rsid w:val="00361E7A"/>
    <w:rsid w:val="00363B5A"/>
    <w:rsid w:val="00365055"/>
    <w:rsid w:val="00365895"/>
    <w:rsid w:val="0036692A"/>
    <w:rsid w:val="003723D4"/>
    <w:rsid w:val="0037400D"/>
    <w:rsid w:val="003766BD"/>
    <w:rsid w:val="00381905"/>
    <w:rsid w:val="00384CC8"/>
    <w:rsid w:val="003851B6"/>
    <w:rsid w:val="003871FD"/>
    <w:rsid w:val="00396B59"/>
    <w:rsid w:val="00397F55"/>
    <w:rsid w:val="003A1E30"/>
    <w:rsid w:val="003A2FB3"/>
    <w:rsid w:val="003A7AC9"/>
    <w:rsid w:val="003A7D1C"/>
    <w:rsid w:val="003A7FB4"/>
    <w:rsid w:val="003B304B"/>
    <w:rsid w:val="003B3146"/>
    <w:rsid w:val="003C60D5"/>
    <w:rsid w:val="003D1DB8"/>
    <w:rsid w:val="003D2B04"/>
    <w:rsid w:val="003E5A88"/>
    <w:rsid w:val="003E778A"/>
    <w:rsid w:val="003F015E"/>
    <w:rsid w:val="003F5535"/>
    <w:rsid w:val="003F55E7"/>
    <w:rsid w:val="003F5FF1"/>
    <w:rsid w:val="003F6BD0"/>
    <w:rsid w:val="00400414"/>
    <w:rsid w:val="00410ADA"/>
    <w:rsid w:val="004143F5"/>
    <w:rsid w:val="0041446B"/>
    <w:rsid w:val="00420CBA"/>
    <w:rsid w:val="00425A9A"/>
    <w:rsid w:val="00425D2E"/>
    <w:rsid w:val="004332D4"/>
    <w:rsid w:val="00434064"/>
    <w:rsid w:val="0044329C"/>
    <w:rsid w:val="00456353"/>
    <w:rsid w:val="004577FE"/>
    <w:rsid w:val="0045796F"/>
    <w:rsid w:val="00457B47"/>
    <w:rsid w:val="00457B9C"/>
    <w:rsid w:val="00461110"/>
    <w:rsid w:val="0046164A"/>
    <w:rsid w:val="0046176E"/>
    <w:rsid w:val="00461ED7"/>
    <w:rsid w:val="004628D2"/>
    <w:rsid w:val="00462DCD"/>
    <w:rsid w:val="00463326"/>
    <w:rsid w:val="004648AD"/>
    <w:rsid w:val="0046530D"/>
    <w:rsid w:val="00467AE7"/>
    <w:rsid w:val="004703A9"/>
    <w:rsid w:val="00470E91"/>
    <w:rsid w:val="004751CB"/>
    <w:rsid w:val="004760DE"/>
    <w:rsid w:val="004763D7"/>
    <w:rsid w:val="0048005E"/>
    <w:rsid w:val="00480467"/>
    <w:rsid w:val="0048173F"/>
    <w:rsid w:val="0048403F"/>
    <w:rsid w:val="00490F19"/>
    <w:rsid w:val="00490FD1"/>
    <w:rsid w:val="00492C06"/>
    <w:rsid w:val="004A004E"/>
    <w:rsid w:val="004A1707"/>
    <w:rsid w:val="004A1B7D"/>
    <w:rsid w:val="004A24CF"/>
    <w:rsid w:val="004A33C2"/>
    <w:rsid w:val="004A671B"/>
    <w:rsid w:val="004A6C54"/>
    <w:rsid w:val="004B0244"/>
    <w:rsid w:val="004B3189"/>
    <w:rsid w:val="004B515E"/>
    <w:rsid w:val="004B731C"/>
    <w:rsid w:val="004C2C96"/>
    <w:rsid w:val="004C30CB"/>
    <w:rsid w:val="004C3D1D"/>
    <w:rsid w:val="004C6FD0"/>
    <w:rsid w:val="004C7723"/>
    <w:rsid w:val="004C7913"/>
    <w:rsid w:val="004D02D5"/>
    <w:rsid w:val="004D1DE7"/>
    <w:rsid w:val="004D4758"/>
    <w:rsid w:val="004D4F7B"/>
    <w:rsid w:val="004D6700"/>
    <w:rsid w:val="004E3ACD"/>
    <w:rsid w:val="004E4DD6"/>
    <w:rsid w:val="004E6DDE"/>
    <w:rsid w:val="004E79C0"/>
    <w:rsid w:val="004F117B"/>
    <w:rsid w:val="004F3828"/>
    <w:rsid w:val="004F4D68"/>
    <w:rsid w:val="004F54AC"/>
    <w:rsid w:val="004F5E36"/>
    <w:rsid w:val="0050096E"/>
    <w:rsid w:val="00507AD6"/>
    <w:rsid w:val="00507B22"/>
    <w:rsid w:val="00507B47"/>
    <w:rsid w:val="00507BEF"/>
    <w:rsid w:val="00507CC9"/>
    <w:rsid w:val="005119A5"/>
    <w:rsid w:val="00512528"/>
    <w:rsid w:val="00514A2F"/>
    <w:rsid w:val="00515AB8"/>
    <w:rsid w:val="0051716A"/>
    <w:rsid w:val="005278B7"/>
    <w:rsid w:val="00530859"/>
    <w:rsid w:val="005312B5"/>
    <w:rsid w:val="0053166B"/>
    <w:rsid w:val="00532016"/>
    <w:rsid w:val="005346C8"/>
    <w:rsid w:val="00534AF2"/>
    <w:rsid w:val="00542265"/>
    <w:rsid w:val="00543E7D"/>
    <w:rsid w:val="0054425C"/>
    <w:rsid w:val="00547A68"/>
    <w:rsid w:val="00551296"/>
    <w:rsid w:val="005531C9"/>
    <w:rsid w:val="00565DE5"/>
    <w:rsid w:val="00570C43"/>
    <w:rsid w:val="0057240D"/>
    <w:rsid w:val="00573E38"/>
    <w:rsid w:val="0057548A"/>
    <w:rsid w:val="00576D90"/>
    <w:rsid w:val="00576E72"/>
    <w:rsid w:val="00580A4F"/>
    <w:rsid w:val="0058150E"/>
    <w:rsid w:val="0058272B"/>
    <w:rsid w:val="005832AB"/>
    <w:rsid w:val="005843DC"/>
    <w:rsid w:val="00594FD2"/>
    <w:rsid w:val="005A6490"/>
    <w:rsid w:val="005A76C4"/>
    <w:rsid w:val="005B0BDE"/>
    <w:rsid w:val="005B2110"/>
    <w:rsid w:val="005B3867"/>
    <w:rsid w:val="005B61E6"/>
    <w:rsid w:val="005B620E"/>
    <w:rsid w:val="005C56A7"/>
    <w:rsid w:val="005C77E1"/>
    <w:rsid w:val="005D1959"/>
    <w:rsid w:val="005D1E0A"/>
    <w:rsid w:val="005D1FDE"/>
    <w:rsid w:val="005D336F"/>
    <w:rsid w:val="005D405E"/>
    <w:rsid w:val="005D45FE"/>
    <w:rsid w:val="005D6A2F"/>
    <w:rsid w:val="005D6C53"/>
    <w:rsid w:val="005E1A82"/>
    <w:rsid w:val="005E4958"/>
    <w:rsid w:val="005E689F"/>
    <w:rsid w:val="005E794C"/>
    <w:rsid w:val="005F0A28"/>
    <w:rsid w:val="005F0E5E"/>
    <w:rsid w:val="005F0FFE"/>
    <w:rsid w:val="00600535"/>
    <w:rsid w:val="006010F5"/>
    <w:rsid w:val="00601D96"/>
    <w:rsid w:val="00610CD6"/>
    <w:rsid w:val="00614B55"/>
    <w:rsid w:val="00620DEE"/>
    <w:rsid w:val="00621F92"/>
    <w:rsid w:val="0062280A"/>
    <w:rsid w:val="00623A49"/>
    <w:rsid w:val="006246FA"/>
    <w:rsid w:val="00625639"/>
    <w:rsid w:val="00631B33"/>
    <w:rsid w:val="0063280C"/>
    <w:rsid w:val="00633D9C"/>
    <w:rsid w:val="00636539"/>
    <w:rsid w:val="00637B7E"/>
    <w:rsid w:val="006406A8"/>
    <w:rsid w:val="0064142F"/>
    <w:rsid w:val="0064184D"/>
    <w:rsid w:val="006422CC"/>
    <w:rsid w:val="00642387"/>
    <w:rsid w:val="00646046"/>
    <w:rsid w:val="006501C5"/>
    <w:rsid w:val="0065280E"/>
    <w:rsid w:val="00653F1B"/>
    <w:rsid w:val="00654D42"/>
    <w:rsid w:val="00655D06"/>
    <w:rsid w:val="00660E3E"/>
    <w:rsid w:val="00662E74"/>
    <w:rsid w:val="0066515D"/>
    <w:rsid w:val="00666C32"/>
    <w:rsid w:val="0067706D"/>
    <w:rsid w:val="00677C23"/>
    <w:rsid w:val="00680C23"/>
    <w:rsid w:val="00692184"/>
    <w:rsid w:val="00692206"/>
    <w:rsid w:val="00693766"/>
    <w:rsid w:val="00694E11"/>
    <w:rsid w:val="00695B3D"/>
    <w:rsid w:val="00696B63"/>
    <w:rsid w:val="00696D31"/>
    <w:rsid w:val="006A14F8"/>
    <w:rsid w:val="006A3281"/>
    <w:rsid w:val="006A5850"/>
    <w:rsid w:val="006B3B44"/>
    <w:rsid w:val="006B4888"/>
    <w:rsid w:val="006B6325"/>
    <w:rsid w:val="006C1940"/>
    <w:rsid w:val="006C2E45"/>
    <w:rsid w:val="006C359C"/>
    <w:rsid w:val="006C5579"/>
    <w:rsid w:val="006C5DB2"/>
    <w:rsid w:val="006C6858"/>
    <w:rsid w:val="006D643E"/>
    <w:rsid w:val="006D6E8B"/>
    <w:rsid w:val="006E0F7C"/>
    <w:rsid w:val="006E240A"/>
    <w:rsid w:val="006E5A56"/>
    <w:rsid w:val="006E737D"/>
    <w:rsid w:val="006F1DD1"/>
    <w:rsid w:val="006F46EB"/>
    <w:rsid w:val="007013F8"/>
    <w:rsid w:val="00701A39"/>
    <w:rsid w:val="00702325"/>
    <w:rsid w:val="00704618"/>
    <w:rsid w:val="00704EFA"/>
    <w:rsid w:val="00706399"/>
    <w:rsid w:val="007148CF"/>
    <w:rsid w:val="00717C2D"/>
    <w:rsid w:val="00720A24"/>
    <w:rsid w:val="00723C6D"/>
    <w:rsid w:val="00723DE9"/>
    <w:rsid w:val="007252B2"/>
    <w:rsid w:val="007266C0"/>
    <w:rsid w:val="00732386"/>
    <w:rsid w:val="00734DA5"/>
    <w:rsid w:val="0073514D"/>
    <w:rsid w:val="007352FC"/>
    <w:rsid w:val="0073555C"/>
    <w:rsid w:val="00743A50"/>
    <w:rsid w:val="007447F3"/>
    <w:rsid w:val="00753FA5"/>
    <w:rsid w:val="0075499F"/>
    <w:rsid w:val="00762512"/>
    <w:rsid w:val="00762BAF"/>
    <w:rsid w:val="00765379"/>
    <w:rsid w:val="007661C8"/>
    <w:rsid w:val="00767313"/>
    <w:rsid w:val="0077098D"/>
    <w:rsid w:val="00775B0B"/>
    <w:rsid w:val="00782735"/>
    <w:rsid w:val="00787BBA"/>
    <w:rsid w:val="007931FA"/>
    <w:rsid w:val="00794CB3"/>
    <w:rsid w:val="0079683E"/>
    <w:rsid w:val="007A3A28"/>
    <w:rsid w:val="007A4861"/>
    <w:rsid w:val="007A7BBA"/>
    <w:rsid w:val="007B0C50"/>
    <w:rsid w:val="007C0CC0"/>
    <w:rsid w:val="007C19F5"/>
    <w:rsid w:val="007C1A43"/>
    <w:rsid w:val="007C3AC9"/>
    <w:rsid w:val="007D061E"/>
    <w:rsid w:val="007D32BE"/>
    <w:rsid w:val="007D44AF"/>
    <w:rsid w:val="007D5634"/>
    <w:rsid w:val="007D652A"/>
    <w:rsid w:val="007E0DC7"/>
    <w:rsid w:val="007E29CB"/>
    <w:rsid w:val="007E4266"/>
    <w:rsid w:val="007E6467"/>
    <w:rsid w:val="007F1058"/>
    <w:rsid w:val="007F27D4"/>
    <w:rsid w:val="007F5F76"/>
    <w:rsid w:val="0080013E"/>
    <w:rsid w:val="00802D0B"/>
    <w:rsid w:val="00805169"/>
    <w:rsid w:val="00805ED9"/>
    <w:rsid w:val="00813288"/>
    <w:rsid w:val="008168FC"/>
    <w:rsid w:val="008172FA"/>
    <w:rsid w:val="00817648"/>
    <w:rsid w:val="00822322"/>
    <w:rsid w:val="008245B6"/>
    <w:rsid w:val="00830996"/>
    <w:rsid w:val="008345F1"/>
    <w:rsid w:val="0083728E"/>
    <w:rsid w:val="008379A6"/>
    <w:rsid w:val="00841BDA"/>
    <w:rsid w:val="00850250"/>
    <w:rsid w:val="00852C60"/>
    <w:rsid w:val="00856505"/>
    <w:rsid w:val="008612BB"/>
    <w:rsid w:val="00865B07"/>
    <w:rsid w:val="008667EA"/>
    <w:rsid w:val="00875A97"/>
    <w:rsid w:val="0087637F"/>
    <w:rsid w:val="008831D6"/>
    <w:rsid w:val="00884836"/>
    <w:rsid w:val="00885919"/>
    <w:rsid w:val="00885CEF"/>
    <w:rsid w:val="00886093"/>
    <w:rsid w:val="00891118"/>
    <w:rsid w:val="00891BD4"/>
    <w:rsid w:val="0089203B"/>
    <w:rsid w:val="00892AD5"/>
    <w:rsid w:val="00892FF6"/>
    <w:rsid w:val="00894F5A"/>
    <w:rsid w:val="00896CF4"/>
    <w:rsid w:val="008A0694"/>
    <w:rsid w:val="008A1512"/>
    <w:rsid w:val="008A3067"/>
    <w:rsid w:val="008C0B60"/>
    <w:rsid w:val="008D32B9"/>
    <w:rsid w:val="008D433B"/>
    <w:rsid w:val="008D43CD"/>
    <w:rsid w:val="008D4FA8"/>
    <w:rsid w:val="008D6429"/>
    <w:rsid w:val="008D7B94"/>
    <w:rsid w:val="008E01E5"/>
    <w:rsid w:val="008E36D8"/>
    <w:rsid w:val="008E566E"/>
    <w:rsid w:val="008E6C2F"/>
    <w:rsid w:val="008E7355"/>
    <w:rsid w:val="008F0C7A"/>
    <w:rsid w:val="008F486F"/>
    <w:rsid w:val="008F5A67"/>
    <w:rsid w:val="00900A78"/>
    <w:rsid w:val="0090161A"/>
    <w:rsid w:val="00901EB6"/>
    <w:rsid w:val="00903F46"/>
    <w:rsid w:val="00904C62"/>
    <w:rsid w:val="00912055"/>
    <w:rsid w:val="009135AE"/>
    <w:rsid w:val="009138F2"/>
    <w:rsid w:val="00914606"/>
    <w:rsid w:val="00916F23"/>
    <w:rsid w:val="00922BA8"/>
    <w:rsid w:val="009249FE"/>
    <w:rsid w:val="00924D66"/>
    <w:rsid w:val="00924DAC"/>
    <w:rsid w:val="00925FA1"/>
    <w:rsid w:val="00927058"/>
    <w:rsid w:val="00931BB6"/>
    <w:rsid w:val="00933D0E"/>
    <w:rsid w:val="0093469E"/>
    <w:rsid w:val="00941837"/>
    <w:rsid w:val="0094222D"/>
    <w:rsid w:val="00942750"/>
    <w:rsid w:val="009450CE"/>
    <w:rsid w:val="00945997"/>
    <w:rsid w:val="00946B13"/>
    <w:rsid w:val="00947179"/>
    <w:rsid w:val="0095164B"/>
    <w:rsid w:val="009517FC"/>
    <w:rsid w:val="00953827"/>
    <w:rsid w:val="00954090"/>
    <w:rsid w:val="00955E20"/>
    <w:rsid w:val="00956D9E"/>
    <w:rsid w:val="009573E7"/>
    <w:rsid w:val="00960968"/>
    <w:rsid w:val="00962AD7"/>
    <w:rsid w:val="00962DB5"/>
    <w:rsid w:val="00963E05"/>
    <w:rsid w:val="009663FA"/>
    <w:rsid w:val="00967D54"/>
    <w:rsid w:val="00971028"/>
    <w:rsid w:val="009716C0"/>
    <w:rsid w:val="00994CD1"/>
    <w:rsid w:val="0099544D"/>
    <w:rsid w:val="00996483"/>
    <w:rsid w:val="00996F5A"/>
    <w:rsid w:val="009B041A"/>
    <w:rsid w:val="009B27E1"/>
    <w:rsid w:val="009B5F37"/>
    <w:rsid w:val="009B758C"/>
    <w:rsid w:val="009B7674"/>
    <w:rsid w:val="009C10E3"/>
    <w:rsid w:val="009C1F50"/>
    <w:rsid w:val="009C37C3"/>
    <w:rsid w:val="009C4619"/>
    <w:rsid w:val="009C7C86"/>
    <w:rsid w:val="009D2FF7"/>
    <w:rsid w:val="009E743D"/>
    <w:rsid w:val="009E7884"/>
    <w:rsid w:val="009E788A"/>
    <w:rsid w:val="009F0E08"/>
    <w:rsid w:val="009F28E8"/>
    <w:rsid w:val="00A010AB"/>
    <w:rsid w:val="00A012D0"/>
    <w:rsid w:val="00A0463D"/>
    <w:rsid w:val="00A11DF1"/>
    <w:rsid w:val="00A14163"/>
    <w:rsid w:val="00A16154"/>
    <w:rsid w:val="00A1763D"/>
    <w:rsid w:val="00A17CEC"/>
    <w:rsid w:val="00A20F7A"/>
    <w:rsid w:val="00A23969"/>
    <w:rsid w:val="00A2623C"/>
    <w:rsid w:val="00A27EF0"/>
    <w:rsid w:val="00A316EB"/>
    <w:rsid w:val="00A33BC9"/>
    <w:rsid w:val="00A34DBB"/>
    <w:rsid w:val="00A4435A"/>
    <w:rsid w:val="00A504DE"/>
    <w:rsid w:val="00A50B20"/>
    <w:rsid w:val="00A51390"/>
    <w:rsid w:val="00A56155"/>
    <w:rsid w:val="00A60D13"/>
    <w:rsid w:val="00A61C52"/>
    <w:rsid w:val="00A640D5"/>
    <w:rsid w:val="00A64532"/>
    <w:rsid w:val="00A6678C"/>
    <w:rsid w:val="00A72745"/>
    <w:rsid w:val="00A76C46"/>
    <w:rsid w:val="00A76EFC"/>
    <w:rsid w:val="00A80983"/>
    <w:rsid w:val="00A820A3"/>
    <w:rsid w:val="00A85051"/>
    <w:rsid w:val="00A90AE1"/>
    <w:rsid w:val="00A91010"/>
    <w:rsid w:val="00A954E6"/>
    <w:rsid w:val="00A97F29"/>
    <w:rsid w:val="00AA1921"/>
    <w:rsid w:val="00AA2325"/>
    <w:rsid w:val="00AA24C2"/>
    <w:rsid w:val="00AA35D8"/>
    <w:rsid w:val="00AA3768"/>
    <w:rsid w:val="00AA37EB"/>
    <w:rsid w:val="00AA5483"/>
    <w:rsid w:val="00AA702E"/>
    <w:rsid w:val="00AB0964"/>
    <w:rsid w:val="00AB3EF5"/>
    <w:rsid w:val="00AB4E69"/>
    <w:rsid w:val="00AB5011"/>
    <w:rsid w:val="00AB51C3"/>
    <w:rsid w:val="00AB5F78"/>
    <w:rsid w:val="00AC7368"/>
    <w:rsid w:val="00AD0C15"/>
    <w:rsid w:val="00AD16B9"/>
    <w:rsid w:val="00AD3A0D"/>
    <w:rsid w:val="00AD607A"/>
    <w:rsid w:val="00AD693E"/>
    <w:rsid w:val="00AD7239"/>
    <w:rsid w:val="00AE377D"/>
    <w:rsid w:val="00AE39BC"/>
    <w:rsid w:val="00AE62C1"/>
    <w:rsid w:val="00AF0EBA"/>
    <w:rsid w:val="00AF211B"/>
    <w:rsid w:val="00AF53C6"/>
    <w:rsid w:val="00AF7676"/>
    <w:rsid w:val="00B00472"/>
    <w:rsid w:val="00B011EF"/>
    <w:rsid w:val="00B01240"/>
    <w:rsid w:val="00B02C8A"/>
    <w:rsid w:val="00B05061"/>
    <w:rsid w:val="00B0797D"/>
    <w:rsid w:val="00B11A8C"/>
    <w:rsid w:val="00B145AE"/>
    <w:rsid w:val="00B14D46"/>
    <w:rsid w:val="00B15237"/>
    <w:rsid w:val="00B1539C"/>
    <w:rsid w:val="00B15F5C"/>
    <w:rsid w:val="00B17FBD"/>
    <w:rsid w:val="00B20C73"/>
    <w:rsid w:val="00B315A6"/>
    <w:rsid w:val="00B31813"/>
    <w:rsid w:val="00B33365"/>
    <w:rsid w:val="00B459CB"/>
    <w:rsid w:val="00B465CA"/>
    <w:rsid w:val="00B46B05"/>
    <w:rsid w:val="00B5494D"/>
    <w:rsid w:val="00B550FD"/>
    <w:rsid w:val="00B55CCD"/>
    <w:rsid w:val="00B56112"/>
    <w:rsid w:val="00B57B36"/>
    <w:rsid w:val="00B64720"/>
    <w:rsid w:val="00B6628A"/>
    <w:rsid w:val="00B66ACD"/>
    <w:rsid w:val="00B677A7"/>
    <w:rsid w:val="00B72CD7"/>
    <w:rsid w:val="00B73CCB"/>
    <w:rsid w:val="00B7463D"/>
    <w:rsid w:val="00B76043"/>
    <w:rsid w:val="00B812D6"/>
    <w:rsid w:val="00B819E3"/>
    <w:rsid w:val="00B83A9B"/>
    <w:rsid w:val="00B865BA"/>
    <w:rsid w:val="00B8686D"/>
    <w:rsid w:val="00BB0234"/>
    <w:rsid w:val="00BB1DDC"/>
    <w:rsid w:val="00BB221A"/>
    <w:rsid w:val="00BB505F"/>
    <w:rsid w:val="00BC0923"/>
    <w:rsid w:val="00BC30C9"/>
    <w:rsid w:val="00BC4B71"/>
    <w:rsid w:val="00BC4DD3"/>
    <w:rsid w:val="00BC4F9D"/>
    <w:rsid w:val="00BC6D0D"/>
    <w:rsid w:val="00BD76C1"/>
    <w:rsid w:val="00BE0339"/>
    <w:rsid w:val="00BE2E02"/>
    <w:rsid w:val="00BE3432"/>
    <w:rsid w:val="00BE3E58"/>
    <w:rsid w:val="00BE54D2"/>
    <w:rsid w:val="00BE5ABF"/>
    <w:rsid w:val="00C01616"/>
    <w:rsid w:val="00C0162B"/>
    <w:rsid w:val="00C068ED"/>
    <w:rsid w:val="00C11613"/>
    <w:rsid w:val="00C124C5"/>
    <w:rsid w:val="00C13C60"/>
    <w:rsid w:val="00C142D1"/>
    <w:rsid w:val="00C147B3"/>
    <w:rsid w:val="00C22057"/>
    <w:rsid w:val="00C230E3"/>
    <w:rsid w:val="00C26A78"/>
    <w:rsid w:val="00C32D97"/>
    <w:rsid w:val="00C345B1"/>
    <w:rsid w:val="00C36C52"/>
    <w:rsid w:val="00C40142"/>
    <w:rsid w:val="00C4137B"/>
    <w:rsid w:val="00C4160A"/>
    <w:rsid w:val="00C4203A"/>
    <w:rsid w:val="00C51558"/>
    <w:rsid w:val="00C568C2"/>
    <w:rsid w:val="00C57182"/>
    <w:rsid w:val="00C57863"/>
    <w:rsid w:val="00C5794C"/>
    <w:rsid w:val="00C655FD"/>
    <w:rsid w:val="00C75407"/>
    <w:rsid w:val="00C82140"/>
    <w:rsid w:val="00C84754"/>
    <w:rsid w:val="00C85AB6"/>
    <w:rsid w:val="00C870A8"/>
    <w:rsid w:val="00C94434"/>
    <w:rsid w:val="00C97BFA"/>
    <w:rsid w:val="00CA0D75"/>
    <w:rsid w:val="00CA1C95"/>
    <w:rsid w:val="00CA5A9C"/>
    <w:rsid w:val="00CA7FA4"/>
    <w:rsid w:val="00CB17DA"/>
    <w:rsid w:val="00CB4D8C"/>
    <w:rsid w:val="00CB787D"/>
    <w:rsid w:val="00CC3FB3"/>
    <w:rsid w:val="00CC4C20"/>
    <w:rsid w:val="00CC5EEC"/>
    <w:rsid w:val="00CD3517"/>
    <w:rsid w:val="00CD3535"/>
    <w:rsid w:val="00CD4AFF"/>
    <w:rsid w:val="00CD5FE2"/>
    <w:rsid w:val="00CD6698"/>
    <w:rsid w:val="00CD6B69"/>
    <w:rsid w:val="00CE1360"/>
    <w:rsid w:val="00CE15AC"/>
    <w:rsid w:val="00CE21E7"/>
    <w:rsid w:val="00CE70BE"/>
    <w:rsid w:val="00CE7C68"/>
    <w:rsid w:val="00CF5810"/>
    <w:rsid w:val="00D01133"/>
    <w:rsid w:val="00D02B4C"/>
    <w:rsid w:val="00D040C4"/>
    <w:rsid w:val="00D129EE"/>
    <w:rsid w:val="00D132BE"/>
    <w:rsid w:val="00D240A7"/>
    <w:rsid w:val="00D244AD"/>
    <w:rsid w:val="00D31A80"/>
    <w:rsid w:val="00D3212C"/>
    <w:rsid w:val="00D37444"/>
    <w:rsid w:val="00D37C2D"/>
    <w:rsid w:val="00D40429"/>
    <w:rsid w:val="00D41EB7"/>
    <w:rsid w:val="00D5095D"/>
    <w:rsid w:val="00D57C84"/>
    <w:rsid w:val="00D6057D"/>
    <w:rsid w:val="00D8260D"/>
    <w:rsid w:val="00D83649"/>
    <w:rsid w:val="00D836C5"/>
    <w:rsid w:val="00D84576"/>
    <w:rsid w:val="00D87CB8"/>
    <w:rsid w:val="00D92B5E"/>
    <w:rsid w:val="00DA1399"/>
    <w:rsid w:val="00DA24C6"/>
    <w:rsid w:val="00DA4D7B"/>
    <w:rsid w:val="00DA6EB3"/>
    <w:rsid w:val="00DA7697"/>
    <w:rsid w:val="00DB04EB"/>
    <w:rsid w:val="00DB4A8C"/>
    <w:rsid w:val="00DC021E"/>
    <w:rsid w:val="00DC04AF"/>
    <w:rsid w:val="00DC0E04"/>
    <w:rsid w:val="00DC1CD0"/>
    <w:rsid w:val="00DC3DF1"/>
    <w:rsid w:val="00DC4440"/>
    <w:rsid w:val="00DC76A4"/>
    <w:rsid w:val="00DCF81D"/>
    <w:rsid w:val="00DD1673"/>
    <w:rsid w:val="00DD3BC1"/>
    <w:rsid w:val="00DD4B94"/>
    <w:rsid w:val="00DD5A12"/>
    <w:rsid w:val="00DD5FFD"/>
    <w:rsid w:val="00DD68CB"/>
    <w:rsid w:val="00DE264A"/>
    <w:rsid w:val="00DE3FEF"/>
    <w:rsid w:val="00DE442C"/>
    <w:rsid w:val="00DF0F82"/>
    <w:rsid w:val="00DF5072"/>
    <w:rsid w:val="00DF7BAF"/>
    <w:rsid w:val="00E0276D"/>
    <w:rsid w:val="00E02D18"/>
    <w:rsid w:val="00E041E7"/>
    <w:rsid w:val="00E05532"/>
    <w:rsid w:val="00E06194"/>
    <w:rsid w:val="00E13959"/>
    <w:rsid w:val="00E141EF"/>
    <w:rsid w:val="00E150C2"/>
    <w:rsid w:val="00E224D0"/>
    <w:rsid w:val="00E23C9A"/>
    <w:rsid w:val="00E23CA1"/>
    <w:rsid w:val="00E269F8"/>
    <w:rsid w:val="00E30A15"/>
    <w:rsid w:val="00E346B7"/>
    <w:rsid w:val="00E409A8"/>
    <w:rsid w:val="00E42A0D"/>
    <w:rsid w:val="00E43183"/>
    <w:rsid w:val="00E4521F"/>
    <w:rsid w:val="00E46B04"/>
    <w:rsid w:val="00E50C12"/>
    <w:rsid w:val="00E53E42"/>
    <w:rsid w:val="00E611E8"/>
    <w:rsid w:val="00E65B91"/>
    <w:rsid w:val="00E7209D"/>
    <w:rsid w:val="00E77223"/>
    <w:rsid w:val="00E84ADF"/>
    <w:rsid w:val="00E8528B"/>
    <w:rsid w:val="00E85B94"/>
    <w:rsid w:val="00E8760B"/>
    <w:rsid w:val="00E90688"/>
    <w:rsid w:val="00E918DC"/>
    <w:rsid w:val="00E92F7F"/>
    <w:rsid w:val="00E933C8"/>
    <w:rsid w:val="00E978D0"/>
    <w:rsid w:val="00EA4613"/>
    <w:rsid w:val="00EA54A0"/>
    <w:rsid w:val="00EA7560"/>
    <w:rsid w:val="00EA7F91"/>
    <w:rsid w:val="00EB02F5"/>
    <w:rsid w:val="00EB1523"/>
    <w:rsid w:val="00EB520E"/>
    <w:rsid w:val="00EC0E49"/>
    <w:rsid w:val="00EC101F"/>
    <w:rsid w:val="00EC1D9F"/>
    <w:rsid w:val="00EC3CAE"/>
    <w:rsid w:val="00EC4965"/>
    <w:rsid w:val="00EC7AA7"/>
    <w:rsid w:val="00ED01B1"/>
    <w:rsid w:val="00ED6D68"/>
    <w:rsid w:val="00ED7273"/>
    <w:rsid w:val="00EE0131"/>
    <w:rsid w:val="00EE17B0"/>
    <w:rsid w:val="00EF06D9"/>
    <w:rsid w:val="00EF3754"/>
    <w:rsid w:val="00EF5D59"/>
    <w:rsid w:val="00F07B39"/>
    <w:rsid w:val="00F10662"/>
    <w:rsid w:val="00F10AC1"/>
    <w:rsid w:val="00F11E63"/>
    <w:rsid w:val="00F15266"/>
    <w:rsid w:val="00F20878"/>
    <w:rsid w:val="00F21E28"/>
    <w:rsid w:val="00F30C64"/>
    <w:rsid w:val="00F3132B"/>
    <w:rsid w:val="00F32CDB"/>
    <w:rsid w:val="00F34B8D"/>
    <w:rsid w:val="00F41BB2"/>
    <w:rsid w:val="00F44044"/>
    <w:rsid w:val="00F44B5B"/>
    <w:rsid w:val="00F46A80"/>
    <w:rsid w:val="00F47E25"/>
    <w:rsid w:val="00F55C81"/>
    <w:rsid w:val="00F562D4"/>
    <w:rsid w:val="00F565FE"/>
    <w:rsid w:val="00F56895"/>
    <w:rsid w:val="00F56E1E"/>
    <w:rsid w:val="00F5715A"/>
    <w:rsid w:val="00F57B1E"/>
    <w:rsid w:val="00F61472"/>
    <w:rsid w:val="00F62155"/>
    <w:rsid w:val="00F63A70"/>
    <w:rsid w:val="00F65500"/>
    <w:rsid w:val="00F66D01"/>
    <w:rsid w:val="00F67B57"/>
    <w:rsid w:val="00F71AE6"/>
    <w:rsid w:val="00F74061"/>
    <w:rsid w:val="00F7443A"/>
    <w:rsid w:val="00F76CB2"/>
    <w:rsid w:val="00F77F76"/>
    <w:rsid w:val="00F8259F"/>
    <w:rsid w:val="00F8323F"/>
    <w:rsid w:val="00F84378"/>
    <w:rsid w:val="00F85C60"/>
    <w:rsid w:val="00F948F9"/>
    <w:rsid w:val="00F97EF0"/>
    <w:rsid w:val="00FA210B"/>
    <w:rsid w:val="00FA21D0"/>
    <w:rsid w:val="00FA2A78"/>
    <w:rsid w:val="00FA5F5F"/>
    <w:rsid w:val="00FB0564"/>
    <w:rsid w:val="00FB18BE"/>
    <w:rsid w:val="00FB5449"/>
    <w:rsid w:val="00FB730C"/>
    <w:rsid w:val="00FC04A0"/>
    <w:rsid w:val="00FC2695"/>
    <w:rsid w:val="00FC3E03"/>
    <w:rsid w:val="00FC3FC1"/>
    <w:rsid w:val="00FD359C"/>
    <w:rsid w:val="00FD3817"/>
    <w:rsid w:val="00FD5685"/>
    <w:rsid w:val="00FD73AC"/>
    <w:rsid w:val="00FE1C8D"/>
    <w:rsid w:val="00FE2DC3"/>
    <w:rsid w:val="00FE5F89"/>
    <w:rsid w:val="00FF698D"/>
    <w:rsid w:val="00FF7C88"/>
    <w:rsid w:val="1799B216"/>
    <w:rsid w:val="573C55FB"/>
    <w:rsid w:val="7BF6DC1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BD9317B5-CF89-4AAB-8E9C-0F672956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A33BC9"/>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CE15AC"/>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CE15AC"/>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5D6C53"/>
    <w:pPr>
      <w:ind w:left="720"/>
      <w:contextualSpacing/>
    </w:pPr>
  </w:style>
  <w:style w:type="paragraph" w:styleId="Revisione">
    <w:name w:val="Revision"/>
    <w:hidden/>
    <w:uiPriority w:val="99"/>
    <w:semiHidden/>
    <w:rsid w:val="00885CEF"/>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956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483184">
      <w:bodyDiv w:val="1"/>
      <w:marLeft w:val="0"/>
      <w:marRight w:val="0"/>
      <w:marTop w:val="0"/>
      <w:marBottom w:val="0"/>
      <w:divBdr>
        <w:top w:val="none" w:sz="0" w:space="0" w:color="auto"/>
        <w:left w:val="none" w:sz="0" w:space="0" w:color="auto"/>
        <w:bottom w:val="none" w:sz="0" w:space="0" w:color="auto"/>
        <w:right w:val="none" w:sz="0" w:space="0" w:color="auto"/>
      </w:divBdr>
    </w:div>
    <w:div w:id="66952328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4679">
      <w:bodyDiv w:val="1"/>
      <w:marLeft w:val="0"/>
      <w:marRight w:val="0"/>
      <w:marTop w:val="0"/>
      <w:marBottom w:val="0"/>
      <w:divBdr>
        <w:top w:val="none" w:sz="0" w:space="0" w:color="auto"/>
        <w:left w:val="none" w:sz="0" w:space="0" w:color="auto"/>
        <w:bottom w:val="none" w:sz="0" w:space="0" w:color="auto"/>
        <w:right w:val="none" w:sz="0" w:space="0" w:color="auto"/>
      </w:divBdr>
    </w:div>
    <w:div w:id="1248806677">
      <w:bodyDiv w:val="1"/>
      <w:marLeft w:val="0"/>
      <w:marRight w:val="0"/>
      <w:marTop w:val="0"/>
      <w:marBottom w:val="0"/>
      <w:divBdr>
        <w:top w:val="none" w:sz="0" w:space="0" w:color="auto"/>
        <w:left w:val="none" w:sz="0" w:space="0" w:color="auto"/>
        <w:bottom w:val="none" w:sz="0" w:space="0" w:color="auto"/>
        <w:right w:val="none" w:sz="0" w:space="0" w:color="auto"/>
      </w:divBdr>
    </w:div>
    <w:div w:id="141682775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5412">
      <w:bodyDiv w:val="1"/>
      <w:marLeft w:val="0"/>
      <w:marRight w:val="0"/>
      <w:marTop w:val="0"/>
      <w:marBottom w:val="0"/>
      <w:divBdr>
        <w:top w:val="none" w:sz="0" w:space="0" w:color="auto"/>
        <w:left w:val="none" w:sz="0" w:space="0" w:color="auto"/>
        <w:bottom w:val="none" w:sz="0" w:space="0" w:color="auto"/>
        <w:right w:val="none" w:sz="0" w:space="0" w:color="auto"/>
      </w:divBdr>
    </w:div>
    <w:div w:id="1836534032">
      <w:bodyDiv w:val="1"/>
      <w:marLeft w:val="0"/>
      <w:marRight w:val="0"/>
      <w:marTop w:val="0"/>
      <w:marBottom w:val="0"/>
      <w:divBdr>
        <w:top w:val="none" w:sz="0" w:space="0" w:color="auto"/>
        <w:left w:val="none" w:sz="0" w:space="0" w:color="auto"/>
        <w:bottom w:val="none" w:sz="0" w:space="0" w:color="auto"/>
        <w:right w:val="none" w:sz="0" w:space="0" w:color="auto"/>
      </w:divBdr>
    </w:div>
    <w:div w:id="1850287729">
      <w:bodyDiv w:val="1"/>
      <w:marLeft w:val="0"/>
      <w:marRight w:val="0"/>
      <w:marTop w:val="0"/>
      <w:marBottom w:val="0"/>
      <w:divBdr>
        <w:top w:val="none" w:sz="0" w:space="0" w:color="auto"/>
        <w:left w:val="none" w:sz="0" w:space="0" w:color="auto"/>
        <w:bottom w:val="none" w:sz="0" w:space="0" w:color="auto"/>
        <w:right w:val="none" w:sz="0" w:space="0" w:color="auto"/>
      </w:divBdr>
    </w:div>
    <w:div w:id="1954437347">
      <w:bodyDiv w:val="1"/>
      <w:marLeft w:val="0"/>
      <w:marRight w:val="0"/>
      <w:marTop w:val="0"/>
      <w:marBottom w:val="0"/>
      <w:divBdr>
        <w:top w:val="none" w:sz="0" w:space="0" w:color="auto"/>
        <w:left w:val="none" w:sz="0" w:space="0" w:color="auto"/>
        <w:bottom w:val="none" w:sz="0" w:space="0" w:color="auto"/>
        <w:right w:val="none" w:sz="0" w:space="0" w:color="auto"/>
      </w:divBdr>
    </w:div>
    <w:div w:id="199394612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F1BCB-E174-49CE-9A0B-93C412816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9225</Words>
  <Characters>52588</Characters>
  <Application>Microsoft Office Word</Application>
  <DocSecurity>0</DocSecurity>
  <Lines>438</Lines>
  <Paragraphs>123</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61690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Marzio Invernizzi</cp:lastModifiedBy>
  <cp:revision>9</cp:revision>
  <cp:lastPrinted>2024-03-29T17:59:00Z</cp:lastPrinted>
  <dcterms:created xsi:type="dcterms:W3CDTF">2024-05-06T15:48:00Z</dcterms:created>
  <dcterms:modified xsi:type="dcterms:W3CDTF">2024-07-01T17:18:00Z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id="lg8kTCDP"/&gt;&lt;style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Unique User Id_1">
    <vt:lpwstr>b5eb034c-da89-33c7-a78c-da056ff3b402</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GrammarlyDocumentId">
    <vt:lpwstr>cc5f01e3bee69f6337a031d431942306b78d6bb350b4c0177a7919596425075a</vt:lpwstr>
  </property>
</Properties>
</file>