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84B2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84B23" w:rsidRDefault="000A03B2" w:rsidP="00DE264A">
            <w:pPr>
              <w:tabs>
                <w:tab w:val="left" w:pos="-108"/>
              </w:tabs>
              <w:ind w:left="-108"/>
              <w:jc w:val="left"/>
              <w:rPr>
                <w:rFonts w:cs="Arial"/>
                <w:b/>
                <w:bCs/>
                <w:i/>
                <w:iCs/>
                <w:color w:val="000066"/>
                <w:sz w:val="12"/>
                <w:szCs w:val="12"/>
                <w:lang w:eastAsia="it-IT"/>
              </w:rPr>
            </w:pPr>
            <w:r w:rsidRPr="00D84B23">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84B23">
              <w:rPr>
                <w:rFonts w:ascii="AdvP6960" w:hAnsi="AdvP6960" w:cs="AdvP6960"/>
                <w:color w:val="241F20"/>
                <w:szCs w:val="18"/>
                <w:lang w:eastAsia="it-IT"/>
              </w:rPr>
              <w:t xml:space="preserve"> </w:t>
            </w:r>
            <w:r w:rsidRPr="00D84B23">
              <w:rPr>
                <w:rFonts w:cs="Arial"/>
                <w:b/>
                <w:bCs/>
                <w:i/>
                <w:iCs/>
                <w:color w:val="000066"/>
                <w:sz w:val="24"/>
                <w:szCs w:val="24"/>
                <w:lang w:eastAsia="it-IT"/>
              </w:rPr>
              <w:t>CHEMICAL ENGINEERING</w:t>
            </w:r>
            <w:r w:rsidRPr="00D84B23">
              <w:rPr>
                <w:rFonts w:cs="Arial"/>
                <w:b/>
                <w:bCs/>
                <w:i/>
                <w:iCs/>
                <w:color w:val="0033FF"/>
                <w:sz w:val="24"/>
                <w:szCs w:val="24"/>
                <w:lang w:eastAsia="it-IT"/>
              </w:rPr>
              <w:t xml:space="preserve"> </w:t>
            </w:r>
            <w:r w:rsidRPr="00D84B23">
              <w:rPr>
                <w:rFonts w:cs="Arial"/>
                <w:b/>
                <w:bCs/>
                <w:i/>
                <w:iCs/>
                <w:color w:val="666666"/>
                <w:sz w:val="24"/>
                <w:szCs w:val="24"/>
                <w:lang w:eastAsia="it-IT"/>
              </w:rPr>
              <w:t>TRANSACTIONS</w:t>
            </w:r>
            <w:r w:rsidRPr="00D84B23">
              <w:rPr>
                <w:color w:val="333333"/>
                <w:sz w:val="24"/>
                <w:szCs w:val="24"/>
                <w:lang w:eastAsia="it-IT"/>
              </w:rPr>
              <w:t xml:space="preserve"> </w:t>
            </w:r>
            <w:r w:rsidRPr="00D84B23">
              <w:rPr>
                <w:rFonts w:cs="Arial"/>
                <w:b/>
                <w:bCs/>
                <w:i/>
                <w:iCs/>
                <w:color w:val="000066"/>
                <w:sz w:val="27"/>
                <w:szCs w:val="27"/>
                <w:lang w:eastAsia="it-IT"/>
              </w:rPr>
              <w:br/>
            </w:r>
          </w:p>
          <w:p w14:paraId="4B780582" w14:textId="7F24BED6" w:rsidR="000A03B2" w:rsidRPr="00D84B23" w:rsidRDefault="00A76EFC" w:rsidP="004C3D1D">
            <w:pPr>
              <w:tabs>
                <w:tab w:val="left" w:pos="-108"/>
              </w:tabs>
              <w:ind w:left="-108"/>
              <w:rPr>
                <w:rFonts w:cs="Arial"/>
                <w:b/>
                <w:bCs/>
                <w:i/>
                <w:iCs/>
                <w:color w:val="000066"/>
                <w:sz w:val="22"/>
                <w:szCs w:val="22"/>
                <w:lang w:eastAsia="it-IT"/>
              </w:rPr>
            </w:pPr>
            <w:r w:rsidRPr="00D84B23">
              <w:rPr>
                <w:rFonts w:cs="Arial"/>
                <w:b/>
                <w:bCs/>
                <w:i/>
                <w:iCs/>
                <w:color w:val="000066"/>
                <w:sz w:val="22"/>
                <w:szCs w:val="22"/>
                <w:lang w:eastAsia="it-IT"/>
              </w:rPr>
              <w:t xml:space="preserve">VOL. </w:t>
            </w:r>
            <w:r w:rsidR="0033709C">
              <w:rPr>
                <w:rFonts w:cs="Arial"/>
                <w:b/>
                <w:bCs/>
                <w:i/>
                <w:iCs/>
                <w:color w:val="000066"/>
                <w:sz w:val="22"/>
                <w:szCs w:val="22"/>
                <w:lang w:eastAsia="it-IT"/>
              </w:rPr>
              <w:t>xx</w:t>
            </w:r>
            <w:r w:rsidR="00F863D3" w:rsidRPr="00D84B23">
              <w:rPr>
                <w:rFonts w:cs="Arial"/>
                <w:b/>
                <w:bCs/>
                <w:i/>
                <w:iCs/>
                <w:color w:val="000066"/>
                <w:sz w:val="22"/>
                <w:szCs w:val="22"/>
                <w:lang w:eastAsia="it-IT"/>
              </w:rPr>
              <w:t>, 2024</w:t>
            </w:r>
          </w:p>
        </w:tc>
        <w:tc>
          <w:tcPr>
            <w:tcW w:w="1843" w:type="dxa"/>
            <w:tcBorders>
              <w:left w:val="single" w:sz="4" w:space="0" w:color="auto"/>
              <w:bottom w:val="nil"/>
              <w:right w:val="single" w:sz="4" w:space="0" w:color="auto"/>
            </w:tcBorders>
          </w:tcPr>
          <w:p w14:paraId="56782132" w14:textId="77777777" w:rsidR="000A03B2" w:rsidRPr="00D84B23" w:rsidRDefault="000A03B2" w:rsidP="00CD5FE2">
            <w:pPr>
              <w:spacing w:line="140" w:lineRule="atLeast"/>
              <w:jc w:val="right"/>
              <w:rPr>
                <w:rFonts w:cs="Arial"/>
                <w:sz w:val="14"/>
                <w:szCs w:val="14"/>
              </w:rPr>
            </w:pPr>
            <w:r w:rsidRPr="00D84B23">
              <w:rPr>
                <w:rFonts w:cs="Arial"/>
                <w:sz w:val="14"/>
                <w:szCs w:val="14"/>
              </w:rPr>
              <w:t>A publication of</w:t>
            </w:r>
          </w:p>
          <w:p w14:paraId="599E5441" w14:textId="77777777" w:rsidR="000A03B2" w:rsidRPr="00D84B23" w:rsidRDefault="000A03B2" w:rsidP="00CD5FE2">
            <w:pPr>
              <w:jc w:val="right"/>
            </w:pPr>
            <w:r w:rsidRPr="00D84B23">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84B23" w14:paraId="380FA3CD" w14:textId="77777777" w:rsidTr="00DE264A">
        <w:trPr>
          <w:trHeight w:val="567"/>
          <w:jc w:val="center"/>
        </w:trPr>
        <w:tc>
          <w:tcPr>
            <w:tcW w:w="6946" w:type="dxa"/>
            <w:vMerge/>
            <w:tcBorders>
              <w:right w:val="single" w:sz="4" w:space="0" w:color="auto"/>
            </w:tcBorders>
          </w:tcPr>
          <w:p w14:paraId="39E5E4C1" w14:textId="77777777" w:rsidR="000A03B2" w:rsidRPr="00D84B2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84B23" w:rsidRDefault="000A03B2" w:rsidP="00CD5FE2">
            <w:pPr>
              <w:spacing w:line="140" w:lineRule="atLeast"/>
              <w:jc w:val="right"/>
              <w:rPr>
                <w:rFonts w:cs="Arial"/>
                <w:sz w:val="14"/>
                <w:szCs w:val="14"/>
              </w:rPr>
            </w:pPr>
            <w:r w:rsidRPr="00D84B23">
              <w:rPr>
                <w:rFonts w:cs="Arial"/>
                <w:sz w:val="14"/>
                <w:szCs w:val="14"/>
              </w:rPr>
              <w:t>The Italian Association</w:t>
            </w:r>
          </w:p>
          <w:p w14:paraId="7522B1D2" w14:textId="77777777" w:rsidR="000A03B2" w:rsidRPr="00D84B23" w:rsidRDefault="000A03B2" w:rsidP="00CD5FE2">
            <w:pPr>
              <w:spacing w:line="140" w:lineRule="atLeast"/>
              <w:jc w:val="right"/>
              <w:rPr>
                <w:rFonts w:cs="Arial"/>
                <w:sz w:val="14"/>
                <w:szCs w:val="14"/>
              </w:rPr>
            </w:pPr>
            <w:r w:rsidRPr="00D84B23">
              <w:rPr>
                <w:rFonts w:cs="Arial"/>
                <w:sz w:val="14"/>
                <w:szCs w:val="14"/>
              </w:rPr>
              <w:t>of Chemical Engineering</w:t>
            </w:r>
          </w:p>
          <w:p w14:paraId="4F0CC5DE" w14:textId="35204533" w:rsidR="000A03B2" w:rsidRPr="00D84B23" w:rsidRDefault="005A3E9C" w:rsidP="00CD5FE2">
            <w:pPr>
              <w:spacing w:line="140" w:lineRule="atLeast"/>
              <w:jc w:val="right"/>
              <w:rPr>
                <w:rFonts w:cs="Arial"/>
                <w:sz w:val="14"/>
                <w:szCs w:val="14"/>
              </w:rPr>
            </w:pPr>
            <w:r w:rsidRPr="00D84B23">
              <w:rPr>
                <w:rFonts w:cs="Arial"/>
                <w:sz w:val="13"/>
                <w:szCs w:val="13"/>
              </w:rPr>
              <w:t>Online at www.cetjournal.it</w:t>
            </w:r>
          </w:p>
        </w:tc>
      </w:tr>
      <w:tr w:rsidR="000A03B2" w:rsidRPr="00D84B23" w14:paraId="2D1B7169" w14:textId="77777777" w:rsidTr="00DE264A">
        <w:trPr>
          <w:trHeight w:val="68"/>
          <w:jc w:val="center"/>
        </w:trPr>
        <w:tc>
          <w:tcPr>
            <w:tcW w:w="8789" w:type="dxa"/>
            <w:gridSpan w:val="2"/>
          </w:tcPr>
          <w:p w14:paraId="4B0BB442" w14:textId="7D24D70F" w:rsidR="00300E56" w:rsidRPr="00D84B23" w:rsidRDefault="00300E56" w:rsidP="00EC0E49">
            <w:pPr>
              <w:tabs>
                <w:tab w:val="left" w:pos="-108"/>
              </w:tabs>
              <w:spacing w:line="140" w:lineRule="atLeast"/>
              <w:ind w:left="-108"/>
              <w:jc w:val="left"/>
              <w:rPr>
                <w:rFonts w:ascii="Tahoma" w:hAnsi="Tahoma" w:cs="Tahoma"/>
                <w:iCs/>
                <w:color w:val="333333"/>
                <w:sz w:val="14"/>
                <w:szCs w:val="14"/>
                <w:lang w:eastAsia="it-IT"/>
              </w:rPr>
            </w:pPr>
            <w:r w:rsidRPr="00D84B23">
              <w:rPr>
                <w:rFonts w:ascii="Tahoma" w:hAnsi="Tahoma" w:cs="Tahoma"/>
                <w:iCs/>
                <w:color w:val="333333"/>
                <w:sz w:val="14"/>
                <w:szCs w:val="14"/>
                <w:lang w:eastAsia="it-IT"/>
              </w:rPr>
              <w:t>Guest Editors:</w:t>
            </w:r>
            <w:r w:rsidR="00904C62" w:rsidRPr="00D84B23">
              <w:rPr>
                <w:rFonts w:ascii="Tahoma" w:hAnsi="Tahoma" w:cs="Tahoma"/>
                <w:iCs/>
                <w:color w:val="333333"/>
                <w:sz w:val="14"/>
                <w:szCs w:val="14"/>
                <w:lang w:eastAsia="it-IT"/>
              </w:rPr>
              <w:t xml:space="preserve"> </w:t>
            </w:r>
          </w:p>
          <w:p w14:paraId="1B0F1814" w14:textId="6CE52C7C" w:rsidR="000A03B2" w:rsidRPr="00D84B23" w:rsidRDefault="0014464F" w:rsidP="00180860">
            <w:pPr>
              <w:tabs>
                <w:tab w:val="left" w:pos="-108"/>
              </w:tabs>
              <w:spacing w:line="140" w:lineRule="atLeast"/>
              <w:ind w:left="-108"/>
              <w:jc w:val="left"/>
            </w:pPr>
            <w:r w:rsidRPr="00D84B23">
              <w:rPr>
                <w:rFonts w:ascii="Tahoma" w:hAnsi="Tahoma" w:cs="Tahoma"/>
                <w:iCs/>
                <w:color w:val="333333"/>
                <w:sz w:val="14"/>
                <w:szCs w:val="14"/>
                <w:lang w:eastAsia="it-IT"/>
              </w:rPr>
              <w:t xml:space="preserve">Copyright </w:t>
            </w:r>
            <w:proofErr w:type="gramStart"/>
            <w:r w:rsidRPr="00D84B23">
              <w:rPr>
                <w:rFonts w:ascii="Tahoma" w:hAnsi="Tahoma" w:cs="Tahoma"/>
                <w:iCs/>
                <w:color w:val="333333"/>
                <w:sz w:val="14"/>
                <w:szCs w:val="14"/>
                <w:lang w:eastAsia="it-IT"/>
              </w:rPr>
              <w:t xml:space="preserve">© </w:t>
            </w:r>
            <w:r w:rsidR="00904C62" w:rsidRPr="00D84B23">
              <w:rPr>
                <w:rFonts w:ascii="Tahoma" w:hAnsi="Tahoma" w:cs="Tahoma"/>
                <w:iCs/>
                <w:color w:val="333333"/>
                <w:sz w:val="14"/>
                <w:szCs w:val="14"/>
                <w:lang w:eastAsia="it-IT"/>
              </w:rPr>
              <w:t xml:space="preserve"> AIDIC</w:t>
            </w:r>
            <w:proofErr w:type="gramEnd"/>
            <w:r w:rsidR="00904C62" w:rsidRPr="00D84B23">
              <w:rPr>
                <w:rFonts w:ascii="Tahoma" w:hAnsi="Tahoma" w:cs="Tahoma"/>
                <w:iCs/>
                <w:color w:val="333333"/>
                <w:sz w:val="14"/>
                <w:szCs w:val="14"/>
                <w:lang w:eastAsia="it-IT"/>
              </w:rPr>
              <w:t xml:space="preserve"> Servizi </w:t>
            </w:r>
            <w:proofErr w:type="spellStart"/>
            <w:r w:rsidR="00904C62" w:rsidRPr="00D84B23">
              <w:rPr>
                <w:rFonts w:ascii="Tahoma" w:hAnsi="Tahoma" w:cs="Tahoma"/>
                <w:iCs/>
                <w:color w:val="333333"/>
                <w:sz w:val="14"/>
                <w:szCs w:val="14"/>
                <w:lang w:eastAsia="it-IT"/>
              </w:rPr>
              <w:t>S.r.l</w:t>
            </w:r>
            <w:proofErr w:type="spellEnd"/>
            <w:r w:rsidR="00904C62" w:rsidRPr="00D84B23">
              <w:rPr>
                <w:rFonts w:ascii="Tahoma" w:hAnsi="Tahoma" w:cs="Tahoma"/>
                <w:iCs/>
                <w:color w:val="333333"/>
                <w:sz w:val="14"/>
                <w:szCs w:val="14"/>
                <w:lang w:eastAsia="it-IT"/>
              </w:rPr>
              <w:t>.</w:t>
            </w:r>
            <w:r w:rsidR="00300E56" w:rsidRPr="00D84B23">
              <w:rPr>
                <w:rFonts w:ascii="Tahoma" w:hAnsi="Tahoma" w:cs="Tahoma"/>
                <w:iCs/>
                <w:color w:val="333333"/>
                <w:sz w:val="14"/>
                <w:szCs w:val="14"/>
                <w:lang w:eastAsia="it-IT"/>
              </w:rPr>
              <w:br/>
            </w:r>
            <w:r w:rsidR="00180860" w:rsidRPr="00D84B23">
              <w:rPr>
                <w:rFonts w:ascii="Tahoma" w:hAnsi="Tahoma" w:cs="Tahoma"/>
                <w:b/>
                <w:iCs/>
                <w:color w:val="333333"/>
                <w:sz w:val="14"/>
                <w:szCs w:val="14"/>
                <w:lang w:eastAsia="it-IT"/>
              </w:rPr>
              <w:t xml:space="preserve">ISBN </w:t>
            </w:r>
            <w:r w:rsidR="00180860" w:rsidRPr="00D84B23">
              <w:rPr>
                <w:rFonts w:ascii="Tahoma" w:hAnsi="Tahoma" w:cs="Tahoma"/>
                <w:sz w:val="14"/>
                <w:szCs w:val="14"/>
              </w:rPr>
              <w:t xml:space="preserve">978-88-95608-xx-x </w:t>
            </w:r>
            <w:r w:rsidR="00300E56" w:rsidRPr="00D84B23">
              <w:rPr>
                <w:rFonts w:ascii="Tahoma" w:hAnsi="Tahoma" w:cs="Tahoma"/>
                <w:b/>
                <w:iCs/>
                <w:color w:val="333333"/>
                <w:sz w:val="14"/>
                <w:szCs w:val="14"/>
                <w:lang w:eastAsia="it-IT"/>
              </w:rPr>
              <w:t>ISSN</w:t>
            </w:r>
            <w:r w:rsidR="00300E56" w:rsidRPr="00D84B23">
              <w:rPr>
                <w:rFonts w:ascii="Tahoma" w:hAnsi="Tahoma" w:cs="Tahoma"/>
                <w:iCs/>
                <w:color w:val="333333"/>
                <w:sz w:val="14"/>
                <w:szCs w:val="14"/>
                <w:lang w:eastAsia="it-IT"/>
              </w:rPr>
              <w:t xml:space="preserve"> 2283-9216</w:t>
            </w:r>
          </w:p>
        </w:tc>
      </w:tr>
    </w:tbl>
    <w:p w14:paraId="10DAA130" w14:textId="77777777" w:rsidR="000A03B2" w:rsidRPr="00D84B23" w:rsidRDefault="000A03B2" w:rsidP="000A03B2">
      <w:pPr>
        <w:pStyle w:val="CETAuthors"/>
        <w:rPr>
          <w:noProof w:val="0"/>
        </w:rPr>
        <w:sectPr w:rsidR="000A03B2" w:rsidRPr="00D84B23" w:rsidSect="00977D62">
          <w:type w:val="continuous"/>
          <w:pgSz w:w="11906" w:h="16838" w:code="9"/>
          <w:pgMar w:top="1701" w:right="1418" w:bottom="1701" w:left="1701" w:header="1701" w:footer="0" w:gutter="0"/>
          <w:cols w:space="708"/>
          <w:titlePg/>
          <w:docGrid w:linePitch="360"/>
        </w:sectPr>
      </w:pPr>
    </w:p>
    <w:p w14:paraId="2E667253" w14:textId="408D1428" w:rsidR="00E978D0" w:rsidRPr="00D84B23" w:rsidRDefault="00FE7E45" w:rsidP="002B1649">
      <w:pPr>
        <w:pStyle w:val="CETTitle"/>
      </w:pPr>
      <w:r w:rsidRPr="00D84B23">
        <w:t>Evaluation of the Odour Emission Rate from</w:t>
      </w:r>
      <w:r w:rsidR="0033709C">
        <w:t xml:space="preserve"> Wastewater</w:t>
      </w:r>
      <w:r w:rsidRPr="00D84B23">
        <w:t xml:space="preserve"> Aerated Tanks</w:t>
      </w:r>
      <w:r w:rsidR="0066442A" w:rsidRPr="00D84B23">
        <w:t xml:space="preserve">: </w:t>
      </w:r>
      <w:proofErr w:type="gramStart"/>
      <w:r w:rsidR="00C22765" w:rsidRPr="00D84B23">
        <w:t>a</w:t>
      </w:r>
      <w:proofErr w:type="gramEnd"/>
      <w:r w:rsidR="00D514FF" w:rsidRPr="00D84B23">
        <w:t xml:space="preserve"> </w:t>
      </w:r>
      <w:r w:rsidR="003D7959" w:rsidRPr="00D84B23">
        <w:t>Methodological Approach</w:t>
      </w:r>
    </w:p>
    <w:p w14:paraId="2B3CA35C" w14:textId="1A7B7CAF" w:rsidR="00E978D0" w:rsidRPr="00F83BBD" w:rsidRDefault="004549DA" w:rsidP="00AB5011">
      <w:pPr>
        <w:pStyle w:val="CETAuthors"/>
        <w:rPr>
          <w:noProof w:val="0"/>
          <w:lang w:val="it-IT"/>
        </w:rPr>
      </w:pPr>
      <w:r w:rsidRPr="00F83BBD">
        <w:rPr>
          <w:noProof w:val="0"/>
          <w:lang w:val="it-IT"/>
        </w:rPr>
        <w:t>Giacomo Scolieri, Marzio Invernizzi*</w:t>
      </w:r>
      <w:r w:rsidR="00BD7FFC" w:rsidRPr="00F83BBD">
        <w:rPr>
          <w:noProof w:val="0"/>
          <w:lang w:val="it-IT"/>
        </w:rPr>
        <w:t>,</w:t>
      </w:r>
      <w:r w:rsidRPr="00F83BBD">
        <w:rPr>
          <w:noProof w:val="0"/>
          <w:lang w:val="it-IT"/>
        </w:rPr>
        <w:t xml:space="preserve"> Selena Sironi</w:t>
      </w:r>
    </w:p>
    <w:p w14:paraId="1938F80C" w14:textId="594FE07E" w:rsidR="00FB2868" w:rsidRPr="00F83BBD" w:rsidRDefault="00DA42A6" w:rsidP="00FB2868">
      <w:pPr>
        <w:pStyle w:val="CETAddress"/>
        <w:rPr>
          <w:noProof w:val="0"/>
          <w:vertAlign w:val="superscript"/>
          <w:lang w:val="it-IT"/>
        </w:rPr>
      </w:pPr>
      <w:r w:rsidRPr="00F83BBD">
        <w:rPr>
          <w:noProof w:val="0"/>
          <w:lang w:val="it-IT"/>
        </w:rPr>
        <w:t xml:space="preserve">Politecnico di Milano, Department of </w:t>
      </w:r>
      <w:proofErr w:type="spellStart"/>
      <w:r w:rsidRPr="00F83BBD">
        <w:rPr>
          <w:noProof w:val="0"/>
          <w:lang w:val="it-IT"/>
        </w:rPr>
        <w:t>Chemistry</w:t>
      </w:r>
      <w:proofErr w:type="spellEnd"/>
      <w:r w:rsidRPr="00F83BBD">
        <w:rPr>
          <w:noProof w:val="0"/>
          <w:lang w:val="it-IT"/>
        </w:rPr>
        <w:t xml:space="preserve">, </w:t>
      </w:r>
      <w:proofErr w:type="spellStart"/>
      <w:r w:rsidRPr="00F83BBD">
        <w:rPr>
          <w:noProof w:val="0"/>
          <w:lang w:val="it-IT"/>
        </w:rPr>
        <w:t>Materials</w:t>
      </w:r>
      <w:proofErr w:type="spellEnd"/>
      <w:r w:rsidRPr="00F83BBD">
        <w:rPr>
          <w:noProof w:val="0"/>
          <w:lang w:val="it-IT"/>
        </w:rPr>
        <w:t xml:space="preserve"> and Chemical Engineering “Giulio Natta”, Piazza Leonardo da Vinci 32, 20133 Milano, Italy</w:t>
      </w:r>
    </w:p>
    <w:p w14:paraId="0127A28D" w14:textId="1AFF7A39" w:rsidR="00E978D0" w:rsidRPr="00D84B23" w:rsidRDefault="00FB2868" w:rsidP="00E978D0">
      <w:pPr>
        <w:pStyle w:val="CETemail"/>
        <w:rPr>
          <w:noProof w:val="0"/>
        </w:rPr>
      </w:pPr>
      <w:r w:rsidRPr="00D84B23">
        <w:rPr>
          <w:noProof w:val="0"/>
        </w:rPr>
        <w:t xml:space="preserve">marzio.invernizzi@polimi.it </w:t>
      </w:r>
    </w:p>
    <w:p w14:paraId="6E040415" w14:textId="08D8C946" w:rsidR="00BB1508" w:rsidRPr="00D84B23" w:rsidRDefault="00027594" w:rsidP="00FE7E45">
      <w:pPr>
        <w:pStyle w:val="CETBodytext"/>
      </w:pPr>
      <w:r w:rsidRPr="00D84B23">
        <w:t>Accuracy in the characteri</w:t>
      </w:r>
      <w:r w:rsidR="00A56025">
        <w:t>s</w:t>
      </w:r>
      <w:r w:rsidRPr="00D84B23">
        <w:t xml:space="preserve">ation of </w:t>
      </w:r>
      <w:r w:rsidR="003D7959" w:rsidRPr="00D84B23">
        <w:t>odour</w:t>
      </w:r>
      <w:r w:rsidRPr="00D84B23">
        <w:t xml:space="preserve">-emitting sources is particularly significant for the implementation of a truly representative </w:t>
      </w:r>
      <w:r w:rsidR="003D7959" w:rsidRPr="00D84B23">
        <w:t>odour</w:t>
      </w:r>
      <w:r w:rsidRPr="00D84B23">
        <w:t xml:space="preserve"> impact study.</w:t>
      </w:r>
      <w:r w:rsidR="00FE7E45" w:rsidRPr="00D84B23">
        <w:t xml:space="preserve"> The selection of sampling techniques to measure odour concentrations, along with an accurate method to assess Odour Emission Rate, is closely linked to the type of source under investigation.</w:t>
      </w:r>
      <w:r w:rsidR="00D57D4C" w:rsidRPr="00D84B23">
        <w:t xml:space="preserve"> </w:t>
      </w:r>
      <w:r w:rsidR="00FE7E45" w:rsidRPr="00D84B23">
        <w:t xml:space="preserve">The distinction between active and passive sources is not always obvious, such as in the case of biological oxidation tanks. This </w:t>
      </w:r>
      <w:r w:rsidR="00B3101B" w:rsidRPr="00D84B23">
        <w:t xml:space="preserve">kind of </w:t>
      </w:r>
      <w:r w:rsidR="00FE7E45" w:rsidRPr="00D84B23">
        <w:t xml:space="preserve">emissive source, commonly classified as </w:t>
      </w:r>
      <w:r w:rsidR="00B3101B" w:rsidRPr="00D84B23">
        <w:t xml:space="preserve">a </w:t>
      </w:r>
      <w:r w:rsidR="00FE7E45" w:rsidRPr="00D84B23">
        <w:t>passive source, is characteri</w:t>
      </w:r>
      <w:r w:rsidR="00B3101B" w:rsidRPr="00D84B23">
        <w:t>s</w:t>
      </w:r>
      <w:r w:rsidR="00FE7E45" w:rsidRPr="00D84B23">
        <w:t xml:space="preserve">ed by convective flow that is generally not intense. </w:t>
      </w:r>
      <w:r w:rsidRPr="00D84B23">
        <w:t>In</w:t>
      </w:r>
      <w:r w:rsidR="007F043A" w:rsidRPr="00D84B23">
        <w:t>deed</w:t>
      </w:r>
      <w:r w:rsidRPr="00D84B23">
        <w:t xml:space="preserve">, </w:t>
      </w:r>
      <w:r w:rsidR="007F043A" w:rsidRPr="00D84B23">
        <w:t>t</w:t>
      </w:r>
      <w:r w:rsidR="00FE7E45" w:rsidRPr="00D84B23">
        <w:t xml:space="preserve">he flushing of a known </w:t>
      </w:r>
      <w:r w:rsidR="00B3101B" w:rsidRPr="00D84B23">
        <w:t>airflow</w:t>
      </w:r>
      <w:r w:rsidR="00FE7E45" w:rsidRPr="00D84B23">
        <w:t xml:space="preserve"> within a dynamic hood</w:t>
      </w:r>
      <w:r w:rsidR="00B3101B" w:rsidRPr="00D84B23">
        <w:t>,</w:t>
      </w:r>
      <w:r w:rsidR="00FE7E45" w:rsidRPr="00D84B23">
        <w:t xml:space="preserve"> such as a wind tunnel system, necessary to simulate the wind action on the surface of the tank, may not be the driving force of the system.</w:t>
      </w:r>
    </w:p>
    <w:p w14:paraId="667460D0" w14:textId="2366FFEA" w:rsidR="007F043A" w:rsidRPr="00D84B23" w:rsidRDefault="007F043A" w:rsidP="00FE7E45">
      <w:pPr>
        <w:pStyle w:val="CETBodytext"/>
      </w:pPr>
      <w:r w:rsidRPr="00D84B23">
        <w:t>T</w:t>
      </w:r>
      <w:r w:rsidR="00FE7E45" w:rsidRPr="00D84B23">
        <w:t xml:space="preserve">he aim of the present study is to evaluate the emissive contributions of </w:t>
      </w:r>
      <w:r w:rsidRPr="00D84B23">
        <w:t>biological oxidation tanks</w:t>
      </w:r>
      <w:r w:rsidR="00FE7E45" w:rsidRPr="00D84B23">
        <w:t>, focusing on the phenomenon of aeration and the effect of wind on the liquid surface of an oxidation basin.</w:t>
      </w:r>
    </w:p>
    <w:p w14:paraId="331B2D4E" w14:textId="0E71A76A" w:rsidR="002B1649" w:rsidRPr="00D84B23" w:rsidRDefault="00FE7E45" w:rsidP="00FE7E45">
      <w:pPr>
        <w:pStyle w:val="CETBodytext"/>
      </w:pPr>
      <w:r w:rsidRPr="00D84B23">
        <w:t>Using different sampling methodologies</w:t>
      </w:r>
      <w:r w:rsidR="007F043A" w:rsidRPr="00D84B23">
        <w:t>, through different field measurements</w:t>
      </w:r>
      <w:r w:rsidRPr="00D84B23">
        <w:t>, the Specific Odour Emission Rates</w:t>
      </w:r>
      <w:r w:rsidR="007F043A" w:rsidRPr="00D84B23">
        <w:t>,</w:t>
      </w:r>
      <w:r w:rsidRPr="00D84B23">
        <w:t xml:space="preserve"> associated with each contribution</w:t>
      </w:r>
      <w:r w:rsidR="007F043A" w:rsidRPr="00D84B23">
        <w:t>,</w:t>
      </w:r>
      <w:r w:rsidRPr="00D84B23">
        <w:t xml:space="preserve"> were measured and compared. The results indicate that the stripping phenomenon due to the convective flow generated by aeration can account for up to 96% of the </w:t>
      </w:r>
      <w:r w:rsidR="006D4B7E" w:rsidRPr="00D84B23">
        <w:t>odorous</w:t>
      </w:r>
      <w:r w:rsidRPr="00D84B23">
        <w:t xml:space="preserve"> emission contribution.</w:t>
      </w:r>
    </w:p>
    <w:p w14:paraId="7CEBDA9F" w14:textId="54AD2A92" w:rsidR="00C56509" w:rsidRPr="00D84B23" w:rsidRDefault="00600535" w:rsidP="00C56509">
      <w:pPr>
        <w:pStyle w:val="CETHeading1"/>
        <w:rPr>
          <w:lang w:val="en-GB"/>
        </w:rPr>
      </w:pPr>
      <w:r w:rsidRPr="00D84B23">
        <w:rPr>
          <w:lang w:val="en-GB"/>
        </w:rPr>
        <w:t>Introduction</w:t>
      </w:r>
    </w:p>
    <w:p w14:paraId="005E4529" w14:textId="5908693C" w:rsidR="009A07CA" w:rsidRPr="00D84B23" w:rsidRDefault="000B083A" w:rsidP="009A07CA">
      <w:pPr>
        <w:pStyle w:val="CETBodytext"/>
      </w:pPr>
      <w:r w:rsidRPr="00D84B23">
        <w:t>In recent times, there has been a heightened global emphasis on safeguarding the environment, particularly regarding the adverse effects of industrial operations as a significant source of pollution. This increased focus has led to growing concerns about environmental odours, prompting complaints from the public and evolving into a worldwide social concern</w:t>
      </w:r>
      <w:r w:rsidR="00BB6896" w:rsidRPr="00D84B23">
        <w:t xml:space="preserve"> </w:t>
      </w:r>
      <w:r w:rsidR="00BB6896" w:rsidRPr="00D84B23">
        <w:fldChar w:fldCharType="begin" w:fldLock="1"/>
      </w:r>
      <w:r w:rsidR="00AF3553" w:rsidRPr="00D84B23">
        <w:instrText>ADDIN CSL_CITATION {"citationItems":[{"id":"ITEM-1","itemData":{"DOI":"10.1016/j.chemosphere.2016.11.160","ISSN":"18791298","PMID":"27939667","abstract":"Exposure to environmental odour can result in annoyance, health effects and depreciation of property values. Therefore, many jurisdictions classify odour as an atmospheric pollutant and regulate emissions and/or impacts from odour generating activities at a national, state or municipal level. In this work, a critical review of odour regulations in selected jurisdictions of 28 countries is presented. Individual approaches were identified as: comparing ambient air odour concentration and individual chemicals statistics against impact criteria (maximum impact standard); using fixed and variable separation distances (separation distance standard); maximum emission rate for mixtures of odorants and individual chemical species (maximum emission standard); number of complaints received or annoyance level determined via community surveys (maximum annoyance standard); and requiring use of best available technologies (BAT) to minimize odour emissions (technology standard). The comparison of model-predicted odour concentration statistics against odour impact criteria (OIC) is identified as one of the most common tools used by regulators to evaluate the risk of odour impacts in planning stage assessments and is also used to inform assessment of odour impacts of existing facilities. Special emphasis is given to summarizing OIC (concentration percentile and threshold) and the manner in which they are applied. The way short term odour peak to model time-step mean (peak-to-mean) effects is also captured. Furthermore, the fundamentals of odorant properties, dimensions of nuisance odour, odour sampling and analysis methods and dispersion modelling guidance are provided. Common elements of mature and effective odour regulation frameworks are identified and an integrated multi-tool strategy is recommended.","author":[{"dropping-particle":"","family":"Brancher","given":"Marlon","non-dropping-particle":"","parse-names":false,"suffix":""},{"dropping-particle":"","family":"Griffiths","given":"K. David","non-dropping-particle":"","parse-names":false,"suffix":""},{"dropping-particle":"","family":"Franco","given":"Davide","non-dropping-particle":"","parse-names":false,"suffix":""},{"dropping-particle":"","family":"Melo Lisboa","given":"Henrique","non-dropping-particle":"de","parse-names":false,"suffix":""}],"container-title":"Chemosphere","id":"ITEM-1","issued":{"date-parts":[["2017"]]},"page":"1531-1570","title":"A review of odour impact criteria in selected countries around the world","type":"article-journal","volume":"168"},"uris":["http://www.mendeley.com/documents/?uuid=73fe4810-b1a0-4486-a33a-9198513dfe4f"]}],"mendeley":{"formattedCitation":"(Brancher et al., 2017)","plainTextFormattedCitation":"(Brancher et al., 2017)","previouslyFormattedCitation":"(Brancher et al., 2017)"},"properties":{"noteIndex":0},"schema":"https://github.com/citation-style-language/schema/raw/master/csl-citation.json"}</w:instrText>
      </w:r>
      <w:r w:rsidR="00BB6896" w:rsidRPr="00D84B23">
        <w:fldChar w:fldCharType="separate"/>
      </w:r>
      <w:r w:rsidR="00BB6896" w:rsidRPr="00D84B23">
        <w:rPr>
          <w:noProof/>
        </w:rPr>
        <w:t>(Brancher et al., 2017)</w:t>
      </w:r>
      <w:r w:rsidR="00BB6896" w:rsidRPr="00D84B23">
        <w:fldChar w:fldCharType="end"/>
      </w:r>
      <w:r w:rsidR="00BB6896" w:rsidRPr="00D84B23">
        <w:t xml:space="preserve">. </w:t>
      </w:r>
      <w:r w:rsidRPr="00D84B23">
        <w:t>Prolonged exposure to odours from industrial activities can lead to negative health effects, both physiological and psychological. As a result, the scientific community has created tools to evaluate and address this issue. Olfactory nuisance, often linked to inadequately managed waste disposal, animal farming, and industrial and environmental protection facilities, is identified as the main reason for public complaints</w:t>
      </w:r>
      <w:r w:rsidR="006E7D6A" w:rsidRPr="00D84B23">
        <w:t xml:space="preserve"> </w:t>
      </w:r>
      <w:r w:rsidR="00D44858" w:rsidRPr="00D84B23">
        <w:t>(</w:t>
      </w:r>
      <w:r w:rsidR="00CA5369" w:rsidRPr="00D84B23">
        <w:fldChar w:fldCharType="begin" w:fldLock="1"/>
      </w:r>
      <w:r w:rsidR="00B302AB">
        <w:instrText>ADDIN CSL_CITATION {"citationItems":[{"id":"ITEM-1","itemData":{"DOI":"10.3303/CET1654035","ISBN":"9788895608457","author":[{"dropping-particle":"","family":"Invernizzi","given":"Marzio","non-dropping-particle":"","parse-names":false,"suffix":""},{"dropping-particle":"","family":"Capelli","given":"Laura","non-dropping-particle":"","parse-names":false,"suffix":""},{"dropping-particle":"","family":"Sironi","given":"Selena","non-dropping-particle":"","parse-names":false,"suffix":""}],"container-title":"Chemical Engineering Transactions","id":"ITEM-1","issued":{"date-parts":[["2016"]]},"page":"205-210","title":"Quantification of Odour Annoyance-Nuisance","type":"article-journal","volume":"54"},"uris":["http://www.mendeley.com/documents/?uuid=2cdb2464-a35c-4c2c-b22b-fb47319a75af"]}],"mendeley":{"formattedCitation":"(Invernizzi et al., 2016)","manualFormatting":"Invernizzi et al., 2016","plainTextFormattedCitation":"(Invernizzi et al., 2016)","previouslyFormattedCitation":"(Invernizzi et al., 2016)"},"properties":{"noteIndex":0},"schema":"https://github.com/citation-style-language/schema/raw/master/csl-citation.json"}</w:instrText>
      </w:r>
      <w:r w:rsidR="00CA5369" w:rsidRPr="00D84B23">
        <w:fldChar w:fldCharType="separate"/>
      </w:r>
      <w:r w:rsidR="00CA5369" w:rsidRPr="00D84B23">
        <w:rPr>
          <w:noProof/>
        </w:rPr>
        <w:t>Invernizzi et al., 2016</w:t>
      </w:r>
      <w:r w:rsidR="00CA5369" w:rsidRPr="00D84B23">
        <w:fldChar w:fldCharType="end"/>
      </w:r>
      <w:r w:rsidR="006A6DE5" w:rsidRPr="00D84B23">
        <w:t xml:space="preserve">; </w:t>
      </w:r>
      <w:r w:rsidR="006A6DE5" w:rsidRPr="00D84B23">
        <w:fldChar w:fldCharType="begin" w:fldLock="1"/>
      </w:r>
      <w:r w:rsidR="006A6DE5" w:rsidRPr="00D84B23">
        <w:instrText>ADDIN CSL_CITATION {"citationItems":[{"id":"ITEM-1","itemData":{"DOI":"10.1016/j.envres.2021.112121","ISSN":"10960953","PMID":"34571035","abstract":"The olfactory nuisance, due to the emissions of active molecules, is mainly associated with unproperly managed waste disposal and animal farming. Volatile compounds e.g., aromatics, organic and inorganic sulfide compounds, as well as nitrogen and halogenated compounds are the major contributor to odor pollution generated by waste management plants; the most important source of atmospheric ammonia is produced by livestock farming. Although an odorous compound may represent a nuisance rather than a health risk, long-term exposure to a mixture of volatile compounds may represent a risk for different diseases, including asthma, atopic dermatitis, and neurologic damage. Workers and communities living close to odor-producing facilities result directly exposed to irritant air pollutants through inhalation and for this reason the cumulative health risk assessment is recommended. Health effects are related to the concentration and exposure duration to the odorants, as well as to their irritant potency and/or biotransformation in hazardous metabolites. The health effects of a single chemical are well known, while the interactions between molecules with different functional groups have still to be extensively studied. Odor emissions are often due to airborne pollutants at levels below the established toxicity thresholds. The relationship between odor and toxicity does not always occurs but depends on the specific kind of pollutant involved. Indeed, some toxic agents does not induce odor nuisance while untoxic agents do. Accordingly, the relationship between toxicity and odor nuisance should be always analyzed in detail evaluating on the characteristics of the airborne mixture and the type of the source involved.","author":[{"dropping-particle":"","family":"Piccardo","given":"M. T.","non-dropping-particle":"","parse-names":false,"suffix":""},{"dropping-particle":"","family":"Geretto","given":"M.","non-dropping-particle":"","parse-names":false,"suffix":""},{"dropping-particle":"","family":"Pulliero","given":"A.","non-dropping-particle":"","parse-names":false,"suffix":""},{"dropping-particle":"","family":"Izzotti","given":"A.","non-dropping-particle":"","parse-names":false,"suffix":""}],"container-title":"Environmental Research","id":"ITEM-1","issue":"PB","issued":{"date-parts":[["2022"]]},"page":"112-121","publisher":"Elsevier Inc.","title":"Odor emissions: A public health concern for health risk perception","type":"article-journal","volume":"204"},"uris":["http://www.mendeley.com/documents/?uuid=dd058b56-7f08-42c9-aacf-a9b909a0d445"]}],"mendeley":{"formattedCitation":"(Piccardo et al., 2022)","manualFormatting":"Piccardo et al., 2022)","plainTextFormattedCitation":"(Piccardo et al., 2022)","previouslyFormattedCitation":"(Piccardo et al., 2022)"},"properties":{"noteIndex":0},"schema":"https://github.com/citation-style-language/schema/raw/master/csl-citation.json"}</w:instrText>
      </w:r>
      <w:r w:rsidR="006A6DE5" w:rsidRPr="00D84B23">
        <w:fldChar w:fldCharType="separate"/>
      </w:r>
      <w:r w:rsidR="006A6DE5" w:rsidRPr="00D84B23">
        <w:rPr>
          <w:noProof/>
        </w:rPr>
        <w:t>Piccardo et al., 2022)</w:t>
      </w:r>
      <w:r w:rsidR="006A6DE5" w:rsidRPr="00D84B23">
        <w:fldChar w:fldCharType="end"/>
      </w:r>
      <w:r w:rsidR="009A07CA" w:rsidRPr="00D84B23">
        <w:t xml:space="preserve">. </w:t>
      </w:r>
      <w:r w:rsidRPr="00D84B23">
        <w:t xml:space="preserve">Odorous emissions are a </w:t>
      </w:r>
      <w:r w:rsidR="00FA03E3" w:rsidRPr="00D84B23">
        <w:t>relevant</w:t>
      </w:r>
      <w:r w:rsidRPr="00D84B23">
        <w:t xml:space="preserve"> contributor to air pollution and the exclusive study of concentration may not fully represent the environmental nuisance, as it neglects various parameters that need to be considered to quantify the effective impact of the odours</w:t>
      </w:r>
      <w:r w:rsidR="009A07CA" w:rsidRPr="00D84B23">
        <w:t xml:space="preserve"> </w:t>
      </w:r>
      <w:r w:rsidR="006A6DE5" w:rsidRPr="00D84B23">
        <w:fldChar w:fldCharType="begin" w:fldLock="1"/>
      </w:r>
      <w:r w:rsidR="006A6DE5" w:rsidRPr="00D84B23">
        <w:instrText>ADDIN CSL_CITATION {"citationItems":[{"id":"ITEM-1","itemData":{"author":[{"dropping-particle":"","family":"Bokowa","given":"A.H.","non-dropping-particle":"","parse-names":false,"suffix":""},{"dropping-particle":"","family":"Bokowa","given":"M.A","non-dropping-particle":"","parse-names":false,"suffix":""}],"container-title":"Austrian Contributions to Veterinary Epidemiology","id":"ITEM-1","issued":{"date-parts":[["2017"]]},"page":"21-35","title":"Odour assessment methods: appropriate uses to obtain the most accurate results.","type":"article-journal","volume":"9"},"uris":["http://www.mendeley.com/documents/?uuid=2f6959b4-7443-4af3-93b3-b169dd04eb1c"]}],"mendeley":{"formattedCitation":"(Bokowa &amp; Bokowa, 2017)","manualFormatting":"(Bokowa and Bokowa, 2017)","plainTextFormattedCitation":"(Bokowa &amp; Bokowa, 2017)","previouslyFormattedCitation":"(Bokowa &amp; Bokowa, 2017)"},"properties":{"noteIndex":0},"schema":"https://github.com/citation-style-language/schema/raw/master/csl-citation.json"}</w:instrText>
      </w:r>
      <w:r w:rsidR="006A6DE5" w:rsidRPr="00D84B23">
        <w:fldChar w:fldCharType="separate"/>
      </w:r>
      <w:r w:rsidR="006A6DE5" w:rsidRPr="00D84B23">
        <w:rPr>
          <w:noProof/>
        </w:rPr>
        <w:t>(Bokowa and Bokowa, 2017)</w:t>
      </w:r>
      <w:r w:rsidR="006A6DE5" w:rsidRPr="00D84B23">
        <w:fldChar w:fldCharType="end"/>
      </w:r>
      <w:r w:rsidR="009A07CA" w:rsidRPr="00D84B23">
        <w:t>.</w:t>
      </w:r>
    </w:p>
    <w:p w14:paraId="3B8FD6F0" w14:textId="0DB7EAB6" w:rsidR="009A07CA" w:rsidRPr="00D84B23" w:rsidRDefault="009A07CA" w:rsidP="009A07CA">
      <w:pPr>
        <w:pStyle w:val="CETBodytext"/>
      </w:pPr>
      <w:r w:rsidRPr="00D84B23">
        <w:t>The characteri</w:t>
      </w:r>
      <w:r w:rsidR="00B3101B" w:rsidRPr="00D84B23">
        <w:t>s</w:t>
      </w:r>
      <w:r w:rsidRPr="00D84B23">
        <w:t xml:space="preserve">ation of an emissive source can be a complex issue within an odour impact study. The estimation of an appropriate </w:t>
      </w:r>
      <w:r w:rsidR="00B3101B" w:rsidRPr="00D84B23">
        <w:t xml:space="preserve">Odour Emission Rate </w:t>
      </w:r>
      <w:r w:rsidR="00C22765" w:rsidRPr="00D84B23">
        <w:t>(</w:t>
      </w:r>
      <w:r w:rsidRPr="00D84B23">
        <w:t>OER</w:t>
      </w:r>
      <w:r w:rsidR="00C22765" w:rsidRPr="00D84B23">
        <w:t xml:space="preserve">) </w:t>
      </w:r>
      <w:r w:rsidRPr="00D84B23">
        <w:t>expressed in ou</w:t>
      </w:r>
      <w:r w:rsidRPr="00D84B23">
        <w:rPr>
          <w:vertAlign w:val="subscript"/>
        </w:rPr>
        <w:t>E</w:t>
      </w:r>
      <w:r w:rsidRPr="00D84B23">
        <w:t>/s, is crucia</w:t>
      </w:r>
      <w:r w:rsidR="00987E84" w:rsidRPr="00D84B23">
        <w:t>l</w:t>
      </w:r>
      <w:r w:rsidRPr="00D84B23">
        <w:t xml:space="preserve"> to implement an atmospheric dispersion model</w:t>
      </w:r>
      <w:r w:rsidR="00B3101B" w:rsidRPr="00D84B23">
        <w:t>,</w:t>
      </w:r>
      <w:r w:rsidRPr="00D84B23">
        <w:t xml:space="preserve"> for </w:t>
      </w:r>
      <w:r w:rsidR="00B3101B" w:rsidRPr="00D84B23">
        <w:t xml:space="preserve">the </w:t>
      </w:r>
      <w:r w:rsidRPr="00D84B23">
        <w:t>assess</w:t>
      </w:r>
      <w:r w:rsidR="00B3101B" w:rsidRPr="00D84B23">
        <w:t>ment</w:t>
      </w:r>
      <w:r w:rsidRPr="00D84B23">
        <w:t xml:space="preserve"> the influence of an odorous source on the neighbouring area</w:t>
      </w:r>
      <w:r w:rsidR="00B302AB">
        <w:t xml:space="preserve"> </w:t>
      </w:r>
      <w:r w:rsidR="00B302AB">
        <w:fldChar w:fldCharType="begin" w:fldLock="1"/>
      </w:r>
      <w:r w:rsidR="00B302AB">
        <w:instrText>ADDIN CSL_CITATION {"citationItems":[{"id":"ITEM-1","itemData":{"DOI":"10.3390/app14062457","abstract":"Dispersion modeling is a useful tool for reproducing the spatial–temporal distribution of pollutants emitted by industrial sites, particularly in the environmental odor field. One widely used tool, accepted by regulatory agencies for environmental impact assessments, is the CALPUFF model, which requires a large number of input variables, including meteorological and orographical variables. The reliability of model results depends on the accuracy of these input variables. The present research aims to discuss a comparative study of odor dispersion modeling by initializing the CALMET meteorological processor with different input data: surface and upper air observational meteorological data, 3D prognostic data, and a blend of prognostic and measured data. Two distinct sources (a point and an area source) and two different simulation domains in Cuba and Italy are considered. The analysis of results is based on odor impact criteria enforced in some Italian regions by computing the 98th percentile of odor peak concentrations on an annual basis. For the area source, simulation results reveal that the ‘OBS’ and ‘HYBRID’ modes are largely comparable, whereas prognostic data tend to underestimate the odor concentrations, likely due to a reduced percentage of wind calms. For point sources, different input meteorological settings provide comparable results, with no significant differences.","author":[{"dropping-particle":"","family":"Tagliaferri","given":"Francesca","non-dropping-particle":"","parse-names":false,"suffix":""},{"dropping-particle":"","family":"Facagni","given":"Laura","non-dropping-particle":"","parse-names":false,"suffix":""},{"dropping-particle":"","family":"Invernizzi","given":"Marzio","non-dropping-particle":"","parse-names":false,"suffix":""},{"dropping-particle":"","family":"Ferrer Hernández","given":"Adrian Luis","non-dropping-particle":"","parse-names":false,"suffix":""},{"dropping-particle":"","family":"Hernández-Garces","given":"Anel","non-dropping-particle":"","parse-names":false,"suffix":""},{"dropping-particle":"","family":"Sironi","given":"Selena","non-dropping-particle":"","parse-names":false,"suffix":""}],"container-title":"Applied Sciences","id":"ITEM-1","issued":{"date-parts":[["2024"]]},"page":"2457","title":"Odor Impact Assessment via Dispersion Model: Comparison of Different Input Meteorological Datasets","type":"article-journal","volume":"14"},"uris":["http://www.mendeley.com/documents/?uuid=1e5f914f-54cc-4821-96a9-95ff92fb5dff"]}],"mendeley":{"formattedCitation":"(Tagliaferri et al., 2024)","plainTextFormattedCitation":"(Tagliaferri et al., 2024)","previouslyFormattedCitation":"(Tagliaferri et al., 2024)"},"properties":{"noteIndex":0},"schema":"https://github.com/citation-style-language/schema/raw/master/csl-citation.json"}</w:instrText>
      </w:r>
      <w:r w:rsidR="00B302AB">
        <w:fldChar w:fldCharType="separate"/>
      </w:r>
      <w:r w:rsidR="00B302AB" w:rsidRPr="00B302AB">
        <w:rPr>
          <w:noProof/>
        </w:rPr>
        <w:t>(Tagliaferri et al., 2024)</w:t>
      </w:r>
      <w:r w:rsidR="00B302AB">
        <w:fldChar w:fldCharType="end"/>
      </w:r>
      <w:r w:rsidRPr="00D84B23">
        <w:t xml:space="preserve">. The choice of the best sampling technique, aimed </w:t>
      </w:r>
      <w:r w:rsidR="00B3101B" w:rsidRPr="00D84B23">
        <w:t>at obtaining</w:t>
      </w:r>
      <w:r w:rsidRPr="00D84B23">
        <w:t xml:space="preserve"> an odour concentration value and a consistent method for estimating the odour flow, is closely related to the source being investigated</w:t>
      </w:r>
      <w:r w:rsidR="006A6DE5" w:rsidRPr="00D84B23">
        <w:t xml:space="preserve"> </w:t>
      </w:r>
      <w:r w:rsidR="006A6DE5" w:rsidRPr="00D84B23">
        <w:fldChar w:fldCharType="begin" w:fldLock="1"/>
      </w:r>
      <w:r w:rsidR="00D57D4C" w:rsidRPr="00D84B23">
        <w:instrText>ADDIN CSL_CITATION {"citationItems":[{"id":"ITEM-1","itemData":{"DOI":"https://doi.org/10.2166/9781780402819","ISBN":"9781780402819","abstract":"Research into the sampling and measurement of odours has developed in a number of sectors, especially the agriculture, food and process industries, with knowledge from each sector being transferred to the wastewater and solid waste management sectors. Progressive developments in odour research have resulted in researchers re-tracing original research studies to understand the contribution and variability of differing sampling and measurement techniques. There are, however, very few reviews that compile earlier studies across each sector. This study looks at the information used to support current practices in odour sampling and measurement for impact reduction.Sampling for Measurement of Odours reviews European and other internationally available research studies to understand odour sampling and measurement practice in waste applications. The emphasis is placed on appropriate odour sampling and its relationship to differing measurement techniques. As recent developments in standardisation of odour measurement have reduced much of the variation and identified best practice in this area there is, at present, a far greater variation in sampling techniques with serious implications for the quality of samples obtained and their usefulness for assessing odour impact.The review considers the available information on uncontrolled area sources, identifies factors influencing sample losses or transformations and looks at information on the sources of variability identified through standardisation programmes.This need for this report was identified by the Odour Network, an EPSRC-sponsored discussion platform intended to promote multidisciplinary research in the areas of odour measurement, modelling and treatment.","author":[{"dropping-particle":"","family":"Gostelow","given":"Peter","non-dropping-particle":"","parse-names":false,"suffix":""},{"dropping-particle":"","family":"Longhurst","given":"Philip J","non-dropping-particle":"","parse-names":false,"suffix":""},{"dropping-particle":"","family":"Parsons","given":"Simon","non-dropping-particle":"","parse-names":false,"suffix":""},{"dropping-particle":"","family":"Stuetz","given":"Richard M","non-dropping-particle":"","parse-names":false,"suffix":""}],"id":"ITEM-1","issued":{"date-parts":[["2003"]]},"publisher":"IWA publishing","title":"Sampling for measurement of odours","type":"article"},"uris":["http://www.mendeley.com/documents/?uuid=e8799da8-0a88-4ddc-9102-3676196d1618"]}],"mendeley":{"formattedCitation":"(Gostelow et al., 2003)","manualFormatting":"(Gostelow et al., 2003","plainTextFormattedCitation":"(Gostelow et al., 2003)","previouslyFormattedCitation":"(Gostelow et al., 2003)"},"properties":{"noteIndex":0},"schema":"https://github.com/citation-style-language/schema/raw/master/csl-citation.json"}</w:instrText>
      </w:r>
      <w:r w:rsidR="006A6DE5" w:rsidRPr="00D84B23">
        <w:fldChar w:fldCharType="separate"/>
      </w:r>
      <w:r w:rsidR="006A6DE5" w:rsidRPr="00D84B23">
        <w:rPr>
          <w:noProof/>
        </w:rPr>
        <w:t>(Gostelow et al., 2003</w:t>
      </w:r>
      <w:r w:rsidR="006A6DE5" w:rsidRPr="00D84B23">
        <w:fldChar w:fldCharType="end"/>
      </w:r>
      <w:r w:rsidR="006A6DE5" w:rsidRPr="00D84B23">
        <w:t xml:space="preserve">; </w:t>
      </w:r>
      <w:r w:rsidR="00B302AB">
        <w:fldChar w:fldCharType="begin" w:fldLock="1"/>
      </w:r>
      <w:r w:rsidR="00B302AB">
        <w:instrText>ADDIN CSL_CITATION {"citationItems":[{"id":"ITEM-1","itemData":{"DOI":"10.1016/j.scitotenv.2024.172607","ISSN":"18791026","PMID":"38677432","abstract":"Geothermal areas are typically characterised by the presence of gases and odours in the background atmosphere, stemming from natural emissions and possible mining exploitation of the area. This study presents the first olfactometric investigation of endogenous gas emissions from natural and archaeo-industrial vents in a geothermal area. Mt. Amiata is known for its complex geology and historical cinnabar mining. This study offers an inventory of spot gas emissions, not only in terms of odour and chemical concentration but also including flux data, a ground-breaking achievement in this field. The primary challenge of this investigation was estimating the emitted flow from ground holes or mine entrances, posing the risk of hazardous anoxic conditions. To address this challenge, an innovative and adaptive approach was adopted. The main breakthrough method involved the adaptation of a balometer, typically employed for indoor ventilation systems, to measure the flow of endogenous gases. Field surveys revealed odour concentrations that can exceed 106 of ouE/m3, surpassing industrial emission level considerably. Chemical concentrations, primarily consisted of CO2 (80/90 %v/v) and CH4 (</w:instrText>
      </w:r>
      <w:r w:rsidR="00B302AB">
        <w:rPr>
          <w:rFonts w:ascii="Cambria Math" w:hAnsi="Cambria Math" w:cs="Cambria Math"/>
        </w:rPr>
        <w:instrText>∼</w:instrText>
      </w:r>
      <w:r w:rsidR="00B302AB">
        <w:instrText>10%v/v), providing critical insights into the global warming potential (GWP) associated with natural emissions. Moreover, these spots, often located at ground level and lacking a substantial atmospheric dilution, pose potential risks to nearby individuals, with concentrations of gases such as H2S surpassing safety thresholds. Total emissive flux of the investigated spot vents in the Mt. Amiata area, showed that the emission rate of H2S is notably substantial (55 kg/h), roughly equivalent to emissions from approximately four 20 MW geothermal plants, as along with odour emission rates in the order of 107 ouE/s. Considering the GWP derived from emitted gases, the total inventory assessment of the spot vents resulted in 36 t/h or 23 t/h CO2eq, depending on the time horizon considered (GWP20 or GWP100 respectively).","author":[{"dropping-particle":"","family":"Invernizzi","given":"Marzio","non-dropping-particle":"","parse-names":false,"suffix":""},{"dropping-particle":"","family":"Scolieri","given":"Giacomo Domenico","non-dropping-particle":"","parse-names":false,"suffix":""},{"dropping-particle":"","family":"Tagliaferri","given":"Francesca","non-dropping-particle":"","parse-names":false,"suffix":""},{"dropping-particle":"","family":"Bettini","given":"Alessandro","non-dropping-particle":"","parse-names":false,"suffix":""},{"dropping-particle":"","family":"Cinci","given":"Marcello","non-dropping-particle":"","parse-names":false,"suffix":""},{"dropping-particle":"","family":"Lenzi","given":"Alessandro","non-dropping-particle":"","parse-names":false,"suffix":""},{"dropping-particle":"","family":"Sironi","given":"Selena","non-dropping-particle":"","parse-names":false,"suffix":""}],"container-title":"Science of the Total Environment","id":"ITEM-1","issue":"November 2023","issued":{"date-parts":[["2024"]]},"page":"172607","publisher":"Elsevier B.V.","title":"Chemical and olfactometric inventory of gaseous spot vents in Mt. Amiata volcanic-geothermal area (Italy)","type":"article-journal","volume":"931"},"uris":["http://www.mendeley.com/documents/?uuid=b83466ab-81c7-43d6-975c-f58722467ade"]}],"mendeley":{"formattedCitation":"(Invernizzi et al., 2024)","manualFormatting":"Invernizzi et al., 2024)","plainTextFormattedCitation":"(Invernizzi et al., 2024)","previouslyFormattedCitation":"(Invernizzi et al., 2024)"},"properties":{"noteIndex":0},"schema":"https://github.com/citation-style-language/schema/raw/master/csl-citation.json"}</w:instrText>
      </w:r>
      <w:r w:rsidR="00B302AB">
        <w:fldChar w:fldCharType="separate"/>
      </w:r>
      <w:r w:rsidR="00B302AB" w:rsidRPr="00B302AB">
        <w:rPr>
          <w:noProof/>
        </w:rPr>
        <w:t>Invernizzi et al., 2024)</w:t>
      </w:r>
      <w:r w:rsidR="00B302AB">
        <w:fldChar w:fldCharType="end"/>
      </w:r>
      <w:r w:rsidRPr="00D84B23">
        <w:t>.</w:t>
      </w:r>
    </w:p>
    <w:p w14:paraId="18359300" w14:textId="22905488" w:rsidR="009A07CA" w:rsidRPr="00D84B23" w:rsidRDefault="005B624B" w:rsidP="009A07CA">
      <w:pPr>
        <w:pStyle w:val="CETBodytext"/>
      </w:pPr>
      <w:r w:rsidRPr="00D84B23">
        <w:t>Among the various odo</w:t>
      </w:r>
      <w:r w:rsidR="00987E84" w:rsidRPr="00D84B23">
        <w:t>u</w:t>
      </w:r>
      <w:r w:rsidRPr="00D84B23">
        <w:t>r emissive sources,</w:t>
      </w:r>
      <w:r w:rsidR="009A07CA" w:rsidRPr="00D84B23">
        <w:t xml:space="preserve"> </w:t>
      </w:r>
      <w:r w:rsidRPr="00D84B23">
        <w:t>the</w:t>
      </w:r>
      <w:r w:rsidR="009A07CA" w:rsidRPr="00D84B23">
        <w:t xml:space="preserve"> area source</w:t>
      </w:r>
      <w:r w:rsidRPr="00D84B23">
        <w:t>s emit from extended surfaces</w:t>
      </w:r>
      <w:r w:rsidR="009A07CA" w:rsidRPr="00D84B23">
        <w:t xml:space="preserve"> (e.g. liquid or solid)</w:t>
      </w:r>
      <w:r w:rsidRPr="00D84B23">
        <w:t>,</w:t>
      </w:r>
      <w:r w:rsidR="009A07CA" w:rsidRPr="00D84B23">
        <w:t xml:space="preserve"> </w:t>
      </w:r>
      <w:r w:rsidR="00E4279D" w:rsidRPr="00D84B23">
        <w:t>w</w:t>
      </w:r>
      <w:r w:rsidR="009A07CA" w:rsidRPr="00D84B23">
        <w:t xml:space="preserve">here </w:t>
      </w:r>
      <w:r w:rsidR="00E4279D" w:rsidRPr="00D84B23">
        <w:t>there is</w:t>
      </w:r>
      <w:r w:rsidR="009A07CA" w:rsidRPr="00D84B23">
        <w:t xml:space="preserve"> not a well-defined volume flow to be associate</w:t>
      </w:r>
      <w:r w:rsidR="00B3101B" w:rsidRPr="00D84B23">
        <w:t>d</w:t>
      </w:r>
      <w:r w:rsidR="009A07CA" w:rsidRPr="00D84B23">
        <w:t xml:space="preserve"> to an odour concentration</w:t>
      </w:r>
      <w:r w:rsidR="00B3101B" w:rsidRPr="00D84B23">
        <w:t xml:space="preserve">, with the aim of the </w:t>
      </w:r>
      <w:r w:rsidR="00C22765" w:rsidRPr="00D84B23">
        <w:t>evaluation</w:t>
      </w:r>
      <w:r w:rsidR="00B3101B" w:rsidRPr="00D84B23">
        <w:t xml:space="preserve"> of an</w:t>
      </w:r>
      <w:r w:rsidR="009A07CA" w:rsidRPr="00D84B23">
        <w:t xml:space="preserve"> OER</w:t>
      </w:r>
      <w:r w:rsidR="00E4279D" w:rsidRPr="00D84B23">
        <w:t>.</w:t>
      </w:r>
      <w:r w:rsidR="00987E84" w:rsidRPr="00D84B23">
        <w:t xml:space="preserve"> </w:t>
      </w:r>
      <w:r w:rsidR="009A07CA" w:rsidRPr="00D84B23">
        <w:t xml:space="preserve">Generally, the scientific literature proposes two different approaches to assess the OER </w:t>
      </w:r>
      <w:r w:rsidR="009A07CA" w:rsidRPr="00D84B23">
        <w:lastRenderedPageBreak/>
        <w:t xml:space="preserve">of this kind of emission: indirect measurement and direct measurement </w:t>
      </w:r>
      <w:r w:rsidR="000430E9" w:rsidRPr="00D84B23">
        <w:fldChar w:fldCharType="begin" w:fldLock="1"/>
      </w:r>
      <w:r w:rsidR="00504EB2" w:rsidRPr="00D84B23">
        <w:instrText>ADDIN CSL_CITATION {"citationItems":[{"id":"ITEM-1","itemData":{"DOI":"10.1016/j.biortech.2007.04.034","ISSN":"09608524","PMID":"17596941","abstract":"The selection of an odour sampling device may influence the composition of the resulting odour sample. Limited comparison of emission rates derived from turbulent and essentially quiescent sampling devices confirms that the emission rates derived from these devices are quite different. There is therefore compelling evidence that current odour sampling practice should have greater regard for fundamental physical and chemical principles, the nature of the odour source and the conditions created by the sampling device. Such consideration may identify the most appropriate situations under which the use of these devices may or may not be correct. © 2007 Elsevier Ltd. All rights reserved.","author":[{"dropping-particle":"","family":"Hudson","given":"N.","non-dropping-particle":"","parse-names":false,"suffix":""},{"dropping-particle":"","family":"Ayoko","given":"G. A.","non-dropping-particle":"","parse-names":false,"suffix":""}],"container-title":"Bioresource Technology","id":"ITEM-1","issue":"10","issued":{"date-parts":[["2008"]]},"page":"3982-3992","title":"Odour sampling 1: Physical chemistry considerations","type":"article-journal","volume":"99"},"uris":["http://www.mendeley.com/documents/?uuid=67bef692-72ce-48be-9c5c-b98385c46641"]}],"mendeley":{"formattedCitation":"(Hudson &amp; Ayoko, 2008b)","manualFormatting":"(Hudson and Ayoko, 2008)","plainTextFormattedCitation":"(Hudson &amp; Ayoko, 2008b)","previouslyFormattedCitation":"(Hudson &amp; Ayoko, 2008b)"},"properties":{"noteIndex":0},"schema":"https://github.com/citation-style-language/schema/raw/master/csl-citation.json"}</w:instrText>
      </w:r>
      <w:r w:rsidR="000430E9" w:rsidRPr="00D84B23">
        <w:fldChar w:fldCharType="separate"/>
      </w:r>
      <w:r w:rsidR="000430E9" w:rsidRPr="00D84B23">
        <w:rPr>
          <w:noProof/>
        </w:rPr>
        <w:t>(Hudson and Ayoko, 2008</w:t>
      </w:r>
      <w:r w:rsidR="00383273">
        <w:rPr>
          <w:noProof/>
        </w:rPr>
        <w:t>a</w:t>
      </w:r>
      <w:r w:rsidR="000430E9" w:rsidRPr="00D84B23">
        <w:rPr>
          <w:noProof/>
        </w:rPr>
        <w:t>)</w:t>
      </w:r>
      <w:r w:rsidR="000430E9" w:rsidRPr="00D84B23">
        <w:fldChar w:fldCharType="end"/>
      </w:r>
      <w:r w:rsidR="009A07CA" w:rsidRPr="00D84B23">
        <w:t>. The first group is represented by micrometeorological methods</w:t>
      </w:r>
      <w:r w:rsidR="003D2C3E" w:rsidRPr="00D84B23">
        <w:t xml:space="preserve"> </w:t>
      </w:r>
      <w:r w:rsidR="000430E9" w:rsidRPr="00D84B23">
        <w:fldChar w:fldCharType="begin" w:fldLock="1"/>
      </w:r>
      <w:r w:rsidR="000430E9" w:rsidRPr="00D84B23">
        <w:instrText>ADDIN CSL_CITATION {"citationItems":[{"id":"ITEM-1","itemData":{"DOI":"10.1080/10408347.2022.2036092","ISSN":"1040-8347","abstract":"Odors are typically released into the atmosphere as diffuse emissions from area and volume sources, whose detailed quantification in terms of odor emission rate is often hardly achievable by direct source sampling. Indirect methods, involving the use of micrometeorological methods in order to correlate downwind concentrations to the emission rates, are already mentioned in literature, but rarely found in real applications for the quantification of odor emissions. The instrumentation needed for the development of micrometeorological methods has nowadays become accessible in terms of prices and reliability, thus making the implementation of such methods to industrial applications more and more interesting. For this reason, this work aims to provide an overview of micrometeorological methods and investigate their effective applicability to odors, thereby providing a short description of the physics related to such methods and analyzing the relevant scientific literature. The theoretical basis of these methods is presented, and their advantages and disadvantages are discussed. Moreover, their applicability to the estimation of odor emissions is discussed by providing some suggestions about the suitable ways to evaluate the most critical parameters needed for the calculation of the odor emission rate.","author":[{"dropping-particle":"","family":"Lotesoriere","given":"Beatrice Julia","non-dropping-particle":"","parse-names":false,"suffix":""},{"dropping-particle":"","family":"Invernizzi","given":"Marzio","non-dropping-particle":"","parse-names":false,"suffix":""},{"dropping-particle":"","family":"Panzitta","given":"Alessandra","non-dropping-particle":"","parse-names":false,"suffix":""},{"dropping-particle":"","family":"Uvezzi","given":"Giulia","non-dropping-particle":"","parse-names":false,"suffix":""},{"dropping-particle":"","family":"Sozzi","given":"Roberto","non-dropping-particle":"","parse-names":false,"suffix":""},{"dropping-particle":"","family":"Sironi","given":"Selena","non-dropping-particle":"","parse-names":false,"suffix":""},{"dropping-particle":"","family":"Capelli","given":"Laura","non-dropping-particle":"","parse-names":false,"suffix":""}],"container-title":"Critical Reviews in Analytical Chemistry","id":"ITEM-1","issue":"7","issued":{"date-parts":[["2023","10","3"]]},"note":"doi: 10.1080/10408347.2022.2036092","page":"1531-1560","publisher":"Taylor &amp; Francis","title":"Micrometeorological Methods for the Indirect Estimation of Odorous Emissions","type":"article-journal","volume":"53"},"uris":["http://www.mendeley.com/documents/?uuid=d0c3bb85-b884-4080-b31e-bad2313324e5"]}],"mendeley":{"formattedCitation":"(Lotesoriere et al., 2023)","plainTextFormattedCitation":"(Lotesoriere et al., 2023)","previouslyFormattedCitation":"(Lotesoriere et al., 2023)"},"properties":{"noteIndex":0},"schema":"https://github.com/citation-style-language/schema/raw/master/csl-citation.json"}</w:instrText>
      </w:r>
      <w:r w:rsidR="000430E9" w:rsidRPr="00D84B23">
        <w:fldChar w:fldCharType="separate"/>
      </w:r>
      <w:r w:rsidR="000430E9" w:rsidRPr="00D84B23">
        <w:rPr>
          <w:noProof/>
        </w:rPr>
        <w:t>(Lotesoriere et al., 2023)</w:t>
      </w:r>
      <w:r w:rsidR="000430E9" w:rsidRPr="00D84B23">
        <w:fldChar w:fldCharType="end"/>
      </w:r>
      <w:r w:rsidR="003D2C3E" w:rsidRPr="00D84B23">
        <w:t>, while</w:t>
      </w:r>
      <w:r w:rsidR="009A07CA" w:rsidRPr="00D84B23">
        <w:t xml:space="preserve"> </w:t>
      </w:r>
      <w:r w:rsidR="003D2C3E" w:rsidRPr="00D84B23">
        <w:t>t</w:t>
      </w:r>
      <w:r w:rsidR="009A07CA" w:rsidRPr="00D84B23">
        <w:t xml:space="preserve">he second </w:t>
      </w:r>
      <w:r w:rsidR="003D2C3E" w:rsidRPr="00D84B23">
        <w:t>one, more practical and economical,</w:t>
      </w:r>
      <w:r w:rsidR="009A07CA" w:rsidRPr="00D84B23">
        <w:t xml:space="preserve"> </w:t>
      </w:r>
      <w:r w:rsidR="00B3101B" w:rsidRPr="00D84B23">
        <w:t xml:space="preserve">is </w:t>
      </w:r>
      <w:r w:rsidR="009A07CA" w:rsidRPr="00D84B23">
        <w:t xml:space="preserve">based on </w:t>
      </w:r>
      <w:r w:rsidR="00987E84" w:rsidRPr="00D84B23">
        <w:t xml:space="preserve">a hood </w:t>
      </w:r>
      <w:r w:rsidR="009A07CA" w:rsidRPr="00D84B23">
        <w:t>t</w:t>
      </w:r>
      <w:r w:rsidR="00987E84" w:rsidRPr="00D84B23">
        <w:t>hat</w:t>
      </w:r>
      <w:r w:rsidR="009A07CA" w:rsidRPr="00D84B23">
        <w:t xml:space="preserve"> enclose totally or partially the emitting surface. Th</w:t>
      </w:r>
      <w:r w:rsidR="00987E84" w:rsidRPr="00D84B23">
        <w:t>is</w:t>
      </w:r>
      <w:r w:rsidR="009A07CA" w:rsidRPr="00D84B23">
        <w:t xml:space="preserve"> technique </w:t>
      </w:r>
      <w:r w:rsidR="00987E84" w:rsidRPr="00D84B23">
        <w:t>combines</w:t>
      </w:r>
      <w:r w:rsidR="009A07CA" w:rsidRPr="00D84B23">
        <w:t xml:space="preserve"> the collection of gas samples with </w:t>
      </w:r>
      <w:r w:rsidR="00B3101B" w:rsidRPr="00D84B23">
        <w:t xml:space="preserve">the </w:t>
      </w:r>
      <w:r w:rsidR="009A07CA" w:rsidRPr="00D84B23">
        <w:t>physical dimensions of the hood and its operating conditions</w:t>
      </w:r>
      <w:r w:rsidR="00B3101B" w:rsidRPr="00D84B23">
        <w:t>,</w:t>
      </w:r>
      <w:r w:rsidR="009A07CA" w:rsidRPr="00D84B23">
        <w:t xml:space="preserve"> to evaluate OER.</w:t>
      </w:r>
    </w:p>
    <w:p w14:paraId="5A5538BF" w14:textId="6E0563D3" w:rsidR="009A07CA" w:rsidRPr="00D84B23" w:rsidRDefault="009A07CA" w:rsidP="009A07CA">
      <w:pPr>
        <w:pStyle w:val="CETBodytext"/>
      </w:pPr>
      <w:r w:rsidRPr="00D84B23">
        <w:t xml:space="preserve">From a technical </w:t>
      </w:r>
      <w:r w:rsidR="00E4279D" w:rsidRPr="00D84B23">
        <w:t>perspective</w:t>
      </w:r>
      <w:r w:rsidRPr="00D84B23">
        <w:t>, area sources can be classified as active (e.g. biofilter) or passive (e.g. landfill surfaces, wastewater treatment</w:t>
      </w:r>
      <w:r w:rsidR="00105F08" w:rsidRPr="00D84B23">
        <w:t xml:space="preserve"> </w:t>
      </w:r>
      <w:r w:rsidRPr="00D84B23">
        <w:t>tanks) depending on the presence or absence of a gas flow directed outward. The sampling method</w:t>
      </w:r>
      <w:r w:rsidR="00987E84" w:rsidRPr="00D84B23">
        <w:t xml:space="preserve"> varies too:</w:t>
      </w:r>
      <w:r w:rsidRPr="00D84B23">
        <w:t xml:space="preserve"> the EN 13725:2022 suggests the use of a static hood</w:t>
      </w:r>
      <w:r w:rsidR="00832BE6" w:rsidRPr="00D84B23">
        <w:t xml:space="preserve"> for active area source</w:t>
      </w:r>
      <w:r w:rsidRPr="00D84B23">
        <w:t xml:space="preserve">, while for </w:t>
      </w:r>
      <w:r w:rsidR="00832BE6" w:rsidRPr="00D84B23">
        <w:t>passive one</w:t>
      </w:r>
      <w:r w:rsidRPr="00D84B23">
        <w:t xml:space="preserve">, the standard does not prescribe a specific method, but provides guidance for the use of a dynamic hood (e.g. </w:t>
      </w:r>
      <w:r w:rsidR="00A17370" w:rsidRPr="00D84B23">
        <w:t>low-speed</w:t>
      </w:r>
      <w:r w:rsidRPr="00D84B23">
        <w:t xml:space="preserve"> wind tunnel (</w:t>
      </w:r>
      <w:r w:rsidR="00B7485F" w:rsidRPr="00D84B23">
        <w:t>LS</w:t>
      </w:r>
      <w:r w:rsidRPr="00D84B23">
        <w:t xml:space="preserve">WT) or flux chamber) </w:t>
      </w:r>
      <w:r w:rsidR="000430E9" w:rsidRPr="00D84B23">
        <w:fldChar w:fldCharType="begin" w:fldLock="1"/>
      </w:r>
      <w:r w:rsidR="00B7485F" w:rsidRPr="00D84B23">
        <w:instrText>ADDIN CSL_CITATION {"citationItems":[{"id":"ITEM-1","itemData":{"author":[{"dropping-particle":"","family":"CEN","given":"","non-dropping-particle":"","parse-names":false,"suffix":""}],"id":"ITEM-1","issued":{"date-parts":[["2022"]]},"title":"EN13725:2022 - Stationary source emissions - Determination of odour concentration by dynamic olfactometry and odour emission rate","type":"article-journal"},"uris":["http://www.mendeley.com/documents/?uuid=9389f316-0679-4fd4-a38c-bedfdefd16b7"]}],"mendeley":{"formattedCitation":"(CEN, 2022)","plainTextFormattedCitation":"(CEN, 2022)","previouslyFormattedCitation":"(CEN, 2022)"},"properties":{"noteIndex":0},"schema":"https://github.com/citation-style-language/schema/raw/master/csl-citation.json"}</w:instrText>
      </w:r>
      <w:r w:rsidR="000430E9" w:rsidRPr="00D84B23">
        <w:fldChar w:fldCharType="separate"/>
      </w:r>
      <w:r w:rsidR="000430E9" w:rsidRPr="00D84B23">
        <w:rPr>
          <w:noProof/>
        </w:rPr>
        <w:t>(CEN, 2022)</w:t>
      </w:r>
      <w:r w:rsidR="000430E9" w:rsidRPr="00D84B23">
        <w:fldChar w:fldCharType="end"/>
      </w:r>
      <w:r w:rsidRPr="00D84B23">
        <w:t>.</w:t>
      </w:r>
    </w:p>
    <w:p w14:paraId="4157847E" w14:textId="611DCE9E" w:rsidR="009A07CA" w:rsidRPr="00D84B23" w:rsidRDefault="009A07CA" w:rsidP="009A07CA">
      <w:pPr>
        <w:pStyle w:val="CETBodytext"/>
      </w:pPr>
      <w:r w:rsidRPr="00D84B23">
        <w:t>Nevertheless, the clear distinction between the two types of sources is not always trivial. There are recurring cases in which a convective flow is present, but not intense; the most emblematic example is represented by</w:t>
      </w:r>
      <w:r w:rsidR="00832BE6" w:rsidRPr="00D84B23">
        <w:t xml:space="preserve"> aerated basins</w:t>
      </w:r>
      <w:r w:rsidRPr="00D84B23">
        <w:t xml:space="preserve"> </w:t>
      </w:r>
      <w:r w:rsidR="00832BE6" w:rsidRPr="00D84B23">
        <w:t xml:space="preserve">as </w:t>
      </w:r>
      <w:r w:rsidRPr="00D84B23">
        <w:t xml:space="preserve">biological oxidation tanks. In terms of regulations, EN 13725:2022 establishes that the minimum expulsion velocity at which a source can be considered active is 0.008 m/s. </w:t>
      </w:r>
      <w:r w:rsidR="00A6198C" w:rsidRPr="00D84B23">
        <w:t xml:space="preserve">This value is consistent with the 30 m/h stated in the German technical standard VDI 3880:2011 </w:t>
      </w:r>
      <w:r w:rsidR="00A6198C" w:rsidRPr="00D84B23">
        <w:fldChar w:fldCharType="begin" w:fldLock="1"/>
      </w:r>
      <w:r w:rsidR="00015213" w:rsidRPr="00D84B23">
        <w:instrText>ADDIN CSL_CITATION {"citationItems":[{"id":"ITEM-1","itemData":{"author":[{"dropping-particle":"","family":"VDI","given":"","non-dropping-particle":"","parse-names":false,"suffix":""}],"id":"ITEM-1","issue":"0","issued":{"date-parts":[["2011"]]},"page":"0-25","title":"VDI 3880. Olfactometry - Static sampling","type":"article","volume":"31"},"uris":["http://www.mendeley.com/documents/?uuid=c8c8b05c-2016-4e64-9be8-84fced9e27a4"]}],"mendeley":{"formattedCitation":"(VDI, 2011)","plainTextFormattedCitation":"(VDI, 2011)","previouslyFormattedCitation":"(VDI, 2011)"},"properties":{"noteIndex":0},"schema":"https://github.com/citation-style-language/schema/raw/master/csl-citation.json"}</w:instrText>
      </w:r>
      <w:r w:rsidR="00A6198C" w:rsidRPr="00D84B23">
        <w:fldChar w:fldCharType="separate"/>
      </w:r>
      <w:r w:rsidR="00A6198C" w:rsidRPr="00D84B23">
        <w:rPr>
          <w:noProof/>
        </w:rPr>
        <w:t>(VDI, 2011)</w:t>
      </w:r>
      <w:r w:rsidR="00A6198C" w:rsidRPr="00D84B23">
        <w:fldChar w:fldCharType="end"/>
      </w:r>
      <w:r w:rsidR="00A6198C" w:rsidRPr="00D84B23">
        <w:t xml:space="preserve">. </w:t>
      </w:r>
      <w:r w:rsidRPr="00D84B23">
        <w:t>Considering this value within the collection surface of the WT, built according to the design illustrated in the attachments of Italian guidelines</w:t>
      </w:r>
      <w:r w:rsidR="00832BE6" w:rsidRPr="00D84B23">
        <w:t xml:space="preserve">, </w:t>
      </w:r>
      <w:r w:rsidRPr="00D84B23">
        <w:t>whose covered surface is 0.125 m</w:t>
      </w:r>
      <w:r w:rsidRPr="00D84B23">
        <w:rPr>
          <w:vertAlign w:val="superscript"/>
        </w:rPr>
        <w:t>2</w:t>
      </w:r>
      <w:r w:rsidRPr="00D84B23">
        <w:t xml:space="preserve"> </w:t>
      </w:r>
      <w:r w:rsidR="00A743F3" w:rsidRPr="00D84B23">
        <w:fldChar w:fldCharType="begin" w:fldLock="1"/>
      </w:r>
      <w:r w:rsidR="00832BE6" w:rsidRPr="00D84B23">
        <w:instrText>ADDIN CSL_CITATION {"citationItems":[{"id":"ITEM-1","itemData":{"DOI":"10.1016/j.watres.2009.01.022","ISSN":"00431354","PMID":"19232669","abstract":"In this study, the results of odour concentration measurements on different wastewater treatment plants are presented and used in order to estimate the odour emission factors relevant to single odour sources. An odour emission factor is a representative value that relates the quantity of odour released to the atmosphere to a specific activity index, which in this case was the plant treatment capacity, resulting in an odour emission factor expressed in odour units per cubic metre of treated sewage. The results show that the major odour source of a wastewater treatment plant is represented by the primary sedimentation (with an OEF equal to 1.9 × 105 ouE m-3). In general, the highest OEFs are observed in correspondence of the first steps of the wastewater depuration cycle (OEF between 1.1 × 104 ouE m-3 and 1.9 × 105 ouE m-3) and tend to decrease along the depuration process (OEF between 7.4 × 103 ouE m-3 and 4.3 × 104 ouE m-3). In general, the OEFs calculated according to this approach represent a model for a rough prediction of odour emissions independently from the specific characteristics of the different plants. © 2009 Elsevier Ltd. All rights reserved.","author":[{"dropping-particle":"","family":"Capelli","given":"Laura","non-dropping-particle":"","parse-names":false,"suffix":""},{"dropping-particle":"","family":"Sironi","given":"Selena","non-dropping-particle":"","parse-names":false,"suffix":""},{"dropping-particle":"","family":"Rosso","given":"Renato","non-dropping-particle":"Del","parse-names":false,"suffix":""},{"dropping-particle":"","family":"Céntola","given":"Paolo","non-dropping-particle":"","parse-names":false,"suffix":""}],"container-title":"Water Research","id":"ITEM-1","issue":"7","issued":{"date-parts":[["2009"]]},"page":"1977-1985","title":"Predicting odour emissions from wastewater treatment plants by means of odour emission factors","type":"article-journal","volume":"43"},"uris":["http://www.mendeley.com/documents/?uuid=4ffdbd07-f8de-4d17-b109-ecbb2c3723e7"]}],"mendeley":{"formattedCitation":"(Laura Capelli et al., 2009)","manualFormatting":"(","plainTextFormattedCitation":"(Laura Capelli et al., 2009)","previouslyFormattedCitation":"(Laura Capelli et al., 2009)"},"properties":{"noteIndex":0},"schema":"https://github.com/citation-style-language/schema/raw/master/csl-citation.json"}</w:instrText>
      </w:r>
      <w:r w:rsidR="00A743F3" w:rsidRPr="00D84B23">
        <w:fldChar w:fldCharType="separate"/>
      </w:r>
      <w:r w:rsidR="00A743F3" w:rsidRPr="00D84B23">
        <w:rPr>
          <w:noProof/>
        </w:rPr>
        <w:t>(</w:t>
      </w:r>
      <w:r w:rsidR="00A743F3" w:rsidRPr="00D84B23">
        <w:fldChar w:fldCharType="end"/>
      </w:r>
      <w:r w:rsidR="00A743F3" w:rsidRPr="00D84B23">
        <w:fldChar w:fldCharType="begin" w:fldLock="1"/>
      </w:r>
      <w:r w:rsidR="00832BE6" w:rsidRPr="00D84B23">
        <w:instrText>ADDIN CSL_CITATION {"citationItems":[{"id":"ITEM-1","itemData":{"author":[{"dropping-particle":"","family":"Ministero dell'Ambiente e della Sicurezza Energetica","given":"","non-dropping-particle":"","parse-names":false,"suffix":""}],"id":"ITEM-1","issued":{"date-parts":[["2023"]]},"title":"Allegato A.2 del decreto direttoriale n.309 del 28/06/2023 “Indirizzi per l’applicazione dell’articolo 272-bis del D.Lgs 152/2006 in materia di emissioni odorigene di impianti e attività”","type":"legislation"},"uris":["http://www.mendeley.com/documents/?uuid=0a8e5ac4-4c36-4b63-bf30-f60699e55e6a"]}],"mendeley":{"formattedCitation":"(Allegato A.2 Del Decreto Direttoriale n.309 Del 28/06/2023 “Indirizzi per l’applicazione Dell’articolo 272-Bis Del D.Lgs 152/2006 in Materia Di Emissioni Odorigene Di Impianti e Attività,” 2023)","manualFormatting":"MASE, 2023)","plainTextFormattedCitation":"(Allegato A.2 Del Decreto Direttoriale n.309 Del 28/06/2023 “Indirizzi per l’applicazione Dell’articolo 272-Bis Del D.Lgs 152/2006 in Materia Di Emissioni Odorigene Di Impianti e Attività,” 2023)","previouslyFormattedCitation":"(Allegato A.2 Del Decreto Direttoriale n.309 Del 28/06/2023 “Indirizzi per l’applicazione Dell’articolo 272-Bis Del D.Lgs 152/2006 in Materia Di Emissioni Odorigene Di Impianti e Attività,” 2023)"},"properties":{"noteIndex":0},"schema":"https://github.com/citation-style-language/schema/raw/master/csl-citation.json"}</w:instrText>
      </w:r>
      <w:r w:rsidR="00A743F3" w:rsidRPr="00D84B23">
        <w:fldChar w:fldCharType="separate"/>
      </w:r>
      <w:r w:rsidR="00A743F3" w:rsidRPr="00D84B23">
        <w:rPr>
          <w:noProof/>
        </w:rPr>
        <w:t>MASE, 2023)</w:t>
      </w:r>
      <w:r w:rsidR="00A743F3" w:rsidRPr="00D84B23">
        <w:fldChar w:fldCharType="end"/>
      </w:r>
      <w:r w:rsidRPr="00D84B23">
        <w:t xml:space="preserve">, a flow rate of 3600 L/h is obtained. The execution of a sampling on a passive area source involves the flow inside a dynamic hood of a known quantity of neutral gas, that has the aim to simulate the wind effect on the surface of the investigated source. </w:t>
      </w:r>
      <w:r w:rsidR="002E0EAA" w:rsidRPr="00D84B23">
        <w:t>The</w:t>
      </w:r>
      <w:r w:rsidRPr="00D84B23">
        <w:t xml:space="preserve"> </w:t>
      </w:r>
      <w:r w:rsidR="002E0EAA" w:rsidRPr="00D84B23">
        <w:t>Italian LS</w:t>
      </w:r>
      <w:r w:rsidRPr="00D84B23">
        <w:t>WT common</w:t>
      </w:r>
      <w:r w:rsidR="002E0EAA" w:rsidRPr="00D84B23">
        <w:t>ly</w:t>
      </w:r>
      <w:r w:rsidRPr="00D84B23">
        <w:t xml:space="preserve"> use a flow of 2500 L/h, which corresponds to a sweep velocity of 3 cm/s</w:t>
      </w:r>
      <w:r w:rsidR="00A17370" w:rsidRPr="00D84B23">
        <w:t>,</w:t>
      </w:r>
      <w:r w:rsidRPr="00D84B23">
        <w:t xml:space="preserve"> according to the geometry of the WT</w:t>
      </w:r>
      <w:r w:rsidR="00A743F3" w:rsidRPr="00D84B23">
        <w:t xml:space="preserve"> </w:t>
      </w:r>
      <w:r w:rsidR="00A743F3" w:rsidRPr="00D84B23">
        <w:fldChar w:fldCharType="begin" w:fldLock="1"/>
      </w:r>
      <w:r w:rsidR="001616C6" w:rsidRPr="00D84B23">
        <w:instrText>ADDIN CSL_CITATION {"citationItems":[{"id":"ITEM-1","itemData":{"DOI":"10.3303/CET2185022","ISBN":"9788895608839","ISSN":"22839216","abstract":"The characterization of passive liquid area sources for the study of Volatile Organic Compounds (VOCs) emission is a matter of great concern. The volatilization of these compounds, which very often cause odour annoyance, is a complex phenomenon, being potentially affected by different parameters. For instance, a parameter of great concern is represented by the wind velocity since the convective mechanism, promoted by the wind, represents the driving force of the emission. In view of this, the present paper aimed at investigating the influence of wind velocity on the emission rate of VOCs from liquid surfaces. In particular, acetone is selected as tested compound manly because of its high aqueous solubility. Using this approach, it is possible to test a wide range of concentrations and, consequently, to investigate whether the wind velocity influences the emission rate in a different way by changing the concentration in water. From this experimental study, it turns out that the investigated parameter does not significantly affect the emission when considering low concentrations of acetone (i.e. below 5 mL/L), whereas this dependence increases, not linearly, while increasing the concentration in liquid phase. Due to this, the approach suggested by the Italian guidelines to take into account a dependence of the odour emission rate on the square root of the wind velocity appears quite consistent with the experimental results obtained at higher concentrations, whereas in more diluted conditions the regulatory approach seems too conservative, with the risk of overestimating the emission rate excessively.","author":[{"dropping-particle":"","family":"Tagliaferri","given":"Francesca","non-dropping-particle":"","parse-names":false,"suffix":""},{"dropping-particle":"","family":"Invernizzi","given":"Marzio","non-dropping-particle":"","parse-names":false,"suffix":""},{"dropping-particle":"","family":"Sironi","given":"Selena","non-dropping-particle":"","parse-names":false,"suffix":""}],"container-title":"Chemical Engineering Transactions","id":"ITEM-1","issue":"December 2020","issued":{"date-parts":[["2021"]]},"page":"127-132","title":"Influence of wind velocity on the emission rate of acetone aqueous solution at different concentrations","type":"article-journal","volume":"85"},"uris":["http://www.mendeley.com/documents/?uuid=f5bd45bc-81f8-4899-8f14-30562412b944"]}],"mendeley":{"formattedCitation":"(Tagliaferri et al., 2021)","plainTextFormattedCitation":"(Tagliaferri et al., 2021)","previouslyFormattedCitation":"(Tagliaferri et al., 2021)"},"properties":{"noteIndex":0},"schema":"https://github.com/citation-style-language/schema/raw/master/csl-citation.json"}</w:instrText>
      </w:r>
      <w:r w:rsidR="00A743F3" w:rsidRPr="00D84B23">
        <w:fldChar w:fldCharType="separate"/>
      </w:r>
      <w:r w:rsidR="00A743F3" w:rsidRPr="00D84B23">
        <w:rPr>
          <w:noProof/>
        </w:rPr>
        <w:t>(Tagliaferri et al., 2021)</w:t>
      </w:r>
      <w:r w:rsidR="00A743F3" w:rsidRPr="00D84B23">
        <w:fldChar w:fldCharType="end"/>
      </w:r>
      <w:r w:rsidRPr="00D84B23">
        <w:t>. Observing the values of the involved</w:t>
      </w:r>
      <w:r w:rsidR="00A17370" w:rsidRPr="00D84B23">
        <w:t xml:space="preserve"> flows</w:t>
      </w:r>
      <w:r w:rsidRPr="00D84B23">
        <w:t>, it is possible to comprehend how the controlling emissive phenomenon is not strictly associated with the flow sent into the hood through the ventilation system, because of the comparability with the flow produced by the aeration system of the oxidation basin. In other words, assuming a borderline case of a</w:t>
      </w:r>
      <w:r w:rsidR="00EF2F15" w:rsidRPr="00D84B23">
        <w:t>n</w:t>
      </w:r>
      <w:r w:rsidRPr="00D84B23">
        <w:t xml:space="preserve"> </w:t>
      </w:r>
      <w:r w:rsidR="002E0EAA" w:rsidRPr="00D84B23">
        <w:t>aerated</w:t>
      </w:r>
      <w:r w:rsidRPr="00D84B23">
        <w:t xml:space="preserve"> </w:t>
      </w:r>
      <w:r w:rsidR="00EF2F15" w:rsidRPr="00D84B23">
        <w:t>basin</w:t>
      </w:r>
      <w:r w:rsidRPr="00D84B23">
        <w:t xml:space="preserve"> with an aeration flow inside the dynamic hood of 3600 L/h, the usage of a WT </w:t>
      </w:r>
      <w:r w:rsidR="00A17370" w:rsidRPr="00D84B23">
        <w:t>operated</w:t>
      </w:r>
      <w:r w:rsidRPr="00D84B23">
        <w:t xml:space="preserve"> with a</w:t>
      </w:r>
      <w:r w:rsidR="00BB1508" w:rsidRPr="00D84B23">
        <w:t xml:space="preserve"> gas</w:t>
      </w:r>
      <w:r w:rsidRPr="00D84B23">
        <w:t xml:space="preserve"> flow of 2500 L/h does not ensure a forced ventilation-controlled system.</w:t>
      </w:r>
      <w:r w:rsidR="00832BE6" w:rsidRPr="00D84B23">
        <w:t xml:space="preserve"> </w:t>
      </w:r>
      <w:r w:rsidRPr="00D84B23">
        <w:t>Based on these assumptions, the value present in the standard, chosen by convention, seems to be not entirely solid. Specifically, biological oxidation tanks can have specific surface aeration rates (SSAR) up to 50 m</w:t>
      </w:r>
      <w:r w:rsidRPr="00D84B23">
        <w:rPr>
          <w:vertAlign w:val="superscript"/>
        </w:rPr>
        <w:t>3</w:t>
      </w:r>
      <w:r w:rsidRPr="00D84B23">
        <w:t>/m</w:t>
      </w:r>
      <w:r w:rsidRPr="00D84B23">
        <w:rPr>
          <w:vertAlign w:val="superscript"/>
        </w:rPr>
        <w:t>2</w:t>
      </w:r>
      <w:r w:rsidRPr="00D84B23">
        <w:t>/h</w:t>
      </w:r>
      <w:r w:rsidR="001616C6" w:rsidRPr="00D84B23">
        <w:t xml:space="preserve"> </w:t>
      </w:r>
      <w:r w:rsidR="001616C6" w:rsidRPr="00D84B23">
        <w:fldChar w:fldCharType="begin" w:fldLock="1"/>
      </w:r>
      <w:r w:rsidR="001616C6" w:rsidRPr="00D84B23">
        <w:instrText>ADDIN CSL_CITATION {"citationItems":[{"id":"ITEM-1","itemData":{"DOI":"10.2166/wst.2008.222","ISSN":"02731223","PMID":"18469400","abstract":"The objective of this work was to analyse the impact of different geometric and operating parameters on the alpha factor value for fine bubble aeration systems equipped with EPDM membrane diffusers. Measurements have been performed on nitrifying plants operating under extended aeration and treating mainly domestic wastewater. Measurements performed on 14 nitrifying plants showed that, for domestic wastewater treatment under very low F/M ratios, the alpha factor is comprised between 0.44 and 0.98. A new composite variable (the Equivalent Contact Time, ECT) has been defined and makes it possible for a given aeration tank, knowing the MCRT, the clean water oxygen transfer coefficient and the supplied air flow rate, to predict the alpha factor value. ECT combines the effect on mass transfer of all generally accepted factors affecting oxygen transfer performances (air flow rate, diffuser submergence, horizontal flow). © IWA Publishing 2008.","author":[{"dropping-particle":"","family":"Gillot","given":"Sylvie","non-dropping-particle":"","parse-names":false,"suffix":""},{"dropping-particle":"","family":"Héduit","given":"Alain","non-dropping-particle":"","parse-names":false,"suffix":""}],"container-title":"Water Science and Technology","id":"ITEM-1","issue":"8","issued":{"date-parts":[["2008"]]},"page":"1265-1269","title":"Prediction of alpha factor values for fine pore aeration systems","type":"article-journal","volume":"57"},"uris":["http://www.mendeley.com/documents/?uuid=01d41964-8db5-499b-8672-ebeb02d6b6cb"]}],"mendeley":{"formattedCitation":"(Gillot &amp; Héduit, 2008)","manualFormatting":"(Gillot and Héduit, 2008)","plainTextFormattedCitation":"(Gillot &amp; Héduit, 2008)","previouslyFormattedCitation":"(Gillot &amp; Héduit, 2008)"},"properties":{"noteIndex":0},"schema":"https://github.com/citation-style-language/schema/raw/master/csl-citation.json"}</w:instrText>
      </w:r>
      <w:r w:rsidR="001616C6" w:rsidRPr="00D84B23">
        <w:fldChar w:fldCharType="separate"/>
      </w:r>
      <w:r w:rsidR="001616C6" w:rsidRPr="00D84B23">
        <w:rPr>
          <w:noProof/>
        </w:rPr>
        <w:t>(Gillot and Héduit, 2008)</w:t>
      </w:r>
      <w:r w:rsidR="001616C6" w:rsidRPr="00D84B23">
        <w:fldChar w:fldCharType="end"/>
      </w:r>
      <w:r w:rsidRPr="00D84B23">
        <w:t>. On the other hand, it is recurrent that, based on the criterion established by the standard, most of them can be formally classified as a passive a</w:t>
      </w:r>
      <w:r w:rsidR="00EF2F15" w:rsidRPr="00D84B23">
        <w:t>rea</w:t>
      </w:r>
      <w:r w:rsidRPr="00D84B23">
        <w:t xml:space="preserve"> source; therefore, the sampling should be carried out using a dynamic hood. However, the utili</w:t>
      </w:r>
      <w:r w:rsidR="00A17370" w:rsidRPr="00D84B23">
        <w:t>s</w:t>
      </w:r>
      <w:r w:rsidRPr="00D84B23">
        <w:t>ation of an additional flow, i.e. the</w:t>
      </w:r>
      <w:r w:rsidR="00D31D41" w:rsidRPr="00D84B23">
        <w:t xml:space="preserve"> gas </w:t>
      </w:r>
      <w:r w:rsidRPr="00D84B23">
        <w:t>flow necessary to operate a WT, would not be the controlling element of the system, because it could potentially be smaller than the value of the aeration system flow rate.</w:t>
      </w:r>
    </w:p>
    <w:p w14:paraId="4F49C397" w14:textId="0282DDE9" w:rsidR="00DF616F" w:rsidRPr="00D84B23" w:rsidRDefault="009A07CA" w:rsidP="009A07CA">
      <w:pPr>
        <w:pStyle w:val="CETBodytext"/>
      </w:pPr>
      <w:r w:rsidRPr="00D84B23">
        <w:t>The goal of this work is to critically highlight the weak points of the characteri</w:t>
      </w:r>
      <w:r w:rsidR="00C22765" w:rsidRPr="00D84B23">
        <w:t>s</w:t>
      </w:r>
      <w:r w:rsidRPr="00D84B23">
        <w:t>ation of surface sources based on the experience of real field situations, exposing the various evaluation</w:t>
      </w:r>
      <w:r w:rsidR="00A17370" w:rsidRPr="00D84B23">
        <w:t>s</w:t>
      </w:r>
      <w:r w:rsidRPr="00D84B23">
        <w:t xml:space="preserve"> that must be considered to choose the most suitable approach for sampling and characteri</w:t>
      </w:r>
      <w:r w:rsidR="00D31D41" w:rsidRPr="00D84B23">
        <w:t>s</w:t>
      </w:r>
      <w:r w:rsidRPr="00D84B23">
        <w:t>ing an area emission source. The importance of this exposure is also evidenced by a recent regulatory advance in Italy with the introduction of the national decree on odour sources monitoring and control</w:t>
      </w:r>
      <w:r w:rsidR="00D57D4C" w:rsidRPr="00D84B23">
        <w:t xml:space="preserve"> </w:t>
      </w:r>
      <w:r w:rsidR="00D57D4C" w:rsidRPr="00D84B23">
        <w:fldChar w:fldCharType="begin" w:fldLock="1"/>
      </w:r>
      <w:r w:rsidR="00832BE6" w:rsidRPr="00D84B23">
        <w:instrText>ADDIN CSL_CITATION {"citationItems":[{"id":"ITEM-1","itemData":{"DOI":"10.1016/j.envpol.2024.123525","ISSN":"02697491","author":[{"dropping-particle":"","family":"Settimo","given":"Gaetano","non-dropping-particle":"","parse-names":false,"suffix":""},{"dropping-particle":"","family":"Avino","given":"Pasquale","non-dropping-particle":"","parse-names":false,"suffix":""}],"container-title":"Environmental Pollution","id":"ITEM-1","issued":{"date-parts":[["2024"]]},"page":"123525","publisher":"Elsevier Ltd","title":"State-of-art of the legislation on odour emissions with a focus on the Italian studies","type":"article-journal"},"uris":["http://www.mendeley.com/documents/?uuid=146eaced-3770-4f54-afe0-790874789a6b"]}],"mendeley":{"formattedCitation":"(Settimo &amp; Avino, 2024)","manualFormatting":"(Settimo and Avino, 2024)","plainTextFormattedCitation":"(Settimo &amp; Avino, 2024)","previouslyFormattedCitation":"(Settimo &amp; Avino, 2024)"},"properties":{"noteIndex":0},"schema":"https://github.com/citation-style-language/schema/raw/master/csl-citation.json"}</w:instrText>
      </w:r>
      <w:r w:rsidR="00D57D4C" w:rsidRPr="00D84B23">
        <w:fldChar w:fldCharType="separate"/>
      </w:r>
      <w:r w:rsidR="00D57D4C" w:rsidRPr="00D84B23">
        <w:rPr>
          <w:noProof/>
        </w:rPr>
        <w:t>(Settimo and Avino, 2024)</w:t>
      </w:r>
      <w:r w:rsidR="00D57D4C" w:rsidRPr="00D84B23">
        <w:fldChar w:fldCharType="end"/>
      </w:r>
      <w:r w:rsidR="001D3151" w:rsidRPr="00D84B23">
        <w:t>.</w:t>
      </w:r>
    </w:p>
    <w:p w14:paraId="30F2B93D" w14:textId="4FAE641F" w:rsidR="00B35A63" w:rsidRPr="00D84B23" w:rsidRDefault="00813E90" w:rsidP="00E52305">
      <w:pPr>
        <w:pStyle w:val="CETHeading1"/>
        <w:rPr>
          <w:lang w:val="en-GB"/>
        </w:rPr>
      </w:pPr>
      <w:r w:rsidRPr="00D84B23">
        <w:rPr>
          <w:lang w:val="en-GB"/>
        </w:rPr>
        <w:t xml:space="preserve">State of </w:t>
      </w:r>
      <w:r w:rsidR="00A17370" w:rsidRPr="00D84B23">
        <w:rPr>
          <w:lang w:val="en-GB"/>
        </w:rPr>
        <w:t xml:space="preserve">the </w:t>
      </w:r>
      <w:r w:rsidRPr="00D84B23">
        <w:rPr>
          <w:lang w:val="en-GB"/>
        </w:rPr>
        <w:t xml:space="preserve">art of </w:t>
      </w:r>
      <w:r w:rsidR="00E52305" w:rsidRPr="00D84B23">
        <w:rPr>
          <w:lang w:val="en-GB"/>
        </w:rPr>
        <w:t xml:space="preserve">passive </w:t>
      </w:r>
      <w:r w:rsidRPr="00D84B23">
        <w:rPr>
          <w:lang w:val="en-GB"/>
        </w:rPr>
        <w:t>surface sources</w:t>
      </w:r>
      <w:r w:rsidR="00A86857" w:rsidRPr="00D84B23">
        <w:rPr>
          <w:lang w:val="en-GB"/>
        </w:rPr>
        <w:t xml:space="preserve"> sampling</w:t>
      </w:r>
    </w:p>
    <w:p w14:paraId="465E6B29" w14:textId="6FABF997" w:rsidR="009A07CA" w:rsidRPr="00D84B23" w:rsidRDefault="00891828" w:rsidP="001071B5">
      <w:pPr>
        <w:pStyle w:val="CETBodytext"/>
      </w:pPr>
      <w:r w:rsidRPr="00D84B23">
        <w:t xml:space="preserve">Basins within a </w:t>
      </w:r>
      <w:r w:rsidR="00A17370" w:rsidRPr="00D84B23">
        <w:t>wastewater treatment plant</w:t>
      </w:r>
      <w:r w:rsidRPr="00D84B23">
        <w:t>, lagoons and landfill soil fall under this category of emissions</w:t>
      </w:r>
      <w:r w:rsidR="002C3B69" w:rsidRPr="00D84B23">
        <w:t>.</w:t>
      </w:r>
      <w:r w:rsidRPr="00D84B23">
        <w:t xml:space="preserve"> </w:t>
      </w:r>
      <w:r w:rsidR="002C3B69" w:rsidRPr="00D84B23">
        <w:t>F</w:t>
      </w:r>
      <w:r w:rsidR="001071B5" w:rsidRPr="00D84B23">
        <w:t xml:space="preserve">or instance, primary and secondary settlement tanks, </w:t>
      </w:r>
      <w:r w:rsidR="002C3B69" w:rsidRPr="00D84B23">
        <w:t xml:space="preserve">aerated and </w:t>
      </w:r>
      <w:r w:rsidR="001071B5" w:rsidRPr="00D84B23">
        <w:t xml:space="preserve">non-aerated sequencing batch reactors and </w:t>
      </w:r>
      <w:r w:rsidR="002C3B69" w:rsidRPr="00D84B23">
        <w:t>compost heaps</w:t>
      </w:r>
      <w:r w:rsidR="001071B5" w:rsidRPr="00D84B23">
        <w:t xml:space="preserve"> represent</w:t>
      </w:r>
      <w:r w:rsidR="00D7707F" w:rsidRPr="00D84B23">
        <w:t xml:space="preserve"> some examples of</w:t>
      </w:r>
      <w:r w:rsidR="001071B5" w:rsidRPr="00D84B23">
        <w:t xml:space="preserve"> passive surface </w:t>
      </w:r>
      <w:r w:rsidR="00A17370" w:rsidRPr="00D84B23">
        <w:t>sources</w:t>
      </w:r>
      <w:r w:rsidR="001071B5" w:rsidRPr="00D84B23">
        <w:t xml:space="preserve">. </w:t>
      </w:r>
      <w:r w:rsidRPr="00D84B23">
        <w:t>Typically,</w:t>
      </w:r>
      <w:r w:rsidR="002C3B69" w:rsidRPr="00D84B23">
        <w:t xml:space="preserve"> these </w:t>
      </w:r>
      <w:r w:rsidR="00C21913" w:rsidRPr="00D84B23">
        <w:t xml:space="preserve">emissions are devoid of </w:t>
      </w:r>
      <w:r w:rsidR="005C37C9" w:rsidRPr="00D84B23">
        <w:t>an</w:t>
      </w:r>
      <w:r w:rsidRPr="00D84B23">
        <w:t xml:space="preserve"> outward </w:t>
      </w:r>
      <w:r w:rsidR="002C3B69" w:rsidRPr="00D84B23">
        <w:t>airflow,</w:t>
      </w:r>
      <w:r w:rsidRPr="00D84B23">
        <w:t xml:space="preserve"> or it</w:t>
      </w:r>
      <w:r w:rsidR="005C37C9" w:rsidRPr="00D84B23">
        <w:t xml:space="preserve"> i</w:t>
      </w:r>
      <w:r w:rsidRPr="00D84B23">
        <w:t>s minimal, with an exit velocity below 0.008 m/s. Comprehending the emission mechanism is complex, drawing attention from the scientific community</w:t>
      </w:r>
      <w:r w:rsidR="00105F08" w:rsidRPr="00D84B23">
        <w:t xml:space="preserve"> </w:t>
      </w:r>
      <w:r w:rsidR="00105F08" w:rsidRPr="00D84B23">
        <w:fldChar w:fldCharType="begin" w:fldLock="1"/>
      </w:r>
      <w:r w:rsidR="00FA7D4F" w:rsidRPr="00D84B23">
        <w:instrText>ADDIN CSL_CITATION {"citationItems":[{"id":"ITEM-1","itemData":{"DOI":"10.1016/j.jenvman.2022.115290","ISSN":"10958630","PMID":"35640405","abstract":"As a by-product of wastewater treatment, biosolids are a source of volatile emissions which can lead to community complaints due to odours and other pollution risks. Sampling methods play a significant role in collecting gas emissions from biosolids-related sources (i.e., pure biosolids, landfilling, land application and composting of biosolids). Though a range of different sampling techniques (flux hood, wind tunnel, static chamber, headspace devices) have been explored in many published papers, the management and best practice for sampling emissions from biosolids is unclear. This paper presents a comprehensive review of sampling methods for collecting gaseous emissions from biosolids. To account for the inconsistent terminologies used to describe sampling devices, a standard nomenclature by grouping sampling devices into five categories was proposed. Literature investigating emission sampling from biosolids-related sources was reviewed. Subsequently a critical analysis of sampling methods in terms of design, advantages, and disadvantages were compiled based on literature findings and assumed mechanistic understanding of operation. Key operational factors such as the presence of fans, purge gas flow rates, insertion depth, and incubation conditions were identified and their level of influence on the measurement of emissions were evaluated. From the review, there are still knowledge gaps regarding sampling methods used to collect gases from biosolids-related sources. Therefore, a framework for the management of emission sampling methodologies based on common sampling purposes was proposed. This critical review is expected to improve the understanding of sampling methodologies used in biosolids-related sources, by demonstrating the potential implications and impacts due to different choices in sampling methods.","author":[{"dropping-particle":"","family":"Liu","given":"Lisha","non-dropping-particle":"","parse-names":false,"suffix":""},{"dropping-particle":"","family":"Abdala Prata Junior","given":"Ademir","non-dropping-particle":"","parse-names":false,"suffix":""},{"dropping-particle":"","family":"Fisher","given":"Ruth M.","non-dropping-particle":"","parse-names":false,"suffix":""},{"dropping-particle":"","family":"Stuetz","given":"Richard M.","non-dropping-particle":"","parse-names":false,"suffix":""}],"container-title":"Journal of Environmental Management","id":"ITEM-1","issue":"May","issued":{"date-parts":[["2022"]]},"page":"115290","publisher":"Elsevier Ltd","title":"Measuring volatile emissions from biosolids: A critical review on sampling methods","type":"article-journal","volume":"317"},"uris":["http://www.mendeley.com/documents/?uuid=4cad694d-1e33-4c88-b1c7-b7052376bcfb"]}],"mendeley":{"formattedCitation":"(Liu et al., 2022)","plainTextFormattedCitation":"(Liu et al., 2022)","previouslyFormattedCitation":"(Liu et al., 2022)"},"properties":{"noteIndex":0},"schema":"https://github.com/citation-style-language/schema/raw/master/csl-citation.json"}</w:instrText>
      </w:r>
      <w:r w:rsidR="00105F08" w:rsidRPr="00D84B23">
        <w:fldChar w:fldCharType="separate"/>
      </w:r>
      <w:r w:rsidR="00105F08" w:rsidRPr="00D84B23">
        <w:rPr>
          <w:noProof/>
        </w:rPr>
        <w:t>(Liu et al., 2022)</w:t>
      </w:r>
      <w:r w:rsidR="00105F08" w:rsidRPr="00D84B23">
        <w:fldChar w:fldCharType="end"/>
      </w:r>
      <w:r w:rsidR="009A07CA" w:rsidRPr="00D84B23">
        <w:t>.</w:t>
      </w:r>
    </w:p>
    <w:p w14:paraId="00991CC7" w14:textId="16200801" w:rsidR="00393238" w:rsidRPr="00D84B23" w:rsidRDefault="00363204" w:rsidP="009A07CA">
      <w:pPr>
        <w:pStyle w:val="CETBodytext"/>
      </w:pPr>
      <w:r w:rsidRPr="00D84B23">
        <w:t xml:space="preserve">In general, </w:t>
      </w:r>
      <w:r w:rsidR="00CD68B9" w:rsidRPr="00D84B23">
        <w:t>the most widely used sampling device within the scientific community to characteri</w:t>
      </w:r>
      <w:r w:rsidR="00A56025">
        <w:t>s</w:t>
      </w:r>
      <w:r w:rsidR="00CD68B9" w:rsidRPr="00D84B23">
        <w:t xml:space="preserve">e the passive surface emissions is the WT. </w:t>
      </w:r>
      <w:r w:rsidR="00A17370" w:rsidRPr="00D84B23">
        <w:t>However</w:t>
      </w:r>
      <w:r w:rsidR="00CD68B9" w:rsidRPr="00D84B23">
        <w:t>,</w:t>
      </w:r>
      <w:r w:rsidRPr="00D84B23">
        <w:t xml:space="preserve"> </w:t>
      </w:r>
      <w:r w:rsidR="00CD68B9" w:rsidRPr="00D84B23">
        <w:t>the</w:t>
      </w:r>
      <w:r w:rsidRPr="00D84B23">
        <w:t xml:space="preserve"> </w:t>
      </w:r>
      <w:r w:rsidR="002F71F1" w:rsidRPr="00D84B23">
        <w:t>European standard for olfactometry</w:t>
      </w:r>
      <w:r w:rsidR="00891828" w:rsidRPr="00D84B23">
        <w:t xml:space="preserve"> </w:t>
      </w:r>
      <w:r w:rsidR="005C37C9" w:rsidRPr="00D84B23">
        <w:t>does not fix</w:t>
      </w:r>
      <w:r w:rsidR="00891828" w:rsidRPr="00D84B23">
        <w:t xml:space="preserve"> specific rules for </w:t>
      </w:r>
      <w:r w:rsidR="00CD68B9" w:rsidRPr="00D84B23">
        <w:t xml:space="preserve">treating and </w:t>
      </w:r>
      <w:r w:rsidR="00891828" w:rsidRPr="00D84B23">
        <w:t xml:space="preserve">sampling passive area sources, which face unstable conditions and uncertainties due to various influencing factors </w:t>
      </w:r>
      <w:r w:rsidR="009A07CA" w:rsidRPr="00D84B23">
        <w:t xml:space="preserve">(i.e. meteorological and physical). </w:t>
      </w:r>
      <w:r w:rsidR="00A17370" w:rsidRPr="00D84B23">
        <w:t>The standard</w:t>
      </w:r>
      <w:r w:rsidR="00891828" w:rsidRPr="00D84B23">
        <w:t xml:space="preserve"> suggests </w:t>
      </w:r>
      <w:r w:rsidR="00A17370" w:rsidRPr="00D84B23">
        <w:t xml:space="preserve">the use of </w:t>
      </w:r>
      <w:r w:rsidR="00891828" w:rsidRPr="00D84B23">
        <w:t>direct measurement methods</w:t>
      </w:r>
      <w:r w:rsidR="00A17370" w:rsidRPr="00D84B23">
        <w:t>,</w:t>
      </w:r>
      <w:r w:rsidR="00891828" w:rsidRPr="00D84B23">
        <w:t xml:space="preserve"> like a dynamic hood, </w:t>
      </w:r>
      <w:r w:rsidR="00A17370" w:rsidRPr="00D84B23">
        <w:t xml:space="preserve">operated with a </w:t>
      </w:r>
      <w:r w:rsidR="00C22765" w:rsidRPr="00D84B23">
        <w:t>low-</w:t>
      </w:r>
      <w:r w:rsidR="00891828" w:rsidRPr="00D84B23">
        <w:t>sweep air velocity</w:t>
      </w:r>
      <w:r w:rsidR="009A07CA" w:rsidRPr="00D84B23">
        <w:t xml:space="preserve">. The number of samples that should be collected </w:t>
      </w:r>
      <w:r w:rsidR="00A17370" w:rsidRPr="00D84B23">
        <w:t xml:space="preserve">is </w:t>
      </w:r>
      <w:r w:rsidR="009A07CA" w:rsidRPr="00D84B23">
        <w:t>not clearly declared</w:t>
      </w:r>
      <w:r w:rsidR="005E0BAB" w:rsidRPr="00D84B23">
        <w:t xml:space="preserve">, but </w:t>
      </w:r>
      <w:r w:rsidR="00A17370" w:rsidRPr="00D84B23">
        <w:t>they must be</w:t>
      </w:r>
      <w:r w:rsidR="005E0BAB" w:rsidRPr="00D84B23">
        <w:t xml:space="preserve"> representative </w:t>
      </w:r>
      <w:r w:rsidR="00A17370" w:rsidRPr="00D84B23">
        <w:t xml:space="preserve">for </w:t>
      </w:r>
      <w:r w:rsidR="005E0BAB" w:rsidRPr="00D84B23">
        <w:t>the entire area</w:t>
      </w:r>
      <w:r w:rsidR="009A07CA" w:rsidRPr="00D84B23">
        <w:t xml:space="preserve">. Factors such as the homogeneity </w:t>
      </w:r>
      <w:r w:rsidR="005E0BAB" w:rsidRPr="00D84B23">
        <w:t>o</w:t>
      </w:r>
      <w:r w:rsidR="009A07CA" w:rsidRPr="00D84B23">
        <w:t xml:space="preserve">f the emissive area or </w:t>
      </w:r>
      <w:r w:rsidR="00A17370" w:rsidRPr="00D84B23">
        <w:t xml:space="preserve">the </w:t>
      </w:r>
      <w:r w:rsidR="009A07CA" w:rsidRPr="00D84B23">
        <w:t>presence of foams should be considered during the organisation of the sampling plan.</w:t>
      </w:r>
      <w:r w:rsidR="00015213" w:rsidRPr="00D84B23">
        <w:t xml:space="preserve"> </w:t>
      </w:r>
      <w:r w:rsidR="009A07CA" w:rsidRPr="00D84B23">
        <w:t>If it</w:t>
      </w:r>
      <w:r w:rsidR="00A17370" w:rsidRPr="00D84B23">
        <w:t xml:space="preserve"> would be used</w:t>
      </w:r>
      <w:r w:rsidR="009A07CA" w:rsidRPr="00D84B23">
        <w:t xml:space="preserve"> a </w:t>
      </w:r>
      <w:r w:rsidR="007F4AF2" w:rsidRPr="00D84B23">
        <w:t>WT</w:t>
      </w:r>
      <w:r w:rsidR="009A07CA" w:rsidRPr="00D84B23">
        <w:t xml:space="preserve"> sampling method, the EN 13725:2022 provides some consideration from scientific literature that should be </w:t>
      </w:r>
      <w:r w:rsidR="00643059" w:rsidRPr="00D84B23">
        <w:t>considered</w:t>
      </w:r>
      <w:r w:rsidR="009A07CA" w:rsidRPr="00D84B23">
        <w:t xml:space="preserve">. Specifically, it shall be to guarantee a laminar flow regime inside the hood and a low sweep air velocity. </w:t>
      </w:r>
      <w:r w:rsidR="000166F3" w:rsidRPr="00D84B23">
        <w:t>Consequently,</w:t>
      </w:r>
      <w:r w:rsidR="009A07CA" w:rsidRPr="00D84B23">
        <w:t xml:space="preserve"> the design of </w:t>
      </w:r>
      <w:r w:rsidR="00D14DF5" w:rsidRPr="00D84B23">
        <w:t xml:space="preserve">the </w:t>
      </w:r>
      <w:r w:rsidR="009A07CA" w:rsidRPr="00D84B23">
        <w:t xml:space="preserve">dynamic hood is fundamental to obtain these conditions </w:t>
      </w:r>
      <w:r w:rsidR="007F4AF2" w:rsidRPr="00D84B23">
        <w:fldChar w:fldCharType="begin" w:fldLock="1"/>
      </w:r>
      <w:r w:rsidR="00A11C58" w:rsidRPr="00D84B23">
        <w:instrText>ADDIN CSL_CITATION {"citationItems":[{"id":"ITEM-1","itemData":{"DOI":"10.2166/wst.2009.123","ISSN":"02731223","PMID":"19403975","abstract":"The aim of this study is to describe the methods adopted for the design and the experimental validation of a wind tunnel, a sampling system suitable for the collection of gaseous samples on passive area sources, which allows to simulate wind action on the surface to be monitored. The first step of the work was the study of the air velocity profiles. The second step of the work consisted in the validation of the sampling system. For this purpose, the odour concentration of some air samples collected by means of the wind tunnel was measured by dynamic olfactometry. The results of the air velocity measurements show that the wind tunnel design features enabled the achievement of a uniform and homogeneous air flow through the hood. Moreover, the laboratory tests showed a very good correspondence between the odour concentration values measured at the wind tunnel outlet and the odour concentration values predicted by the application of a specific volatilization model, based on the Prandtl boundary layer theory. The agreement between experimental and theoretical trends demonstrate that the studied wind tunnel represents a suitable sampling system for the simulation of specific odour emission rates from liquid area sources without outward flow.","author":[{"dropping-particle":"","family":"Capelli","given":"L.","non-dropping-particle":"","parse-names":false,"suffix":""},{"dropping-particle":"","family":"Sironi","given":"S.","non-dropping-particle":"","parse-names":false,"suffix":""},{"dropping-particle":"","family":"Rosso","given":"R.","non-dropping-particle":"Del","parse-names":false,"suffix":""},{"dropping-particle":"","family":"Céntola","given":"P.","non-dropping-particle":"","parse-names":false,"suffix":""}],"container-title":"Water Science and Technology","id":"ITEM-1","issue":"8","issued":{"date-parts":[["2009"]]},"page":"1611-1620","title":"Design and validation of a wind tunnel system for odour sampling on liquid area sources","type":"article-journal","volume":"59"},"uris":["http://www.mendeley.com/documents/?uuid=06fd368b-d0b4-4ec4-8ccf-ba14a11b3328"]}],"mendeley":{"formattedCitation":"(L. Capelli et al., 2009)","manualFormatting":"(Capelli et al., 2009)","plainTextFormattedCitation":"(L. Capelli et al., 2009)","previouslyFormattedCitation":"(L. Capelli et al., 2009)"},"properties":{"noteIndex":0},"schema":"https://github.com/citation-style-language/schema/raw/master/csl-citation.json"}</w:instrText>
      </w:r>
      <w:r w:rsidR="007F4AF2" w:rsidRPr="00D84B23">
        <w:fldChar w:fldCharType="separate"/>
      </w:r>
      <w:r w:rsidR="007F4AF2" w:rsidRPr="00D84B23">
        <w:rPr>
          <w:noProof/>
        </w:rPr>
        <w:t>(Capelli et al., 2009</w:t>
      </w:r>
      <w:r w:rsidR="00010A07">
        <w:rPr>
          <w:noProof/>
        </w:rPr>
        <w:t>a</w:t>
      </w:r>
      <w:r w:rsidR="007F4AF2" w:rsidRPr="00D84B23">
        <w:rPr>
          <w:noProof/>
        </w:rPr>
        <w:t>)</w:t>
      </w:r>
      <w:r w:rsidR="007F4AF2" w:rsidRPr="00D84B23">
        <w:fldChar w:fldCharType="end"/>
      </w:r>
      <w:r w:rsidR="009A07CA" w:rsidRPr="00D84B23">
        <w:t>.</w:t>
      </w:r>
      <w:r w:rsidR="0058561B" w:rsidRPr="00D84B23">
        <w:t xml:space="preserve"> </w:t>
      </w:r>
      <w:r w:rsidR="00B805AC" w:rsidRPr="00D84B23">
        <w:t>However</w:t>
      </w:r>
      <w:r w:rsidR="0058561B" w:rsidRPr="00D84B23">
        <w:t xml:space="preserve">, the EN 13725:2022 does not </w:t>
      </w:r>
      <w:r w:rsidR="00B805AC" w:rsidRPr="00D84B23">
        <w:t xml:space="preserve">mention </w:t>
      </w:r>
      <w:r w:rsidR="0058561B" w:rsidRPr="00D84B23">
        <w:t>any</w:t>
      </w:r>
      <w:r w:rsidR="00B805AC" w:rsidRPr="00D84B23">
        <w:t>thing</w:t>
      </w:r>
      <w:r w:rsidR="00CD3B7E" w:rsidRPr="00D84B23">
        <w:t xml:space="preserve"> </w:t>
      </w:r>
      <w:r w:rsidR="0058561B" w:rsidRPr="00D84B23">
        <w:t xml:space="preserve">regarding </w:t>
      </w:r>
      <w:r w:rsidR="00CD3B7E" w:rsidRPr="00D84B23">
        <w:t>the</w:t>
      </w:r>
      <w:r w:rsidR="0058561B" w:rsidRPr="00D84B23">
        <w:t xml:space="preserve"> estimation of </w:t>
      </w:r>
      <w:r w:rsidR="00CD3B7E" w:rsidRPr="00D84B23">
        <w:t xml:space="preserve">the </w:t>
      </w:r>
      <w:r w:rsidR="0058561B" w:rsidRPr="00D84B23">
        <w:t xml:space="preserve">OER for this </w:t>
      </w:r>
      <w:r w:rsidR="00CD3B7E" w:rsidRPr="00D84B23">
        <w:t>typology</w:t>
      </w:r>
      <w:r w:rsidR="0058561B" w:rsidRPr="00D84B23">
        <w:t xml:space="preserve"> of emissions.</w:t>
      </w:r>
    </w:p>
    <w:p w14:paraId="269E6DDC" w14:textId="23CA3604" w:rsidR="009A07CA" w:rsidRPr="00D84B23" w:rsidRDefault="0058561B" w:rsidP="009A07CA">
      <w:pPr>
        <w:pStyle w:val="CETBodytext"/>
      </w:pPr>
      <w:r w:rsidRPr="00D84B23">
        <w:t>Making a</w:t>
      </w:r>
      <w:r w:rsidR="00FA7D4F" w:rsidRPr="00D84B23">
        <w:t xml:space="preserve"> comparison </w:t>
      </w:r>
      <w:r w:rsidRPr="00D84B23">
        <w:t>between</w:t>
      </w:r>
      <w:r w:rsidR="00FA7D4F" w:rsidRPr="00D84B23">
        <w:t xml:space="preserve"> the German and Italian guidelines</w:t>
      </w:r>
      <w:r w:rsidRPr="00D84B23">
        <w:t xml:space="preserve">, </w:t>
      </w:r>
      <w:r w:rsidR="00D14DF5" w:rsidRPr="00D84B23">
        <w:t>some</w:t>
      </w:r>
      <w:r w:rsidR="00FA7D4F" w:rsidRPr="00D84B23">
        <w:t xml:space="preserve"> similarities</w:t>
      </w:r>
      <w:r w:rsidR="00D14DF5" w:rsidRPr="00D84B23">
        <w:t xml:space="preserve"> appear</w:t>
      </w:r>
      <w:r w:rsidR="00FA7D4F" w:rsidRPr="00D84B23">
        <w:t xml:space="preserve"> in sampling principles and OER </w:t>
      </w:r>
      <w:r w:rsidR="00400F66" w:rsidRPr="00D84B23">
        <w:t xml:space="preserve">evaluation </w:t>
      </w:r>
      <w:r w:rsidR="00FA7D4F" w:rsidRPr="00D84B23">
        <w:t>methodology</w:t>
      </w:r>
      <w:r w:rsidR="00400F66" w:rsidRPr="00D84B23">
        <w:t>,</w:t>
      </w:r>
      <w:r w:rsidR="00FA7D4F" w:rsidRPr="00D84B23">
        <w:t xml:space="preserve"> but differences in hood design and operational parameters</w:t>
      </w:r>
      <w:r w:rsidR="009A07CA" w:rsidRPr="00D84B23">
        <w:t xml:space="preserve">. </w:t>
      </w:r>
      <w:r w:rsidR="00FA7D4F" w:rsidRPr="00D84B23">
        <w:t>The</w:t>
      </w:r>
      <w:r w:rsidR="009A07CA" w:rsidRPr="00D84B23">
        <w:t xml:space="preserve"> </w:t>
      </w:r>
      <w:r w:rsidR="009A07CA" w:rsidRPr="00D84B23">
        <w:lastRenderedPageBreak/>
        <w:t>German dynamic hood is like a rectangular duct with</w:t>
      </w:r>
      <w:r w:rsidR="00D14DF5" w:rsidRPr="00D84B23">
        <w:t xml:space="preserve"> a</w:t>
      </w:r>
      <w:r w:rsidR="009A07CA" w:rsidRPr="00D84B23">
        <w:t xml:space="preserve"> specific </w:t>
      </w:r>
      <w:r w:rsidR="00FA7D4F" w:rsidRPr="00D84B23">
        <w:t>covered area (0.5 m</w:t>
      </w:r>
      <w:r w:rsidR="00FA7D4F" w:rsidRPr="00D84B23">
        <w:rPr>
          <w:vertAlign w:val="superscript"/>
        </w:rPr>
        <w:t>2</w:t>
      </w:r>
      <w:r w:rsidR="00FA7D4F" w:rsidRPr="00D84B23">
        <w:t>)</w:t>
      </w:r>
      <w:r w:rsidR="00400F66" w:rsidRPr="00D84B23">
        <w:t xml:space="preserve"> and</w:t>
      </w:r>
      <w:r w:rsidR="00FA7D4F" w:rsidRPr="00D84B23">
        <w:t xml:space="preserve"> </w:t>
      </w:r>
      <w:r w:rsidR="00400F66" w:rsidRPr="00D84B23">
        <w:t>it is exerted</w:t>
      </w:r>
      <w:r w:rsidR="00FA7D4F" w:rsidRPr="00D84B23">
        <w:t xml:space="preserve"> at </w:t>
      </w:r>
      <w:r w:rsidR="00400F66" w:rsidRPr="00D84B23">
        <w:t xml:space="preserve">a </w:t>
      </w:r>
      <w:r w:rsidR="00FA7D4F" w:rsidRPr="00D84B23">
        <w:t>fixed mean flow velocity (6.4 cm/s)</w:t>
      </w:r>
      <w:r w:rsidR="009A07CA" w:rsidRPr="00D84B23">
        <w:t xml:space="preserve">, while the Italian one, </w:t>
      </w:r>
      <w:r w:rsidR="00FA7D4F" w:rsidRPr="00D84B23">
        <w:t>operated in a range of low sweep air velocity</w:t>
      </w:r>
      <w:r w:rsidR="002E0EAA" w:rsidRPr="00D84B23">
        <w:t xml:space="preserve"> </w:t>
      </w:r>
      <w:r w:rsidR="002E0EAA" w:rsidRPr="00D84B23">
        <w:fldChar w:fldCharType="begin" w:fldLock="1"/>
      </w:r>
      <w:r w:rsidR="002E0EAA" w:rsidRPr="00D84B23">
        <w:instrText>ADDIN CSL_CITATION {"citationItems":[{"id":"ITEM-1","itemData":{"DOI":"10.2166/wst.2004.0220","ISSN":"02731223","PMID":"15484743","abstract":"The determination of the odour mass flow emitted from a source is a very important step and forms the basis for all subsequent considerations and calculations. Wastewater treatment plants, as well as waste treatment facilities, consist of different kinds of odour sources. Unfortunately, most of the sources are passive sources, where no outward air flow-rate can be measured, but where odorants are obviously emitted. Thus, a type of sampling is required that allows to measure the emitted odour flow-rate (OFR). To achieve this, different methods are in use worldwide. Besides indirect methods, such as micrometeorological atmospheric dispersion models, which have not been used in Germany (in other countries due to different problems, direct methods are also used). Direct measurements include hood methods, commonly divided into static flux chambers, dynamic flux chambers and wind tunnels. The wind tunnel that we have been operating in principle since 1983 is different from all subsequent presented wind tunnels, in that we operate it at a considerably lower wind speed than the others. To describe the behaviour of this wind tunnel, measurement of the flow pattern in this low-speed tunnel are under way, and some initial results are presented here. © IWA Publishing 2004.","author":[{"dropping-particle":"","family":"Frechen","given":"F. B.","non-dropping-particle":"","parse-names":false,"suffix":""},{"dropping-particle":"","family":"Frey","given":"M.","non-dropping-particle":"","parse-names":false,"suffix":""},{"dropping-particle":"","family":"Wett","given":"M.","non-dropping-particle":"","parse-names":false,"suffix":""},{"dropping-particle":"","family":"Löser","given":"C.","non-dropping-particle":"","parse-names":false,"suffix":""}],"container-title":"Water Science and Technology","id":"ITEM-1","issue":"4","issued":{"date-parts":[["2004"]]},"page":"57-64","title":"Aerodynamic performance of a low-speed wind tunnel","type":"article-journal","volume":"50"},"uris":["http://www.mendeley.com/documents/?uuid=468f29ae-2641-4505-a957-ea31dbec2304"]}],"mendeley":{"formattedCitation":"(Frechen et al., 2004)","plainTextFormattedCitation":"(Frechen et al., 2004)","previouslyFormattedCitation":"(Frechen et al., 2004)"},"properties":{"noteIndex":0},"schema":"https://github.com/citation-style-language/schema/raw/master/csl-citation.json"}</w:instrText>
      </w:r>
      <w:r w:rsidR="002E0EAA" w:rsidRPr="00D84B23">
        <w:fldChar w:fldCharType="separate"/>
      </w:r>
      <w:r w:rsidR="002E0EAA" w:rsidRPr="00D84B23">
        <w:rPr>
          <w:noProof/>
        </w:rPr>
        <w:t>(Frechen et al., 2004)</w:t>
      </w:r>
      <w:r w:rsidR="002E0EAA" w:rsidRPr="00D84B23">
        <w:fldChar w:fldCharType="end"/>
      </w:r>
      <w:r w:rsidR="00FA7D4F" w:rsidRPr="00D84B23">
        <w:t xml:space="preserve">, </w:t>
      </w:r>
      <w:r w:rsidR="009A07CA" w:rsidRPr="00D84B23">
        <w:t>follow</w:t>
      </w:r>
      <w:r w:rsidR="00FA7D4F" w:rsidRPr="00D84B23">
        <w:t>s</w:t>
      </w:r>
      <w:r w:rsidR="009A07CA" w:rsidRPr="00D84B23">
        <w:t xml:space="preserve"> the design described by </w:t>
      </w:r>
      <w:r w:rsidR="00FA7D4F" w:rsidRPr="00D84B23">
        <w:fldChar w:fldCharType="begin" w:fldLock="1"/>
      </w:r>
      <w:r w:rsidR="00A56025">
        <w:instrText>ADDIN CSL_CITATION {"citationItems":[{"id":"ITEM-1","itemData":{"DOI":"10.2166/wst.2009.123","ISSN":"02731223","PMID":"19403975","abstract":"The aim of this study is to describe the methods adopted for the design and the experimental validation of a wind tunnel, a sampling system suitable for the collection of gaseous samples on passive area sources, which allows to simulate wind action on the surface to be monitored. The first step of the work was the study of the air velocity profiles. The second step of the work consisted in the validation of the sampling system. For this purpose, the odour concentration of some air samples collected by means of the wind tunnel was measured by dynamic olfactometry. The results of the air velocity measurements show that the wind tunnel design features enabled the achievement of a uniform and homogeneous air flow through the hood. Moreover, the laboratory tests showed a very good correspondence between the odour concentration values measured at the wind tunnel outlet and the odour concentration values predicted by the application of a specific volatilization model, based on the Prandtl boundary layer theory. The agreement between experimental and theoretical trends demonstrate that the studied wind tunnel represents a suitable sampling system for the simulation of specific odour emission rates from liquid area sources without outward flow.","author":[{"dropping-particle":"","family":"Capelli","given":"L.","non-dropping-particle":"","parse-names":false,"suffix":""},{"dropping-particle":"","family":"Sironi","given":"S.","non-dropping-particle":"","parse-names":false,"suffix":""},{"dropping-particle":"","family":"Rosso","given":"R.","non-dropping-particle":"Del","parse-names":false,"suffix":""},{"dropping-particle":"","family":"Céntola","given":"P.","non-dropping-particle":"","parse-names":false,"suffix":""}],"container-title":"Water Science and Technology","id":"ITEM-1","issue":"8","issued":{"date-parts":[["2009"]]},"page":"1611-1620","title":"Design and validation of a wind tunnel system for odour sampling on liquid area sources","type":"article-journal","volume":"59"},"uris":["http://www.mendeley.com/documents/?uuid=06fd368b-d0b4-4ec4-8ccf-ba14a11b3328"]}],"mendeley":{"formattedCitation":"(L. Capelli et al., 2009)","manualFormatting":"Capelli et al., (2009","plainTextFormattedCitation":"(L. Capelli et al., 2009)","previouslyFormattedCitation":"(L. Capelli et al., 2009)"},"properties":{"noteIndex":0},"schema":"https://github.com/citation-style-language/schema/raw/master/csl-citation.json"}</w:instrText>
      </w:r>
      <w:r w:rsidR="00FA7D4F" w:rsidRPr="00D84B23">
        <w:fldChar w:fldCharType="separate"/>
      </w:r>
      <w:r w:rsidR="00FA7D4F" w:rsidRPr="00D84B23">
        <w:rPr>
          <w:noProof/>
        </w:rPr>
        <w:t xml:space="preserve">Capelli et al. </w:t>
      </w:r>
      <w:r w:rsidR="00A56025">
        <w:rPr>
          <w:noProof/>
        </w:rPr>
        <w:t>(</w:t>
      </w:r>
      <w:r w:rsidR="00FA7D4F" w:rsidRPr="00D84B23">
        <w:rPr>
          <w:noProof/>
        </w:rPr>
        <w:t>200</w:t>
      </w:r>
      <w:r w:rsidR="00010A07">
        <w:rPr>
          <w:noProof/>
        </w:rPr>
        <w:t>9b</w:t>
      </w:r>
      <w:r w:rsidR="00FA7D4F" w:rsidRPr="00D84B23">
        <w:fldChar w:fldCharType="end"/>
      </w:r>
      <w:r w:rsidR="00A56025">
        <w:t>)</w:t>
      </w:r>
      <w:r w:rsidR="00FA7D4F" w:rsidRPr="00D84B23">
        <w:t>, but it is not strictly imposed</w:t>
      </w:r>
      <w:r w:rsidR="009A07CA" w:rsidRPr="00D84B23">
        <w:t>.</w:t>
      </w:r>
    </w:p>
    <w:p w14:paraId="3CD46973" w14:textId="6B52DB28" w:rsidR="00352B3C" w:rsidRPr="00D84B23" w:rsidRDefault="00352B3C" w:rsidP="00352B3C">
      <w:pPr>
        <w:pStyle w:val="CETBodytext"/>
      </w:pPr>
      <w:r w:rsidRPr="00D84B23">
        <w:t>The estimation of the OER requires the calculation of another significant parameter</w:t>
      </w:r>
      <w:r w:rsidR="00D14DF5" w:rsidRPr="00D84B23">
        <w:t>, the Specific Odour Emission Rate</w:t>
      </w:r>
      <w:r w:rsidR="00C22765" w:rsidRPr="00D84B23">
        <w:t xml:space="preserve"> (</w:t>
      </w:r>
      <w:r w:rsidRPr="00D84B23">
        <w:t>SOER</w:t>
      </w:r>
      <w:r w:rsidR="00C22765" w:rsidRPr="00D84B23">
        <w:t xml:space="preserve">) </w:t>
      </w:r>
      <w:r w:rsidR="00B805AC" w:rsidRPr="00D84B23">
        <w:t>expressed in</w:t>
      </w:r>
      <w:r w:rsidR="00CD3B7E" w:rsidRPr="00D84B23">
        <w:t xml:space="preserve"> ou</w:t>
      </w:r>
      <w:r w:rsidR="00CD3B7E" w:rsidRPr="00D84B23">
        <w:rPr>
          <w:vertAlign w:val="subscript"/>
        </w:rPr>
        <w:t>E</w:t>
      </w:r>
      <w:r w:rsidR="00CD3B7E" w:rsidRPr="00D84B23">
        <w:t>/m</w:t>
      </w:r>
      <w:r w:rsidR="00CD3B7E" w:rsidRPr="00D84B23">
        <w:rPr>
          <w:vertAlign w:val="superscript"/>
        </w:rPr>
        <w:t>2</w:t>
      </w:r>
      <w:r w:rsidR="00CD3B7E" w:rsidRPr="00D84B23">
        <w:t>/s</w:t>
      </w:r>
      <w:r w:rsidR="00B805AC" w:rsidRPr="00D84B23">
        <w:t>,</w:t>
      </w:r>
      <w:r w:rsidRPr="00D84B23">
        <w:t xml:space="preserve"> according to the following </w:t>
      </w:r>
      <w:r w:rsidR="0058561B" w:rsidRPr="00D84B23">
        <w:t>definition</w:t>
      </w:r>
      <w:r w:rsidRPr="00D84B23">
        <w:t>:</w:t>
      </w:r>
    </w:p>
    <w:tbl>
      <w:tblPr>
        <w:tblW w:w="5000" w:type="pct"/>
        <w:tblLook w:val="04A0" w:firstRow="1" w:lastRow="0" w:firstColumn="1" w:lastColumn="0" w:noHBand="0" w:noVBand="1"/>
      </w:tblPr>
      <w:tblGrid>
        <w:gridCol w:w="7985"/>
        <w:gridCol w:w="802"/>
      </w:tblGrid>
      <w:tr w:rsidR="00A561F9" w:rsidRPr="00D84B23" w14:paraId="59AD30D4" w14:textId="77777777" w:rsidTr="00B5689B">
        <w:tc>
          <w:tcPr>
            <w:tcW w:w="7976" w:type="dxa"/>
            <w:shd w:val="clear" w:color="auto" w:fill="auto"/>
            <w:vAlign w:val="center"/>
          </w:tcPr>
          <w:p w14:paraId="3AA64D90" w14:textId="31D5AB53" w:rsidR="00A561F9" w:rsidRPr="00D84B23" w:rsidRDefault="00A561F9" w:rsidP="00B5689B">
            <w:pPr>
              <w:spacing w:before="120" w:after="120"/>
              <w:jc w:val="center"/>
            </w:pPr>
            <m:oMathPara>
              <m:oMathParaPr>
                <m:jc m:val="left"/>
              </m:oMathParaPr>
              <m:oMath>
                <m:r>
                  <w:rPr>
                    <w:rFonts w:ascii="Cambria Math" w:hAnsi="Cambria Math"/>
                  </w:rPr>
                  <m:t>SOER=</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od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out</m:t>
                        </m:r>
                      </m:sub>
                    </m:sSub>
                    <m:r>
                      <w:rPr>
                        <w:rFonts w:ascii="Cambria Math" w:hAnsi="Cambria Math"/>
                      </w:rPr>
                      <m:t xml:space="preserve"> </m:t>
                    </m:r>
                  </m:num>
                  <m:den>
                    <m:sSub>
                      <m:sSubPr>
                        <m:ctrlPr>
                          <w:rPr>
                            <w:rFonts w:ascii="Cambria Math" w:hAnsi="Cambria Math"/>
                            <w:i/>
                          </w:rPr>
                        </m:ctrlPr>
                      </m:sSubPr>
                      <m:e>
                        <m:r>
                          <w:rPr>
                            <w:rFonts w:ascii="Cambria Math" w:hAnsi="Cambria Math"/>
                          </w:rPr>
                          <m:t>A</m:t>
                        </m:r>
                      </m:e>
                      <m:sub>
                        <m:r>
                          <w:rPr>
                            <w:rFonts w:ascii="Cambria Math" w:hAnsi="Cambria Math"/>
                          </w:rPr>
                          <m:t>hood</m:t>
                        </m:r>
                      </m:sub>
                    </m:sSub>
                  </m:den>
                </m:f>
              </m:oMath>
            </m:oMathPara>
          </w:p>
        </w:tc>
        <w:tc>
          <w:tcPr>
            <w:tcW w:w="801" w:type="dxa"/>
            <w:shd w:val="clear" w:color="auto" w:fill="auto"/>
            <w:vAlign w:val="center"/>
          </w:tcPr>
          <w:p w14:paraId="18FA697A" w14:textId="77777777" w:rsidR="00A561F9" w:rsidRPr="00D84B23" w:rsidRDefault="00A561F9" w:rsidP="00B5689B">
            <w:pPr>
              <w:pStyle w:val="CETEquation"/>
            </w:pPr>
            <w:r w:rsidRPr="00D84B23">
              <w:t>(1)</w:t>
            </w:r>
          </w:p>
        </w:tc>
      </w:tr>
    </w:tbl>
    <w:p w14:paraId="1B1530BB" w14:textId="09793BAF" w:rsidR="00CD3B7E" w:rsidRPr="00D84B23" w:rsidRDefault="00A561F9" w:rsidP="00352B3C">
      <w:pPr>
        <w:pStyle w:val="CETBodytext"/>
      </w:pPr>
      <w:r w:rsidRPr="00D84B23">
        <w:t>where C</w:t>
      </w:r>
      <w:r w:rsidRPr="00D84B23">
        <w:rPr>
          <w:vertAlign w:val="subscript"/>
        </w:rPr>
        <w:t>od</w:t>
      </w:r>
      <w:r w:rsidRPr="00D84B23">
        <w:t xml:space="preserve"> [ou</w:t>
      </w:r>
      <w:r w:rsidRPr="00D84B23">
        <w:rPr>
          <w:vertAlign w:val="subscript"/>
        </w:rPr>
        <w:t>E</w:t>
      </w:r>
      <w:r w:rsidRPr="00D84B23">
        <w:t>/m</w:t>
      </w:r>
      <w:r w:rsidRPr="00D84B23">
        <w:rPr>
          <w:vertAlign w:val="superscript"/>
        </w:rPr>
        <w:t>3</w:t>
      </w:r>
      <w:r w:rsidRPr="00D84B23">
        <w:t xml:space="preserve">] is the measured odour concentration; </w:t>
      </w:r>
      <w:proofErr w:type="spellStart"/>
      <w:r w:rsidRPr="00D84B23">
        <w:t>Q</w:t>
      </w:r>
      <w:r w:rsidRPr="00D84B23">
        <w:rPr>
          <w:vertAlign w:val="subscript"/>
        </w:rPr>
        <w:t>out</w:t>
      </w:r>
      <w:proofErr w:type="spellEnd"/>
      <w:r w:rsidRPr="00D84B23">
        <w:rPr>
          <w:vertAlign w:val="subscript"/>
        </w:rPr>
        <w:t xml:space="preserve"> </w:t>
      </w:r>
      <w:r w:rsidRPr="00D84B23">
        <w:t>[m</w:t>
      </w:r>
      <w:r w:rsidRPr="00D84B23">
        <w:rPr>
          <w:vertAlign w:val="superscript"/>
        </w:rPr>
        <w:t>3</w:t>
      </w:r>
      <w:r w:rsidRPr="00D84B23">
        <w:t xml:space="preserve">/h] is the flux at the outlet of </w:t>
      </w:r>
      <w:r w:rsidR="0015496E" w:rsidRPr="00D84B23">
        <w:t>hood</w:t>
      </w:r>
      <w:r w:rsidRPr="00D84B23">
        <w:t>;</w:t>
      </w:r>
      <w:r w:rsidR="009624C3" w:rsidRPr="00D84B23">
        <w:t xml:space="preserve"> </w:t>
      </w:r>
      <w:proofErr w:type="spellStart"/>
      <w:r w:rsidR="009624C3" w:rsidRPr="00D84B23">
        <w:t>A</w:t>
      </w:r>
      <w:r w:rsidR="0015496E" w:rsidRPr="00D84B23">
        <w:rPr>
          <w:vertAlign w:val="subscript"/>
        </w:rPr>
        <w:t>hood</w:t>
      </w:r>
      <w:proofErr w:type="spellEnd"/>
      <w:r w:rsidR="009624C3" w:rsidRPr="00D84B23">
        <w:t xml:space="preserve"> [m</w:t>
      </w:r>
      <w:r w:rsidR="009624C3" w:rsidRPr="00D84B23">
        <w:rPr>
          <w:vertAlign w:val="superscript"/>
        </w:rPr>
        <w:t>2</w:t>
      </w:r>
      <w:r w:rsidR="009624C3" w:rsidRPr="00D84B23">
        <w:t xml:space="preserve">] is the base area of the </w:t>
      </w:r>
      <w:r w:rsidR="0015496E" w:rsidRPr="00D84B23">
        <w:t>hood</w:t>
      </w:r>
      <w:r w:rsidR="009624C3" w:rsidRPr="00D84B23">
        <w:t>.</w:t>
      </w:r>
    </w:p>
    <w:p w14:paraId="224B37BF" w14:textId="6C13919F" w:rsidR="00A561F9" w:rsidRPr="00D84B23" w:rsidRDefault="00352B3C" w:rsidP="00352B3C">
      <w:pPr>
        <w:pStyle w:val="CETBodytext"/>
      </w:pPr>
      <w:r w:rsidRPr="00D84B23">
        <w:t xml:space="preserve">The associated OER is </w:t>
      </w:r>
      <w:r w:rsidR="00CD3B7E" w:rsidRPr="00D84B23">
        <w:t>obtained</w:t>
      </w:r>
      <w:r w:rsidRPr="00D84B23">
        <w:t xml:space="preserve"> by multiplying the SOER for the emitting surface of the considered source.</w:t>
      </w:r>
    </w:p>
    <w:p w14:paraId="57ED4530" w14:textId="41253F0A" w:rsidR="00233E7E" w:rsidRPr="00D84B23" w:rsidRDefault="00BE3908" w:rsidP="00B322DC">
      <w:pPr>
        <w:pStyle w:val="CETheadingx"/>
      </w:pPr>
      <w:r w:rsidRPr="00D84B23">
        <w:t>External factors affecting passive area surface sampling</w:t>
      </w:r>
    </w:p>
    <w:p w14:paraId="57B0E059" w14:textId="7ECE8B90" w:rsidR="000166F3" w:rsidRPr="00D84B23" w:rsidRDefault="005C3C83" w:rsidP="000166F3">
      <w:pPr>
        <w:pStyle w:val="CETBodytext"/>
      </w:pPr>
      <w:r w:rsidRPr="00D84B23">
        <w:t xml:space="preserve">The information provided </w:t>
      </w:r>
      <w:r w:rsidR="005C37C9" w:rsidRPr="00D84B23">
        <w:t>by</w:t>
      </w:r>
      <w:r w:rsidRPr="00D84B23">
        <w:t xml:space="preserve"> the official guidelines regarding the characteri</w:t>
      </w:r>
      <w:r w:rsidR="00A56025">
        <w:t>s</w:t>
      </w:r>
      <w:r w:rsidRPr="00D84B23">
        <w:t xml:space="preserve">ation of passive surface sources, offering practical suggestions for monitoring odour emissions from such </w:t>
      </w:r>
      <w:r w:rsidR="00D14DF5" w:rsidRPr="00D84B23">
        <w:t>sources</w:t>
      </w:r>
      <w:r w:rsidR="00643059">
        <w:t>,</w:t>
      </w:r>
      <w:r w:rsidR="00643059" w:rsidRPr="00643059">
        <w:t xml:space="preserve"> </w:t>
      </w:r>
      <w:r w:rsidR="00643059" w:rsidRPr="00D84B23">
        <w:t>can be very useful</w:t>
      </w:r>
      <w:r w:rsidR="000166F3" w:rsidRPr="00D84B23">
        <w:t>. However, some critical aspects may arise. Various preliminary studies show that natural conditions are characteri</w:t>
      </w:r>
      <w:r w:rsidR="00A56025">
        <w:t>s</w:t>
      </w:r>
      <w:r w:rsidR="000166F3" w:rsidRPr="00D84B23">
        <w:t>ed by a wind speed over the emitting surface in the order of m/s, with an optimal value of 0.33 m/s</w:t>
      </w:r>
      <w:r w:rsidR="00A11C58" w:rsidRPr="00D84B23">
        <w:t xml:space="preserve"> </w:t>
      </w:r>
      <w:r w:rsidR="00A11C58" w:rsidRPr="00D84B23">
        <w:fldChar w:fldCharType="begin" w:fldLock="1"/>
      </w:r>
      <w:r w:rsidR="00A11C58" w:rsidRPr="00D84B23">
        <w:instrText>ADDIN CSL_CITATION {"citationItems":[{"id":"ITEM-1","itemData":{"DOI":"10.1080/10473289.1995.10467424","ISSN":"21622906","abstract":"An improved portable odor sampling system (OSS) of the wind tunnel type was designed to determine odor emissions from areal sources. The aerodynamics of the odor emission hood was observed using a number of smoke tests and dry ice tests. The velocity profiles were also measured horizontally and vertically in the hood by an anemometer. Modifications in the form of an extension inlet duct, flat vanes, and a baffle were necessary to achieve repeatable, uniform, and steady velocity profiles inside the hood. The optimum velocity for use of the OSS was found to be 0.33 m/s, based upon the aerodynamic performance of the OSS and the sensitivity of the anemometer at a lower velocity. © 1995 Taylor &amp; Francis Group, LLC.","author":[{"dropping-particle":"","family":"Jiang","given":"Kaiyun","non-dropping-particle":"","parse-names":false,"suffix":""},{"dropping-particle":"","family":"Bliss","given":"Peter J.","non-dropping-particle":"","parse-names":false,"suffix":""},{"dropping-particle":"","family":"Schulz","given":"Terry J.","non-dropping-particle":"","parse-names":false,"suffix":""}],"container-title":"Journal of the Air and Waste Management Association","id":"ITEM-1","issue":"11","issued":{"date-parts":[["1995"]]},"page":"917-922","title":"The development of a sampling system for determining odor emission rates from areal surfaces: Part i. aerodynamic performance","type":"article-journal","volume":"45"},"uris":["http://www.mendeley.com/documents/?uuid=14131cc0-faaa-46f2-8f5e-6810a09e8904"]}],"mendeley":{"formattedCitation":"(Jiang et al., 1995)","plainTextFormattedCitation":"(Jiang et al., 1995)","previouslyFormattedCitation":"(Jiang et al., 1995)"},"properties":{"noteIndex":0},"schema":"https://github.com/citation-style-language/schema/raw/master/csl-citation.json"}</w:instrText>
      </w:r>
      <w:r w:rsidR="00A11C58" w:rsidRPr="00D84B23">
        <w:fldChar w:fldCharType="separate"/>
      </w:r>
      <w:r w:rsidR="00A11C58" w:rsidRPr="00D84B23">
        <w:rPr>
          <w:noProof/>
        </w:rPr>
        <w:t>(Jiang et al., 1995)</w:t>
      </w:r>
      <w:r w:rsidR="00A11C58" w:rsidRPr="00D84B23">
        <w:fldChar w:fldCharType="end"/>
      </w:r>
      <w:r w:rsidR="000166F3" w:rsidRPr="00D84B23">
        <w:t xml:space="preserve">. This research led to the configuration of the University of New South Wales </w:t>
      </w:r>
      <w:r w:rsidR="005C37C9" w:rsidRPr="00D84B23">
        <w:t>WT</w:t>
      </w:r>
      <w:r w:rsidR="000166F3" w:rsidRPr="00D84B23">
        <w:t>, which cover</w:t>
      </w:r>
      <w:r w:rsidR="005C37C9" w:rsidRPr="00D84B23">
        <w:t>s</w:t>
      </w:r>
      <w:r w:rsidR="000166F3" w:rsidRPr="00D84B23">
        <w:t xml:space="preserve"> a</w:t>
      </w:r>
      <w:r w:rsidRPr="00D84B23">
        <w:t>n</w:t>
      </w:r>
      <w:r w:rsidR="000166F3" w:rsidRPr="00D84B23">
        <w:t xml:space="preserve"> area </w:t>
      </w:r>
      <w:r w:rsidRPr="00D84B23">
        <w:t xml:space="preserve">of </w:t>
      </w:r>
      <w:r w:rsidR="000166F3" w:rsidRPr="00D84B23">
        <w:t>0.32 m</w:t>
      </w:r>
      <w:r w:rsidR="000166F3" w:rsidRPr="00D84B23">
        <w:rPr>
          <w:vertAlign w:val="superscript"/>
        </w:rPr>
        <w:t>2</w:t>
      </w:r>
      <w:r w:rsidR="000166F3" w:rsidRPr="00D84B23">
        <w:t xml:space="preserve"> and is characteri</w:t>
      </w:r>
      <w:r w:rsidR="00D14DF5" w:rsidRPr="00D84B23">
        <w:t>s</w:t>
      </w:r>
      <w:r w:rsidR="000166F3" w:rsidRPr="00D84B23">
        <w:t xml:space="preserve">ed by a turbulent regime </w:t>
      </w:r>
      <w:r w:rsidR="00A11C58" w:rsidRPr="00D84B23">
        <w:fldChar w:fldCharType="begin" w:fldLock="1"/>
      </w:r>
      <w:r w:rsidR="00212DD9" w:rsidRPr="00D84B23">
        <w:instrText>ADDIN CSL_CITATION {"citationItems":[{"id":"ITEM-1","itemData":{"DOI":"10.3303/CET1868010","ISBN":"9788895608655","ISSN":"22839216","abstract":"The portable wind tunnel is one of the devices used to estimate the emission rate of odours from area sources. It has been conceived to provide better representation of the atmospheric boundary layer than the other device largely used for this purpose, namely the dynamic flux chamber. Ideally, the flow profile inside the wind tunnel would be close to a fully developed turbulent boundary layer, leading to better predictions of emission rates. However, its aerodynamic performance is still cause of discussion and clearly motivates further investigation. In the present paper, we use computational fluid dynamics to evaluate the flow inside of a portable wind tunnel and to discuss the necessary changes in geometrical configuration to reach the expected behaviour for such a device. The flow inside the main section of the device - where the incoming air comes in contact with the emitting surface - showed to be quite complex and not as well-behaved as expected. We propose and test other configurations for the device, aiming a scenario closer to the atmospheric boundary layer from an aerodynamic perspective. The alternatives considered include changes in the inlet section of the portable wind tunnel and present reasonable improvements for the velocity distribution, suggesting that small geometry modifications can lead to better aerodynamics.","author":[{"dropping-particle":"","family":"Martins","given":"Ramon S.","non-dropping-particle":"","parse-names":false,"suffix":""},{"dropping-particle":"","family":"Siqueira","given":"Matheus A.","non-dropping-particle":"","parse-names":false,"suffix":""},{"dropping-particle":"","family":"Toniato","given":"Izabele V.F.","non-dropping-particle":"","parse-names":false,"suffix":""},{"dropping-particle":"","family":"Cupertino","given":"Kamila F.","non-dropping-particle":"","parse-names":false,"suffix":""},{"dropping-particle":"","family":"Prata","given":"Ademir A.","non-dropping-particle":"","parse-names":false,"suffix":""},{"dropping-particle":"","family":"Reis","given":"Neyval C.","non-dropping-particle":"","parse-names":false,"suffix":""},{"dropping-particle":"","family":"Stuetz","given":"Richard M.","non-dropping-particle":"","parse-names":false,"suffix":""},{"dropping-particle":"","family":"Santos","given":"Jane M.","non-dropping-particle":"","parse-names":false,"suffix":""}],"container-title":"Chemical Engineering Transactions","id":"ITEM-1","issued":{"date-parts":[["2018"]]},"page":"55-60","title":"Evaluating the flow inside of portable wind tunnels for odour measurements","type":"article-journal","volume":"68"},"uris":["http://www.mendeley.com/documents/?uuid=d62cb369-8d4a-490e-8c0d-5397449be4f4"]}],"mendeley":{"formattedCitation":"(Martins et al., 2018)","plainTextFormattedCitation":"(Martins et al., 2018)","previouslyFormattedCitation":"(Martins et al., 2018)"},"properties":{"noteIndex":0},"schema":"https://github.com/citation-style-language/schema/raw/master/csl-citation.json"}</w:instrText>
      </w:r>
      <w:r w:rsidR="00A11C58" w:rsidRPr="00D84B23">
        <w:fldChar w:fldCharType="separate"/>
      </w:r>
      <w:r w:rsidR="00A11C58" w:rsidRPr="00D84B23">
        <w:rPr>
          <w:noProof/>
        </w:rPr>
        <w:t>(Martins et al., 2018)</w:t>
      </w:r>
      <w:r w:rsidR="00A11C58" w:rsidRPr="00D84B23">
        <w:fldChar w:fldCharType="end"/>
      </w:r>
      <w:r w:rsidR="000166F3" w:rsidRPr="00D84B23">
        <w:t xml:space="preserve">. </w:t>
      </w:r>
      <w:r w:rsidR="00D14DF5" w:rsidRPr="00D84B23">
        <w:t>However,</w:t>
      </w:r>
      <w:r w:rsidR="000166F3" w:rsidRPr="00D84B23">
        <w:t xml:space="preserve"> </w:t>
      </w:r>
      <w:r w:rsidRPr="00D84B23">
        <w:t>issues</w:t>
      </w:r>
      <w:r w:rsidR="000166F3" w:rsidRPr="00D84B23">
        <w:t xml:space="preserve"> related to the olfactometer detection limit can occur with </w:t>
      </w:r>
      <w:r w:rsidR="00D14DF5" w:rsidRPr="00D84B23">
        <w:t xml:space="preserve">a </w:t>
      </w:r>
      <w:r w:rsidR="000166F3" w:rsidRPr="00D84B23">
        <w:t>high sweep air velocity rate</w:t>
      </w:r>
      <w:r w:rsidR="008A7D39" w:rsidRPr="00D84B23">
        <w:t>,</w:t>
      </w:r>
      <w:r w:rsidR="000166F3" w:rsidRPr="00D84B23">
        <w:t xml:space="preserve"> </w:t>
      </w:r>
      <w:r w:rsidR="008A7D39" w:rsidRPr="00D84B23">
        <w:t>leading to</w:t>
      </w:r>
      <w:r w:rsidR="000166F3" w:rsidRPr="00D84B23">
        <w:t xml:space="preserve"> uncorrected estimation of emission rates. The common LSWT operate</w:t>
      </w:r>
      <w:r w:rsidR="008A7D39" w:rsidRPr="00D84B23">
        <w:t>s</w:t>
      </w:r>
      <w:r w:rsidR="000166F3" w:rsidRPr="00D84B23">
        <w:t xml:space="preserve"> </w:t>
      </w:r>
      <w:r w:rsidR="00D14DF5" w:rsidRPr="00D84B23">
        <w:t xml:space="preserve">with a lower </w:t>
      </w:r>
      <w:r w:rsidR="008A7D39" w:rsidRPr="00D84B23">
        <w:t xml:space="preserve">velocity </w:t>
      </w:r>
      <w:r w:rsidR="000166F3" w:rsidRPr="00D84B23">
        <w:t>inside the ventilation chamber</w:t>
      </w:r>
      <w:r w:rsidR="00D14DF5" w:rsidRPr="00D84B23">
        <w:t>, by one order of magnitude,</w:t>
      </w:r>
      <w:r w:rsidR="000166F3" w:rsidRPr="00D84B23">
        <w:t xml:space="preserve"> </w:t>
      </w:r>
      <w:r w:rsidR="008A7D39" w:rsidRPr="00D84B23">
        <w:t>to maintain stable aerodynamic conditions, ensuring a laminar regime</w:t>
      </w:r>
      <w:r w:rsidR="007622DC" w:rsidRPr="00D84B23">
        <w:t xml:space="preserve"> and</w:t>
      </w:r>
      <w:r w:rsidR="000166F3" w:rsidRPr="00D84B23">
        <w:t xml:space="preserve"> </w:t>
      </w:r>
      <w:r w:rsidR="008A7D39" w:rsidRPr="00D84B23">
        <w:t>preventing</w:t>
      </w:r>
      <w:r w:rsidR="000166F3" w:rsidRPr="00D84B23">
        <w:t xml:space="preserve"> the decreas</w:t>
      </w:r>
      <w:r w:rsidR="007622DC" w:rsidRPr="00D84B23">
        <w:t>e</w:t>
      </w:r>
      <w:r w:rsidR="000166F3" w:rsidRPr="00D84B23">
        <w:t xml:space="preserve"> of the concentration values below 50-100 ou</w:t>
      </w:r>
      <w:r w:rsidR="000166F3" w:rsidRPr="00D84B23">
        <w:rPr>
          <w:vertAlign w:val="subscript"/>
        </w:rPr>
        <w:t>E</w:t>
      </w:r>
      <w:r w:rsidR="000166F3" w:rsidRPr="00D84B23">
        <w:t>/m</w:t>
      </w:r>
      <w:r w:rsidR="000166F3" w:rsidRPr="00D84B23">
        <w:rPr>
          <w:vertAlign w:val="superscript"/>
        </w:rPr>
        <w:t>3</w:t>
      </w:r>
      <w:r w:rsidR="000166F3" w:rsidRPr="00D84B23">
        <w:t xml:space="preserve"> at the outlet of the sampling hood</w:t>
      </w:r>
      <w:r w:rsidR="00212DD9" w:rsidRPr="00D84B23">
        <w:t xml:space="preserve"> </w:t>
      </w:r>
      <w:r w:rsidR="00212DD9" w:rsidRPr="00D84B23">
        <w:fldChar w:fldCharType="begin" w:fldLock="1"/>
      </w:r>
      <w:r w:rsidR="00212DD9" w:rsidRPr="00D84B23">
        <w:instrText>ADDIN CSL_CITATION {"citationItems":[{"id":"ITEM-1","itemData":{"DOI":"10.2166/wst.2004.0220","ISSN":"02731223","PMID":"15484743","abstract":"The determination of the odour mass flow emitted from a source is a very important step and forms the basis for all subsequent considerations and calculations. Wastewater treatment plants, as well as waste treatment facilities, consist of different kinds of odour sources. Unfortunately, most of the sources are passive sources, where no outward air flow-rate can be measured, but where odorants are obviously emitted. Thus, a type of sampling is required that allows to measure the emitted odour flow-rate (OFR). To achieve this, different methods are in use worldwide. Besides indirect methods, such as micrometeorological atmospheric dispersion models, which have not been used in Germany (in other countries due to different problems, direct methods are also used). Direct measurements include hood methods, commonly divided into static flux chambers, dynamic flux chambers and wind tunnels. The wind tunnel that we have been operating in principle since 1983 is different from all subsequent presented wind tunnels, in that we operate it at a considerably lower wind speed than the others. To describe the behaviour of this wind tunnel, measurement of the flow pattern in this low-speed tunnel are under way, and some initial results are presented here. © IWA Publishing 2004.","author":[{"dropping-particle":"","family":"Frechen","given":"F. B.","non-dropping-particle":"","parse-names":false,"suffix":""},{"dropping-particle":"","family":"Frey","given":"M.","non-dropping-particle":"","parse-names":false,"suffix":""},{"dropping-particle":"","family":"Wett","given":"M.","non-dropping-particle":"","parse-names":false,"suffix":""},{"dropping-particle":"","family":"Löser","given":"C.","non-dropping-particle":"","parse-names":false,"suffix":""}],"container-title":"Water Science and Technology","id":"ITEM-1","issue":"4","issued":{"date-parts":[["2004"]]},"page":"57-64","title":"Aerodynamic performance of a low-speed wind tunnel","type":"article-journal","volume":"50"},"uris":["http://www.mendeley.com/documents/?uuid=468f29ae-2641-4505-a957-ea31dbec2304"]}],"mendeley":{"formattedCitation":"(Frechen et al., 2004)","manualFormatting":"(Frechen et al., 2004","plainTextFormattedCitation":"(Frechen et al., 2004)","previouslyFormattedCitation":"(Frechen et al., 2004)"},"properties":{"noteIndex":0},"schema":"https://github.com/citation-style-language/schema/raw/master/csl-citation.json"}</w:instrText>
      </w:r>
      <w:r w:rsidR="00212DD9" w:rsidRPr="00D84B23">
        <w:fldChar w:fldCharType="separate"/>
      </w:r>
      <w:r w:rsidR="00212DD9" w:rsidRPr="00D84B23">
        <w:rPr>
          <w:noProof/>
        </w:rPr>
        <w:t>(Frechen et al., 2004</w:t>
      </w:r>
      <w:r w:rsidR="00212DD9" w:rsidRPr="00D84B23">
        <w:fldChar w:fldCharType="end"/>
      </w:r>
      <w:r w:rsidR="00212DD9" w:rsidRPr="00D84B23">
        <w:t xml:space="preserve">; </w:t>
      </w:r>
      <w:r w:rsidR="00212DD9" w:rsidRPr="00D84B23">
        <w:fldChar w:fldCharType="begin" w:fldLock="1"/>
      </w:r>
      <w:r w:rsidR="00A6198C" w:rsidRPr="00D84B23">
        <w:instrText>ADDIN CSL_CITATION {"citationItems":[{"id":"ITEM-1","itemData":{"DOI":"10.2166/wst.2009.123","ISSN":"02731223","PMID":"19403975","abstract":"The aim of this study is to describe the methods adopted for the design and the experimental validation of a wind tunnel, a sampling system suitable for the collection of gaseous samples on passive area sources, which allows to simulate wind action on the surface to be monitored. The first step of the work was the study of the air velocity profiles. The second step of the work consisted in the validation of the sampling system. For this purpose, the odour concentration of some air samples collected by means of the wind tunnel was measured by dynamic olfactometry. The results of the air velocity measurements show that the wind tunnel design features enabled the achievement of a uniform and homogeneous air flow through the hood. Moreover, the laboratory tests showed a very good correspondence between the odour concentration values measured at the wind tunnel outlet and the odour concentration values predicted by the application of a specific volatilization model, based on the Prandtl boundary layer theory. The agreement between experimental and theoretical trends demonstrate that the studied wind tunnel represents a suitable sampling system for the simulation of specific odour emission rates from liquid area sources without outward flow.","author":[{"dropping-particle":"","family":"Capelli","given":"L.","non-dropping-particle":"","parse-names":false,"suffix":""},{"dropping-particle":"","family":"Sironi","given":"S.","non-dropping-particle":"","parse-names":false,"suffix":""},{"dropping-particle":"","family":"Rosso","given":"R.","non-dropping-particle":"Del","parse-names":false,"suffix":""},{"dropping-particle":"","family":"Céntola","given":"P.","non-dropping-particle":"","parse-names":false,"suffix":""}],"container-title":"Water Science and Technology","id":"ITEM-1","issue":"8","issued":{"date-parts":[["2009"]]},"page":"1611-1620","title":"Design and validation of a wind tunnel system for odour sampling on liquid area sources","type":"article-journal","volume":"59"},"uris":["http://www.mendeley.com/documents/?uuid=06fd368b-d0b4-4ec4-8ccf-ba14a11b3328"]}],"mendeley":{"formattedCitation":"(L. Capelli et al., 2009)","manualFormatting":"Capelli et al., 2009)","plainTextFormattedCitation":"(L. Capelli et al., 2009)","previouslyFormattedCitation":"(L. Capelli et al., 2009)"},"properties":{"noteIndex":0},"schema":"https://github.com/citation-style-language/schema/raw/master/csl-citation.json"}</w:instrText>
      </w:r>
      <w:r w:rsidR="00212DD9" w:rsidRPr="00D84B23">
        <w:fldChar w:fldCharType="separate"/>
      </w:r>
      <w:r w:rsidR="00212DD9" w:rsidRPr="00D84B23">
        <w:rPr>
          <w:noProof/>
        </w:rPr>
        <w:t>Capelli et al., 2009</w:t>
      </w:r>
      <w:r w:rsidR="00010A07">
        <w:rPr>
          <w:noProof/>
        </w:rPr>
        <w:t>a</w:t>
      </w:r>
      <w:r w:rsidR="00212DD9" w:rsidRPr="00D84B23">
        <w:rPr>
          <w:noProof/>
        </w:rPr>
        <w:t>)</w:t>
      </w:r>
      <w:r w:rsidR="00212DD9" w:rsidRPr="00D84B23">
        <w:fldChar w:fldCharType="end"/>
      </w:r>
      <w:r w:rsidR="000166F3" w:rsidRPr="00D84B23">
        <w:t>.</w:t>
      </w:r>
    </w:p>
    <w:p w14:paraId="379B914C" w14:textId="5E0B6A48" w:rsidR="000166F3" w:rsidRPr="00D84B23" w:rsidRDefault="000166F3" w:rsidP="000166F3">
      <w:pPr>
        <w:pStyle w:val="CETBodytext"/>
      </w:pPr>
      <w:r w:rsidRPr="00D84B23">
        <w:t>EN 13725:2022</w:t>
      </w:r>
      <w:r w:rsidR="001904D1" w:rsidRPr="00D84B23">
        <w:t xml:space="preserve"> reports</w:t>
      </w:r>
      <w:r w:rsidRPr="00D84B23">
        <w:t xml:space="preserve"> the </w:t>
      </w:r>
      <w:r w:rsidR="00D14DF5" w:rsidRPr="00D84B23">
        <w:t>difficulty of comparing</w:t>
      </w:r>
      <w:r w:rsidRPr="00D84B23">
        <w:t xml:space="preserve"> results obtained using </w:t>
      </w:r>
      <w:r w:rsidR="007F4AF2" w:rsidRPr="00D84B23">
        <w:t>WT</w:t>
      </w:r>
      <w:r w:rsidRPr="00D84B23">
        <w:t xml:space="preserve">s with different geometries, unless duly demonstration, because the shape of </w:t>
      </w:r>
      <w:r w:rsidR="00D14DF5" w:rsidRPr="00D84B23">
        <w:t xml:space="preserve">the </w:t>
      </w:r>
      <w:r w:rsidRPr="00D84B23">
        <w:t>hood affects the</w:t>
      </w:r>
      <w:r w:rsidR="00D14DF5" w:rsidRPr="00D84B23">
        <w:t xml:space="preserve"> fluid-dynamics, and so, </w:t>
      </w:r>
      <w:r w:rsidR="001904D1" w:rsidRPr="00D84B23">
        <w:t xml:space="preserve">odour </w:t>
      </w:r>
      <w:r w:rsidR="00D14DF5" w:rsidRPr="00D84B23">
        <w:t>outcome</w:t>
      </w:r>
      <w:r w:rsidRPr="00D84B23">
        <w:t xml:space="preserve">. </w:t>
      </w:r>
      <w:r w:rsidR="001904D1" w:rsidRPr="00D84B23">
        <w:t>T</w:t>
      </w:r>
      <w:r w:rsidRPr="00D84B23">
        <w:t xml:space="preserve">he same </w:t>
      </w:r>
      <w:r w:rsidR="001904D1" w:rsidRPr="00D84B23">
        <w:t xml:space="preserve">applies </w:t>
      </w:r>
      <w:r w:rsidR="00D14DF5" w:rsidRPr="00D84B23">
        <w:t xml:space="preserve">to </w:t>
      </w:r>
      <w:r w:rsidRPr="00D84B23">
        <w:t xml:space="preserve">the operating conditions </w:t>
      </w:r>
      <w:r w:rsidR="001904D1" w:rsidRPr="00D84B23">
        <w:fldChar w:fldCharType="begin" w:fldLock="1"/>
      </w:r>
      <w:r w:rsidR="00504EB2" w:rsidRPr="00D84B23">
        <w:instrText>ADDIN CSL_CITATION {"citationItems":[{"id":"ITEM-1","itemData":{"DOI":"10.1016/j.biortech.2007.03.043","ISSN":"09608524","PMID":"17512194","abstract":"Sampling devices differing greatly in shape, size and operating condition have been used to collect air samples to determine rates of emission of volatile substances, including odour. However, physical chemistry principles, in particular the partitioning of volatile substances between two phases as explained by Henrys Law and the relationship between wind velocity and emission rate, suggests that different devices cannot be expected to provide equivalent emission rate estimates. Thus several problems are associated with the use of static and dynamic emission chambers, but the more turbulent devices such as wind tunnels do not appear to be subject to these problems. In general, the ability to relate emission rate estimates obtained from wind tunnel measurements to those derived from device-independent techniques supports the use of wind tunnels to determine emission rates that can be used as input data for dispersion models. © 2007.","author":[{"dropping-particle":"","family":"Hudson","given":"N.","non-dropping-particle":"","parse-names":false,"suffix":""},{"dropping-particle":"","family":"Ayoko","given":"G. A.","non-dropping-particle":"","parse-names":false,"suffix":""}],"container-title":"Bioresource Technology","id":"ITEM-1","issue":"10","issued":{"date-parts":[["2008"]]},"page":"3993-4007","title":"Odour sampling. 2. Comparison of physical and aerodynamic characteristics of sampling devices: A review","type":"article-journal","volume":"99"},"uris":["http://www.mendeley.com/documents/?uuid=461d75c0-8556-4c03-b4a5-978838275212"]}],"mendeley":{"formattedCitation":"(Hudson &amp; Ayoko, 2008a)","manualFormatting":"(Hudson and Ayoko, 2008)","plainTextFormattedCitation":"(Hudson &amp; Ayoko, 2008a)","previouslyFormattedCitation":"(Hudson &amp; Ayoko, 2008a)"},"properties":{"noteIndex":0},"schema":"https://github.com/citation-style-language/schema/raw/master/csl-citation.json"}</w:instrText>
      </w:r>
      <w:r w:rsidR="001904D1" w:rsidRPr="00D84B23">
        <w:fldChar w:fldCharType="separate"/>
      </w:r>
      <w:r w:rsidR="001904D1" w:rsidRPr="00D84B23">
        <w:rPr>
          <w:noProof/>
        </w:rPr>
        <w:t>(Hudson and Ayoko, 2008</w:t>
      </w:r>
      <w:r w:rsidR="00383273">
        <w:rPr>
          <w:noProof/>
        </w:rPr>
        <w:t>b</w:t>
      </w:r>
      <w:r w:rsidR="001904D1" w:rsidRPr="00D84B23">
        <w:rPr>
          <w:noProof/>
        </w:rPr>
        <w:t>)</w:t>
      </w:r>
      <w:r w:rsidR="001904D1" w:rsidRPr="00D84B23">
        <w:fldChar w:fldCharType="end"/>
      </w:r>
      <w:r w:rsidRPr="00D84B23">
        <w:t xml:space="preserve">, which are difficult to </w:t>
      </w:r>
      <w:r w:rsidR="00D14DF5" w:rsidRPr="00D84B23">
        <w:t xml:space="preserve">be </w:t>
      </w:r>
      <w:r w:rsidRPr="00D84B23">
        <w:t>uniquely define</w:t>
      </w:r>
      <w:r w:rsidR="00D14DF5" w:rsidRPr="00D84B23">
        <w:t>d</w:t>
      </w:r>
      <w:r w:rsidRPr="00D84B23">
        <w:t xml:space="preserve"> and control</w:t>
      </w:r>
      <w:r w:rsidR="00D14DF5" w:rsidRPr="00D84B23">
        <w:t>led</w:t>
      </w:r>
      <w:r w:rsidRPr="00D84B23">
        <w:t>.</w:t>
      </w:r>
    </w:p>
    <w:p w14:paraId="6621D7B7" w14:textId="7CBE329E" w:rsidR="000166F3" w:rsidRPr="00D84B23" w:rsidRDefault="000166F3" w:rsidP="000166F3">
      <w:pPr>
        <w:pStyle w:val="CETBodytext"/>
      </w:pPr>
      <w:r w:rsidRPr="00D84B23">
        <w:t xml:space="preserve">Another issue is </w:t>
      </w:r>
      <w:r w:rsidR="00D14DF5" w:rsidRPr="00D84B23">
        <w:t>the</w:t>
      </w:r>
      <w:r w:rsidR="00ED7100" w:rsidRPr="00D84B23">
        <w:t xml:space="preserve"> choice of </w:t>
      </w:r>
      <w:r w:rsidRPr="00D84B23">
        <w:t xml:space="preserve">sampling time, </w:t>
      </w:r>
      <w:r w:rsidR="00DF2693" w:rsidRPr="00D84B23">
        <w:t>due to</w:t>
      </w:r>
      <w:r w:rsidRPr="00D84B23">
        <w:t xml:space="preserve"> </w:t>
      </w:r>
      <w:r w:rsidR="00ED7100" w:rsidRPr="00D84B23">
        <w:t xml:space="preserve">the </w:t>
      </w:r>
      <w:r w:rsidR="00504EB2" w:rsidRPr="00D84B23">
        <w:t>limited</w:t>
      </w:r>
      <w:r w:rsidRPr="00D84B23">
        <w:t xml:space="preserve"> information available</w:t>
      </w:r>
      <w:r w:rsidR="00504EB2" w:rsidRPr="00D84B23">
        <w:t xml:space="preserve"> in</w:t>
      </w:r>
      <w:r w:rsidRPr="00D84B23">
        <w:t xml:space="preserve"> literature. </w:t>
      </w:r>
      <w:r w:rsidR="00DF2693" w:rsidRPr="00D84B23">
        <w:t>Suggestions only indicate</w:t>
      </w:r>
      <w:r w:rsidRPr="00D84B23">
        <w:t xml:space="preserve"> </w:t>
      </w:r>
      <w:r w:rsidR="00ED7100" w:rsidRPr="00D84B23">
        <w:t>waiting for</w:t>
      </w:r>
      <w:r w:rsidRPr="00D84B23">
        <w:t xml:space="preserve"> the achievement of the steady-state conditions</w:t>
      </w:r>
      <w:r w:rsidR="00ED7100" w:rsidRPr="00D84B23">
        <w:t xml:space="preserve"> inside the hood</w:t>
      </w:r>
      <w:r w:rsidRPr="00D84B23">
        <w:t xml:space="preserve">. </w:t>
      </w:r>
      <w:r w:rsidR="00504EB2" w:rsidRPr="00D84B23">
        <w:t xml:space="preserve">German standard </w:t>
      </w:r>
      <w:r w:rsidR="00DF2693" w:rsidRPr="00D84B23">
        <w:t>imposes</w:t>
      </w:r>
      <w:r w:rsidR="00504EB2" w:rsidRPr="00D84B23">
        <w:t xml:space="preserve"> a sampling time of at least 30 minutes to obtain a representative sample</w:t>
      </w:r>
      <w:r w:rsidR="00DF2693" w:rsidRPr="00D84B23">
        <w:t>.</w:t>
      </w:r>
      <w:r w:rsidR="00504EB2" w:rsidRPr="00D84B23">
        <w:t xml:space="preserve"> </w:t>
      </w:r>
      <w:r w:rsidR="00ED7100" w:rsidRPr="00D84B23">
        <w:t>Other s</w:t>
      </w:r>
      <w:r w:rsidR="00504EB2" w:rsidRPr="00D84B23">
        <w:t>tudies about WT</w:t>
      </w:r>
      <w:r w:rsidR="00ED7100" w:rsidRPr="00D84B23">
        <w:t>,</w:t>
      </w:r>
      <w:r w:rsidR="00504EB2" w:rsidRPr="00D84B23">
        <w:t xml:space="preserve"> suggest that stationary conditions are reached within </w:t>
      </w:r>
      <w:r w:rsidR="002E0EAA" w:rsidRPr="00D84B23">
        <w:t>5</w:t>
      </w:r>
      <w:r w:rsidR="00BB1508" w:rsidRPr="00D84B23">
        <w:t>-8</w:t>
      </w:r>
      <w:r w:rsidR="00504EB2" w:rsidRPr="00D84B23">
        <w:t xml:space="preserve"> minutes with a sweep air velocity of 0.3 m/s </w:t>
      </w:r>
      <w:r w:rsidR="00504EB2" w:rsidRPr="00D84B23">
        <w:fldChar w:fldCharType="begin" w:fldLock="1"/>
      </w:r>
      <w:r w:rsidR="00504EB2" w:rsidRPr="00D84B23">
        <w:instrText>ADDIN CSL_CITATION {"citationItems":[{"id":"ITEM-1","itemData":{"DOI":"10.1016/0273-1223(96)00599-9","ISSN":"02731223","abstract":"Many environmental monitoring programmes require the determination of volatile organic compounds (VOCs) emitted from large areal sources including liquid surfaces. A study was carried out to compare existing sampling techniques. Both the isolation chamber method (static technique) and the wind tunnel method (dynamic technique) were examined. A review of the mechanisms suggested that static techniques would not be appropriate for determining emissions from liquid surfaces which result from gas phase controlled volatilisation processes. A portable wind tunnel developed at the University of New South Wales and an isolation chamber built to USEPA specification were used in an experimental study of emissions from aqueous liquid surfaces. An acetone solution was chosen to represent gas phase controlled volatilisation processes. Toluene and methyl ethyl ketone in aqueous solution were chosen, respectively to investigate (1) liquid phase controlled volatilisation processes, and (2) combined gas and liquid phase controlled volatilisation processes. It was found that the use of the isolation chamber method resulted in different degrees of underestimation of the emission rates for the above three compounds. The wind tunnel method is suitable for sampling all VOC emissions from areal sources.","author":[{"dropping-particle":"","family":"Jiang","given":"Kaiyun","non-dropping-particle":"","parse-names":false,"suffix":""},{"dropping-particle":"","family":"Kaye","given":"Ralph","non-dropping-particle":"","parse-names":false,"suffix":""}],"container-title":"Water Science and Technology","id":"ITEM-1","issue":"3-4 -4 pt 2","issued":{"date-parts":[["1996"]]},"page":"583-589","publisher":"International Association on Water Quality","title":"Comparison study on portable wind tunnel system and isolation chamber for determination of VOCs from areal sources","type":"article-journal","volume":"34"},"uris":["http://www.mendeley.com/documents/?uuid=9ba399f5-0f5f-43e5-8610-f6f6b1336181"]}],"mendeley":{"formattedCitation":"(Jiang &amp; Kaye, 1996)","manualFormatting":"(Jiang and Kaye, 1996","plainTextFormattedCitation":"(Jiang &amp; Kaye, 1996)","previouslyFormattedCitation":"(Jiang &amp; Kaye, 1996)"},"properties":{"noteIndex":0},"schema":"https://github.com/citation-style-language/schema/raw/master/csl-citation.json"}</w:instrText>
      </w:r>
      <w:r w:rsidR="00504EB2" w:rsidRPr="00D84B23">
        <w:fldChar w:fldCharType="separate"/>
      </w:r>
      <w:r w:rsidR="00504EB2" w:rsidRPr="00D84B23">
        <w:rPr>
          <w:noProof/>
        </w:rPr>
        <w:t>(Jiang and Kaye, 1996</w:t>
      </w:r>
      <w:r w:rsidR="00504EB2" w:rsidRPr="00D84B23">
        <w:fldChar w:fldCharType="end"/>
      </w:r>
      <w:r w:rsidR="00BB1508" w:rsidRPr="00D84B23">
        <w:t xml:space="preserve">; </w:t>
      </w:r>
      <w:r w:rsidR="00BB1508" w:rsidRPr="00D84B23">
        <w:fldChar w:fldCharType="begin" w:fldLock="1"/>
      </w:r>
      <w:r w:rsidR="00BB6896" w:rsidRPr="00D84B23">
        <w:instrText>ADDIN CSL_CITATION {"citationItems":[{"id":"ITEM-1","itemData":{"DOI":"10.1016/j.atmosenv.2020.117562","ISSN":"18732844","abstract":"Field application of liquid manure contributes substantially to atmospheric ammonia. Low emission application methods are commonly used to reduce ammonia transfer to the atmosphere. To document which application method results in lower ammonia volatilization there is a need for high precision measurements to ensure that small differences in total emission and emission patterns can be quantified. This paper presents the evaluation and application of a new system of dynamic chambers (wind tunnels) with online cavity ring down spectroscopy measurements of ammonia. The system allows for high time resolution of 104 min throughout the measuring period (≥90 h) when testing two treatments and one reference in triplicates. Measurement variability is low with a coefficient of variation of 13 ± 8% within triplicates. The system was used to investigate the effect of trailing shoes compared to trailing hoses on different soil and crop types, where the expected differences in ammonia volatilization are low. The results show that when applying pig slurry on coarse sand a significant reduction of 47 ± 20% was obtained, whereas the reduction when applied on loamy sand and sandy loam was lower and occasionally insignificant. During ten experiments on three different soil types, an overall average reduction of ammonia volatilization from using trailing shoes compared to trailing hoses was found to be 19 ± 12%. Furthermore, the importance of correct use of trailing hoses was examined by comparing with application above the crop canopy. Application at the ground surface gave an ammonia emission reduction of 40 ± 13% compared to application 20 cm above the canopy.","author":[{"dropping-particle":"","family":"Pedersen","given":"Johanna M.","non-dropping-particle":"","parse-names":false,"suffix":""},{"dropping-particle":"","family":"Feilberg","given":"Anders","non-dropping-particle":"","parse-names":false,"suffix":""},{"dropping-particle":"","family":"Kamp","given":"Jesper N.","non-dropping-particle":"","parse-names":false,"suffix":""},{"dropping-particle":"","family":"Hafner","given":"Sasha","non-dropping-particle":"","parse-names":false,"suffix":""},{"dropping-particle":"","family":"Nyord","given":"Tavs","non-dropping-particle":"","parse-names":false,"suffix":""}],"container-title":"Atmospheric Environment","id":"ITEM-1","issue":"December 2019","issued":{"date-parts":[["2020"]]},"page":"117562","publisher":"Elsevier Ltd","title":"Ammonia emission measurement with an online wind tunnel system for evaluation of manure application techniques","type":"article-journal","volume":"230"},"uris":["http://www.mendeley.com/documents/?uuid=21742615-3c85-4aea-8787-5eac5d41da76"]}],"mendeley":{"formattedCitation":"(Pedersen et al., 2020)","manualFormatting":"Pedersen et al., 2020","plainTextFormattedCitation":"(Pedersen et al., 2020)","previouslyFormattedCitation":"(Pedersen et al., 2020)"},"properties":{"noteIndex":0},"schema":"https://github.com/citation-style-language/schema/raw/master/csl-citation.json"}</w:instrText>
      </w:r>
      <w:r w:rsidR="00BB1508" w:rsidRPr="00D84B23">
        <w:fldChar w:fldCharType="separate"/>
      </w:r>
      <w:r w:rsidR="00BB1508" w:rsidRPr="00D84B23">
        <w:rPr>
          <w:noProof/>
        </w:rPr>
        <w:t>Pedersen et al., 2020</w:t>
      </w:r>
      <w:r w:rsidR="00BB1508" w:rsidRPr="00D84B23">
        <w:fldChar w:fldCharType="end"/>
      </w:r>
      <w:r w:rsidR="00015213" w:rsidRPr="00D84B23">
        <w:t>)</w:t>
      </w:r>
      <w:r w:rsidRPr="00D84B23">
        <w:t>.</w:t>
      </w:r>
    </w:p>
    <w:p w14:paraId="3B5D6FC8" w14:textId="76A2963A" w:rsidR="000166F3" w:rsidRPr="00D84B23" w:rsidRDefault="004D6989" w:rsidP="000166F3">
      <w:pPr>
        <w:pStyle w:val="CETBodytext"/>
      </w:pPr>
      <w:r w:rsidRPr="00D84B23">
        <w:t xml:space="preserve">External factors such as temperature variability, influenced by meteorological season and process conditions, also affect OER of passive surface sources. </w:t>
      </w:r>
      <w:r w:rsidR="00D03DB3" w:rsidRPr="00D84B23">
        <w:fldChar w:fldCharType="begin" w:fldLock="1"/>
      </w:r>
      <w:r w:rsidR="00B302AB">
        <w:instrText>ADDIN CSL_CITATION {"citationItems":[{"id":"ITEM-1","itemData":{"DOI":"10.1016/j.chemosphere.2022.137337","ISSN":"18791298","PMID":"36414037","abstract":"The investigation of Volatile Organic Compounds (VOCs) emission from wastewater basins is a challenging issue. In particular, the quantification of an accurate emission rate appears quite tricky, since the release of VOC compounds from this type of source, and the subsequent dispersion into the atmosphere, is ruled by different complex phenomena, potentially affected by a variety of external chemical and physical parameters. In this regard, the wind velocity and the liquid temperature represent variables that are worth investigating. Given this, the present paper discusses an experimental study aimed at evaluating the influence of these variables on the emission rate of VOCs (i.e. acetone, toluene and butanol) in solution with water at low concentrations (0.5 mL/L and 5 mL/L). The experimental trials are conducted using a wind tunnel system, changing the sweep air flow from 0.02 m/s to about 0.06 m/s and the liquid temperature from 20 °C to 35 °C. This study reveals that while the wind velocity seems to slightly influence the emission rate of VOCs estimated by wind tunnel sampling, the effect of the temperature appears much more significant. This behaviour is also confirmed by experimental trials conducted on real-case industrial wastewater, coming from an equalization tank. In view of this, the approach commonly applied to evaluate the influence of wind velocity (i.e. a dependence of the odour emission rate on the square root of the wind velocity) appears not fully consistent with the experimental results obtained at low concentrations by wind tunnel sampling. Also, the influence of temperature seems more pronounced in the case of butanol, in accordance with the theoretical trend of Henry constant as a function of temperature.","author":[{"dropping-particle":"","family":"Tagliaferri","given":"Francesca","non-dropping-particle":"","parse-names":false,"suffix":""},{"dropping-particle":"","family":"Invernizzi","given":"Marzio","non-dropping-particle":"","parse-names":false,"suffix":""},{"dropping-particle":"","family":"Sironi","given":"Selena","non-dropping-particle":"","parse-names":false,"suffix":""}],"container-title":"Chemosphere","id":"ITEM-1","issue":"November 2022","issued":{"date-parts":[["2023"]]},"publisher":"Elsevier Ltd","title":"Experimental evaluation on liquid area sources: Influence of wind velocity and temperature on the wind tunnel sampling of VOCs emissions from wastewater treatment plants","type":"article-journal","volume":"312"},"uris":["http://www.mendeley.com/documents/?uuid=f8139013-3cdd-47de-8554-8e9d57ffce64"]}],"mendeley":{"formattedCitation":"(Tagliaferri et al., 2023)","manualFormatting":"Tagliaferri et al., (2023","plainTextFormattedCitation":"(Tagliaferri et al., 2023)","previouslyFormattedCitation":"(Tagliaferri et al., 2023)"},"properties":{"noteIndex":0},"schema":"https://github.com/citation-style-language/schema/raw/master/csl-citation.json"}</w:instrText>
      </w:r>
      <w:r w:rsidR="00D03DB3" w:rsidRPr="00D84B23">
        <w:fldChar w:fldCharType="separate"/>
      </w:r>
      <w:r w:rsidR="00D03DB3" w:rsidRPr="00D84B23">
        <w:rPr>
          <w:noProof/>
        </w:rPr>
        <w:t xml:space="preserve">Tagliaferri et al. </w:t>
      </w:r>
      <w:r w:rsidR="00ED7100" w:rsidRPr="00D84B23">
        <w:rPr>
          <w:noProof/>
        </w:rPr>
        <w:t>(</w:t>
      </w:r>
      <w:r w:rsidR="00D03DB3" w:rsidRPr="00D84B23">
        <w:rPr>
          <w:noProof/>
        </w:rPr>
        <w:t>2023</w:t>
      </w:r>
      <w:r w:rsidR="00D03DB3" w:rsidRPr="00D84B23">
        <w:fldChar w:fldCharType="end"/>
      </w:r>
      <w:r w:rsidR="00ED7100" w:rsidRPr="00D84B23">
        <w:t>)</w:t>
      </w:r>
      <w:r w:rsidRPr="00D84B23">
        <w:t xml:space="preserve"> emphasizes</w:t>
      </w:r>
      <w:r w:rsidR="0062381D" w:rsidRPr="00D84B23">
        <w:t xml:space="preserve"> the attention on the evaluation of the VOC emission rate, where the influence of temperature appears to be significant </w:t>
      </w:r>
      <w:r w:rsidR="00ED7100" w:rsidRPr="00D84B23">
        <w:t xml:space="preserve">with </w:t>
      </w:r>
      <w:r w:rsidR="0062381D" w:rsidRPr="00D84B23">
        <w:t xml:space="preserve">respect </w:t>
      </w:r>
      <w:r w:rsidR="00ED7100" w:rsidRPr="00D84B23">
        <w:t xml:space="preserve">to </w:t>
      </w:r>
      <w:r w:rsidR="0062381D" w:rsidRPr="00D84B23">
        <w:t xml:space="preserve">the wind effect. </w:t>
      </w:r>
      <w:r w:rsidR="000166F3" w:rsidRPr="00D84B23">
        <w:t>In view of this, it seems very important to collect odorous sample at least in two different seasons (e.g. winter and summer) to improve the characteri</w:t>
      </w:r>
      <w:r w:rsidR="00ED7100" w:rsidRPr="00D84B23">
        <w:t>s</w:t>
      </w:r>
      <w:r w:rsidR="000166F3" w:rsidRPr="00D84B23">
        <w:t>ation.</w:t>
      </w:r>
    </w:p>
    <w:p w14:paraId="1D2A8B86" w14:textId="0A30365F" w:rsidR="000166F3" w:rsidRPr="00D84B23" w:rsidRDefault="001A0811" w:rsidP="003C2B44">
      <w:pPr>
        <w:pStyle w:val="CETBodytext"/>
      </w:pPr>
      <w:r w:rsidRPr="00D84B23">
        <w:t xml:space="preserve">In the case of biological oxidation tanks, additional considerations are necessary to define a suitable OER, particularly regarding the impact of aeration blowers. </w:t>
      </w:r>
      <w:r w:rsidR="00D03DB3" w:rsidRPr="00D84B23">
        <w:fldChar w:fldCharType="begin" w:fldLock="1"/>
      </w:r>
      <w:r w:rsidR="00B302AB">
        <w:instrText>ADDIN CSL_CITATION {"citationItems":[{"id":"ITEM-1","itemData":{"DOI":"10.1016/j.chemosphere.2019.124923","ISSN":"18791298","PMID":"31726605","abstract":"The purpose of this study is to deepen the knowledge of the various emission phenomena present in aerated tanks, widely used systems for municipal and industrial wastewater treatment. In order to investigate the emission mechanism, a specific model was developed. The theoretical model proposes to consider three different contributions to the emission of organic compounds from aerated wastewater tanks: the convection due to the sweep air flow rate, the rising bubbles stripping and the aerosol formation and successive evaporation. To compare the modeled results, an experimental campaign was conducted with two different solutes, acetone and butanol. The sampling was carried out with a Wind Tunnel system and the outflow gas samples were analysed with gas chromatographic technique. Moreover, this study investigates the dependence of the concentration in the gaseous phase from the speed of the air on the surface (1–5 cm/s) and from the flow of air diffused inside the liquid body (50–200 L/h). The empirical data were compared with theoretical curves. The results confirm two facts: the gas solute concentration decreases as the air velocity increases and, instead, increases with the air flow diffused through the tank.","author":[{"dropping-particle":"","family":"Invernizzi","given":"Marzio","non-dropping-particle":"","parse-names":false,"suffix":""},{"dropping-particle":"","family":"Teramo","given":"Elisa","non-dropping-particle":"","parse-names":false,"suffix":""},{"dropping-particle":"","family":"Busini","given":"Valentina","non-dropping-particle":"","parse-names":false,"suffix":""},{"dropping-particle":"","family":"Sironi","given":"Selena","non-dropping-particle":"","parse-names":false,"suffix":""}],"container-title":"Chemosphere","id":"ITEM-1","issued":{"date-parts":[["2020"]]},"page":"124923","publisher":"Elsevier Ltd","title":"A model for the evaluation of organic compounds emission from aerated liquid surfaces","type":"article-journal","volume":"240"},"uris":["http://www.mendeley.com/documents/?uuid=c6e25bed-0c6b-43fd-b4c0-ca0dde2edb2b"]}],"mendeley":{"formattedCitation":"(Invernizzi et al., 2020)","manualFormatting":"Invernizzi et al., (2020","plainTextFormattedCitation":"(Invernizzi et al., 2020)","previouslyFormattedCitation":"(Invernizzi et al., 2020)"},"properties":{"noteIndex":0},"schema":"https://github.com/citation-style-language/schema/raw/master/csl-citation.json"}</w:instrText>
      </w:r>
      <w:r w:rsidR="00D03DB3" w:rsidRPr="00D84B23">
        <w:fldChar w:fldCharType="separate"/>
      </w:r>
      <w:r w:rsidR="00D03DB3" w:rsidRPr="00D84B23">
        <w:rPr>
          <w:noProof/>
        </w:rPr>
        <w:t xml:space="preserve">Invernizzi et al. </w:t>
      </w:r>
      <w:r w:rsidR="00ED7100" w:rsidRPr="00D84B23">
        <w:rPr>
          <w:noProof/>
        </w:rPr>
        <w:t>(</w:t>
      </w:r>
      <w:r w:rsidR="00D03DB3" w:rsidRPr="00D84B23">
        <w:rPr>
          <w:noProof/>
        </w:rPr>
        <w:t>2020</w:t>
      </w:r>
      <w:r w:rsidR="00D03DB3" w:rsidRPr="00D84B23">
        <w:fldChar w:fldCharType="end"/>
      </w:r>
      <w:r w:rsidR="00ED7100" w:rsidRPr="00D84B23">
        <w:t>)</w:t>
      </w:r>
      <w:r w:rsidRPr="00D84B23">
        <w:t xml:space="preserve"> </w:t>
      </w:r>
      <w:r w:rsidR="0062381D" w:rsidRPr="00D84B23">
        <w:t xml:space="preserve">highlights that the stripping contribution, related to the flow rate of diffusers, and the aerosol generation by rising bubbles, are </w:t>
      </w:r>
      <w:r w:rsidR="00ED7100" w:rsidRPr="00D84B23">
        <w:t>crucial</w:t>
      </w:r>
      <w:r w:rsidR="0062381D" w:rsidRPr="00D84B23">
        <w:t xml:space="preserve"> contributions to the overall emission rate of this kind of basins</w:t>
      </w:r>
      <w:r w:rsidRPr="00D84B23">
        <w:t>.</w:t>
      </w:r>
      <w:r w:rsidR="00D57D4C" w:rsidRPr="00D84B23">
        <w:t xml:space="preserve"> </w:t>
      </w:r>
      <w:r w:rsidR="00ED7100" w:rsidRPr="00D84B23">
        <w:t xml:space="preserve">As reported in Eq. (1), SOER </w:t>
      </w:r>
      <w:r w:rsidR="000166F3" w:rsidRPr="00D84B23">
        <w:t xml:space="preserve">is </w:t>
      </w:r>
      <w:r w:rsidR="00ED7100" w:rsidRPr="00D84B23">
        <w:t xml:space="preserve">a </w:t>
      </w:r>
      <w:r w:rsidR="000166F3" w:rsidRPr="00D84B23">
        <w:t xml:space="preserve">function of </w:t>
      </w:r>
      <w:r w:rsidR="00ED7100" w:rsidRPr="00D84B23">
        <w:t xml:space="preserve">the </w:t>
      </w:r>
      <w:r w:rsidR="000166F3" w:rsidRPr="00D84B23">
        <w:t>air</w:t>
      </w:r>
      <w:r w:rsidR="00ED7100" w:rsidRPr="00D84B23">
        <w:t xml:space="preserve">flow rate at </w:t>
      </w:r>
      <w:r w:rsidR="000166F3" w:rsidRPr="00D84B23">
        <w:t xml:space="preserve">the outlet of the dynamic hood, so the volume </w:t>
      </w:r>
      <w:r w:rsidR="00ED7100" w:rsidRPr="00D84B23">
        <w:t xml:space="preserve">flow rate </w:t>
      </w:r>
      <w:r w:rsidR="000166F3" w:rsidRPr="00D84B23">
        <w:t>of the aeration system must be considered in its evaluation.</w:t>
      </w:r>
      <w:r w:rsidR="00ED7100" w:rsidRPr="00D84B23">
        <w:t xml:space="preserve"> The purpose of this paper is to investigate, through a field analysis, the variability of the SOER of an aerated tank as a function of the contributions that are considered for its definition.</w:t>
      </w:r>
    </w:p>
    <w:p w14:paraId="2D741ECA" w14:textId="2E704A1D" w:rsidR="00FE0531" w:rsidRPr="00D84B23" w:rsidRDefault="00025CF4" w:rsidP="00B322DC">
      <w:pPr>
        <w:pStyle w:val="CETHeading1"/>
        <w:rPr>
          <w:lang w:val="en-GB"/>
        </w:rPr>
      </w:pPr>
      <w:r w:rsidRPr="00D84B23">
        <w:rPr>
          <w:lang w:val="en-GB"/>
        </w:rPr>
        <w:t>Experimental field data</w:t>
      </w:r>
    </w:p>
    <w:p w14:paraId="052B6417" w14:textId="4AADD0CB" w:rsidR="00E92A25" w:rsidRPr="00D84B23" w:rsidRDefault="00E92A25" w:rsidP="00E92A25">
      <w:pPr>
        <w:pStyle w:val="CETheadingx"/>
      </w:pPr>
      <w:r w:rsidRPr="00D84B23">
        <w:t xml:space="preserve">Aeration data </w:t>
      </w:r>
    </w:p>
    <w:p w14:paraId="50156AF6" w14:textId="3A91EF9A" w:rsidR="00F14F1F" w:rsidRPr="00D84B23" w:rsidRDefault="00F14F1F" w:rsidP="000166F3">
      <w:pPr>
        <w:pStyle w:val="CETBodytext"/>
      </w:pPr>
      <w:r w:rsidRPr="00D84B23">
        <w:fldChar w:fldCharType="begin"/>
      </w:r>
      <w:r w:rsidRPr="00D84B23">
        <w:instrText xml:space="preserve"> REF _Ref166529558 \h </w:instrText>
      </w:r>
      <w:r w:rsidRPr="00D84B23">
        <w:fldChar w:fldCharType="separate"/>
      </w:r>
      <w:r w:rsidRPr="00D84B23">
        <w:t xml:space="preserve">Table </w:t>
      </w:r>
      <w:r w:rsidRPr="00D84B23">
        <w:rPr>
          <w:noProof/>
        </w:rPr>
        <w:t>1</w:t>
      </w:r>
      <w:r w:rsidRPr="00D84B23">
        <w:fldChar w:fldCharType="end"/>
      </w:r>
      <w:r w:rsidRPr="00D84B23">
        <w:t xml:space="preserve"> shows </w:t>
      </w:r>
      <w:r w:rsidR="00341F9A" w:rsidRPr="00D84B23">
        <w:t xml:space="preserve">an example of </w:t>
      </w:r>
      <w:r w:rsidRPr="00D84B23">
        <w:t>SSAR values for a sample of 16 oxidation tanks installed in full-scale industrial plants. Given the</w:t>
      </w:r>
      <w:r w:rsidR="00341F9A" w:rsidRPr="00D84B23">
        <w:t xml:space="preserve">se values, assuming a uniform distribution of the air blown into the tank and fixing the </w:t>
      </w:r>
      <w:r w:rsidRPr="00D84B23">
        <w:t>sweep air flow rate at which the WT is operated</w:t>
      </w:r>
      <w:r w:rsidR="00341F9A" w:rsidRPr="00D84B23">
        <w:t>,</w:t>
      </w:r>
      <w:r w:rsidRPr="00D84B23">
        <w:t xml:space="preserve"> </w:t>
      </w:r>
      <w:r w:rsidR="00341F9A" w:rsidRPr="00D84B23">
        <w:t>it is possible to calculate the contribution of the aeration, %</w:t>
      </w:r>
      <w:proofErr w:type="spellStart"/>
      <w:r w:rsidR="008D2E48" w:rsidRPr="00D84B23">
        <w:t>Q</w:t>
      </w:r>
      <w:r w:rsidR="00341F9A" w:rsidRPr="00D84B23">
        <w:rPr>
          <w:vertAlign w:val="subscript"/>
        </w:rPr>
        <w:t>aeration</w:t>
      </w:r>
      <w:proofErr w:type="spellEnd"/>
      <w:r w:rsidR="00341F9A" w:rsidRPr="00D84B23">
        <w:t>, in the overall flowrate at the outlet of the hood:</w:t>
      </w:r>
    </w:p>
    <w:tbl>
      <w:tblPr>
        <w:tblW w:w="5000" w:type="pct"/>
        <w:tblLook w:val="04A0" w:firstRow="1" w:lastRow="0" w:firstColumn="1" w:lastColumn="0" w:noHBand="0" w:noVBand="1"/>
      </w:tblPr>
      <w:tblGrid>
        <w:gridCol w:w="7985"/>
        <w:gridCol w:w="802"/>
      </w:tblGrid>
      <w:tr w:rsidR="00341F9A" w:rsidRPr="00D84B23" w14:paraId="198F42E2" w14:textId="77777777" w:rsidTr="00437179">
        <w:tc>
          <w:tcPr>
            <w:tcW w:w="7976" w:type="dxa"/>
            <w:shd w:val="clear" w:color="auto" w:fill="auto"/>
            <w:vAlign w:val="center"/>
          </w:tcPr>
          <w:p w14:paraId="01856085" w14:textId="15D349F5" w:rsidR="00341F9A" w:rsidRPr="00D84B23" w:rsidRDefault="00000000" w:rsidP="00C33893">
            <w:pPr>
              <w:pStyle w:val="CETBodytext"/>
              <w:spacing w:before="120" w:after="12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aeration</m:t>
                    </m:r>
                  </m:sub>
                </m:sSub>
                <m:r>
                  <w:rPr>
                    <w:rFonts w:ascii="Cambria Math" w:hAnsi="Cambria Math"/>
                  </w:rPr>
                  <m:t xml:space="preserve">= </m:t>
                </m:r>
                <m:f>
                  <m:fPr>
                    <m:ctrlPr>
                      <w:rPr>
                        <w:rFonts w:ascii="Cambria Math" w:hAnsi="Cambria Math"/>
                        <w:i/>
                      </w:rPr>
                    </m:ctrlPr>
                  </m:fPr>
                  <m:num>
                    <m:r>
                      <w:rPr>
                        <w:rFonts w:ascii="Cambria Math" w:hAnsi="Cambria Math"/>
                      </w:rPr>
                      <m:t>SSAR∙</m:t>
                    </m:r>
                    <m:sSub>
                      <m:sSubPr>
                        <m:ctrlPr>
                          <w:rPr>
                            <w:rFonts w:ascii="Cambria Math" w:hAnsi="Cambria Math"/>
                            <w:i/>
                          </w:rPr>
                        </m:ctrlPr>
                      </m:sSubPr>
                      <m:e>
                        <m:r>
                          <w:rPr>
                            <w:rFonts w:ascii="Cambria Math" w:hAnsi="Cambria Math"/>
                          </w:rPr>
                          <m:t>A</m:t>
                        </m:r>
                      </m:e>
                      <m:sub>
                        <m:r>
                          <w:rPr>
                            <w:rFonts w:ascii="Cambria Math" w:hAnsi="Cambria Math"/>
                          </w:rPr>
                          <m:t>hood</m:t>
                        </m:r>
                      </m:sub>
                    </m:sSub>
                  </m:num>
                  <m:den>
                    <m:sSub>
                      <m:sSubPr>
                        <m:ctrlPr>
                          <w:rPr>
                            <w:rFonts w:ascii="Cambria Math" w:hAnsi="Cambria Math"/>
                            <w:i/>
                          </w:rPr>
                        </m:ctrlPr>
                      </m:sSubPr>
                      <m:e>
                        <m:r>
                          <w:rPr>
                            <w:rFonts w:ascii="Cambria Math" w:hAnsi="Cambria Math"/>
                          </w:rPr>
                          <m:t>Q</m:t>
                        </m:r>
                      </m:e>
                      <m:sub>
                        <m:r>
                          <w:rPr>
                            <w:rFonts w:ascii="Cambria Math" w:hAnsi="Cambria Math"/>
                          </w:rPr>
                          <m:t>out</m:t>
                        </m:r>
                      </m:sub>
                    </m:sSub>
                  </m:den>
                </m:f>
                <m:r>
                  <w:rPr>
                    <w:rFonts w:ascii="Cambria Math" w:hAnsi="Cambria Math"/>
                  </w:rPr>
                  <m:t xml:space="preserve">= </m:t>
                </m:r>
                <m:f>
                  <m:fPr>
                    <m:ctrlPr>
                      <w:rPr>
                        <w:rFonts w:ascii="Cambria Math" w:hAnsi="Cambria Math"/>
                        <w:i/>
                      </w:rPr>
                    </m:ctrlPr>
                  </m:fPr>
                  <m:num>
                    <m:r>
                      <w:rPr>
                        <w:rFonts w:ascii="Cambria Math" w:hAnsi="Cambria Math"/>
                      </w:rPr>
                      <m:t>SSAR∙</m:t>
                    </m:r>
                    <m:sSub>
                      <m:sSubPr>
                        <m:ctrlPr>
                          <w:rPr>
                            <w:rFonts w:ascii="Cambria Math" w:hAnsi="Cambria Math"/>
                            <w:i/>
                          </w:rPr>
                        </m:ctrlPr>
                      </m:sSubPr>
                      <m:e>
                        <m:r>
                          <w:rPr>
                            <w:rFonts w:ascii="Cambria Math" w:hAnsi="Cambria Math"/>
                          </w:rPr>
                          <m:t>A</m:t>
                        </m:r>
                      </m:e>
                      <m:sub>
                        <m:r>
                          <w:rPr>
                            <w:rFonts w:ascii="Cambria Math" w:hAnsi="Cambria Math"/>
                          </w:rPr>
                          <m:t>hood</m:t>
                        </m:r>
                      </m:sub>
                    </m:sSub>
                  </m:num>
                  <m:den>
                    <m:r>
                      <w:rPr>
                        <w:rFonts w:ascii="Cambria Math" w:hAnsi="Cambria Math"/>
                      </w:rPr>
                      <m:t>SSAR∙</m:t>
                    </m:r>
                    <m:sSub>
                      <m:sSubPr>
                        <m:ctrlPr>
                          <w:rPr>
                            <w:rFonts w:ascii="Cambria Math" w:hAnsi="Cambria Math"/>
                            <w:i/>
                          </w:rPr>
                        </m:ctrlPr>
                      </m:sSubPr>
                      <m:e>
                        <m:r>
                          <w:rPr>
                            <w:rFonts w:ascii="Cambria Math" w:hAnsi="Cambria Math"/>
                          </w:rPr>
                          <m:t>A</m:t>
                        </m:r>
                      </m:e>
                      <m:sub>
                        <m:r>
                          <w:rPr>
                            <w:rFonts w:ascii="Cambria Math" w:hAnsi="Cambria Math"/>
                          </w:rPr>
                          <m:t>hood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in</m:t>
                        </m:r>
                      </m:sub>
                    </m:sSub>
                  </m:den>
                </m:f>
              </m:oMath>
            </m:oMathPara>
          </w:p>
        </w:tc>
        <w:tc>
          <w:tcPr>
            <w:tcW w:w="801" w:type="dxa"/>
            <w:shd w:val="clear" w:color="auto" w:fill="auto"/>
            <w:vAlign w:val="center"/>
          </w:tcPr>
          <w:p w14:paraId="74D48F6D" w14:textId="77777777" w:rsidR="00341F9A" w:rsidRPr="00D84B23" w:rsidRDefault="00341F9A" w:rsidP="00437179">
            <w:pPr>
              <w:pStyle w:val="CETEquation"/>
            </w:pPr>
            <w:r w:rsidRPr="00D84B23">
              <w:t>(2)</w:t>
            </w:r>
          </w:p>
        </w:tc>
      </w:tr>
    </w:tbl>
    <w:p w14:paraId="62553245" w14:textId="38C0342D" w:rsidR="00CD3B7E" w:rsidRPr="00D84B23" w:rsidRDefault="00E92A25" w:rsidP="003C2B44">
      <w:pPr>
        <w:pStyle w:val="CETBodytext"/>
      </w:pPr>
      <w:r w:rsidRPr="00D84B23">
        <w:t>Q</w:t>
      </w:r>
      <w:r w:rsidRPr="00D84B23">
        <w:rPr>
          <w:vertAlign w:val="subscript"/>
        </w:rPr>
        <w:t>in</w:t>
      </w:r>
      <w:r w:rsidRPr="00D84B23">
        <w:t xml:space="preserve"> is the value of the sweep airflow rate of neutral air sent to the hood: considering the typical Italian value, i.e. equal to 2500 L/h, </w:t>
      </w:r>
      <w:r w:rsidRPr="00D84B23">
        <w:fldChar w:fldCharType="begin"/>
      </w:r>
      <w:r w:rsidRPr="00D84B23">
        <w:instrText xml:space="preserve"> REF _Ref166529558 \h </w:instrText>
      </w:r>
      <w:r w:rsidRPr="00D84B23">
        <w:fldChar w:fldCharType="separate"/>
      </w:r>
      <w:r w:rsidRPr="00D84B23">
        <w:t xml:space="preserve">Table </w:t>
      </w:r>
      <w:r w:rsidRPr="00D84B23">
        <w:rPr>
          <w:noProof/>
        </w:rPr>
        <w:t>1</w:t>
      </w:r>
      <w:r w:rsidRPr="00D84B23">
        <w:fldChar w:fldCharType="end"/>
      </w:r>
      <w:r w:rsidRPr="00D84B23">
        <w:t xml:space="preserve"> reports the contribution of the aeration in the overall balance in for the reported cases.</w:t>
      </w:r>
      <w:r w:rsidR="00EC1ED2" w:rsidRPr="00D84B23">
        <w:t xml:space="preserve"> </w:t>
      </w:r>
      <w:r w:rsidR="002137FC" w:rsidRPr="00D84B23">
        <w:lastRenderedPageBreak/>
        <w:t>From the</w:t>
      </w:r>
      <w:r w:rsidRPr="00D84B23">
        <w:t>se field data,</w:t>
      </w:r>
      <w:r w:rsidR="002137FC" w:rsidRPr="00D84B23">
        <w:t xml:space="preserve"> it</w:t>
      </w:r>
      <w:r w:rsidR="003C2B44" w:rsidRPr="00D84B23">
        <w:t xml:space="preserve"> can </w:t>
      </w:r>
      <w:r w:rsidRPr="00D84B23">
        <w:t>be observed</w:t>
      </w:r>
      <w:r w:rsidR="003C2B44" w:rsidRPr="00D84B23">
        <w:t xml:space="preserve"> </w:t>
      </w:r>
      <w:r w:rsidRPr="00D84B23">
        <w:t>that</w:t>
      </w:r>
      <w:r w:rsidR="003C2B44" w:rsidRPr="00D84B23">
        <w:t xml:space="preserve"> the aeration produced by blowers can influence the SOER </w:t>
      </w:r>
      <w:r w:rsidRPr="00D84B23">
        <w:t xml:space="preserve">by </w:t>
      </w:r>
      <w:r w:rsidR="003C2B44" w:rsidRPr="00D84B23">
        <w:t>up to 54%.</w:t>
      </w:r>
    </w:p>
    <w:p w14:paraId="262EBF22" w14:textId="548B6547" w:rsidR="003C2B44" w:rsidRPr="00D84B23" w:rsidRDefault="003C2B44" w:rsidP="003C2B44">
      <w:pPr>
        <w:pStyle w:val="CETCaption"/>
      </w:pPr>
      <w:bookmarkStart w:id="0" w:name="_Ref166529558"/>
      <w:r w:rsidRPr="00D84B23">
        <w:t xml:space="preserve">Table </w:t>
      </w:r>
      <w:r w:rsidRPr="00D84B23">
        <w:fldChar w:fldCharType="begin"/>
      </w:r>
      <w:r w:rsidRPr="00D84B23">
        <w:instrText xml:space="preserve"> SEQ Table \* ARABIC </w:instrText>
      </w:r>
      <w:r w:rsidRPr="00D84B23">
        <w:fldChar w:fldCharType="separate"/>
      </w:r>
      <w:r w:rsidRPr="00D84B23">
        <w:rPr>
          <w:noProof/>
        </w:rPr>
        <w:t>1</w:t>
      </w:r>
      <w:r w:rsidRPr="00D84B23">
        <w:fldChar w:fldCharType="end"/>
      </w:r>
      <w:bookmarkEnd w:id="0"/>
      <w:r w:rsidRPr="00D84B23">
        <w:t xml:space="preserve">. </w:t>
      </w:r>
      <w:r w:rsidR="00E92A25" w:rsidRPr="00D84B23">
        <w:t>SSAR and %</w:t>
      </w:r>
      <w:r w:rsidR="00E92A25" w:rsidRPr="00D84B23">
        <w:rPr>
          <w:vertAlign w:val="subscript"/>
        </w:rPr>
        <w:t>aeration</w:t>
      </w:r>
      <w:r w:rsidR="00E92A25" w:rsidRPr="00D84B23">
        <w:t xml:space="preserve"> for 16 full-scale</w:t>
      </w:r>
      <w:r w:rsidR="00B81068" w:rsidRPr="00D84B23">
        <w:t xml:space="preserve"> biological oxidation </w:t>
      </w:r>
      <w:r w:rsidR="00643059" w:rsidRPr="00D84B23">
        <w:t>tanks</w:t>
      </w:r>
      <w:r w:rsidR="00643059">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74"/>
        <w:gridCol w:w="1310"/>
        <w:gridCol w:w="1312"/>
        <w:gridCol w:w="567"/>
        <w:gridCol w:w="1312"/>
        <w:gridCol w:w="1312"/>
        <w:gridCol w:w="1312"/>
      </w:tblGrid>
      <w:tr w:rsidR="00341F9A" w:rsidRPr="00D84B23" w14:paraId="2439B2A3" w14:textId="77777777" w:rsidTr="00EC1ED2">
        <w:trPr>
          <w:trHeight w:val="478"/>
        </w:trPr>
        <w:tc>
          <w:tcPr>
            <w:tcW w:w="874" w:type="dxa"/>
            <w:tcBorders>
              <w:top w:val="single" w:sz="12" w:space="0" w:color="008000"/>
              <w:bottom w:val="single" w:sz="6" w:space="0" w:color="008000"/>
            </w:tcBorders>
            <w:shd w:val="clear" w:color="auto" w:fill="FFFFFF"/>
            <w:vAlign w:val="center"/>
          </w:tcPr>
          <w:p w14:paraId="6A6737AB" w14:textId="77777777" w:rsidR="00341F9A" w:rsidRPr="00D84B23" w:rsidRDefault="00341F9A" w:rsidP="007B087F">
            <w:pPr>
              <w:pStyle w:val="CETBodytext"/>
              <w:jc w:val="center"/>
            </w:pPr>
            <w:r w:rsidRPr="00D84B23">
              <w:t>N°</w:t>
            </w:r>
          </w:p>
        </w:tc>
        <w:tc>
          <w:tcPr>
            <w:tcW w:w="1310" w:type="dxa"/>
            <w:tcBorders>
              <w:top w:val="single" w:sz="12" w:space="0" w:color="008000"/>
              <w:bottom w:val="single" w:sz="6" w:space="0" w:color="008000"/>
            </w:tcBorders>
            <w:shd w:val="clear" w:color="auto" w:fill="FFFFFF"/>
            <w:vAlign w:val="center"/>
          </w:tcPr>
          <w:p w14:paraId="14CF7D6E" w14:textId="77777777" w:rsidR="00341F9A" w:rsidRPr="00D84B23" w:rsidRDefault="00341F9A" w:rsidP="007B087F">
            <w:pPr>
              <w:pStyle w:val="CETBodytext"/>
              <w:jc w:val="center"/>
            </w:pPr>
            <w:r w:rsidRPr="00D84B23">
              <w:t>SSAR</w:t>
            </w:r>
          </w:p>
          <w:p w14:paraId="770BA46C" w14:textId="77777777" w:rsidR="00341F9A" w:rsidRPr="00D84B23" w:rsidRDefault="00341F9A" w:rsidP="007B087F">
            <w:pPr>
              <w:pStyle w:val="CETBodytext"/>
              <w:jc w:val="center"/>
            </w:pPr>
            <w:r w:rsidRPr="00D84B23">
              <w:t>[m</w:t>
            </w:r>
            <w:r w:rsidRPr="00D84B23">
              <w:rPr>
                <w:vertAlign w:val="superscript"/>
              </w:rPr>
              <w:t>3</w:t>
            </w:r>
            <w:r w:rsidRPr="00D84B23">
              <w:t>/m</w:t>
            </w:r>
            <w:r w:rsidRPr="00D84B23">
              <w:rPr>
                <w:vertAlign w:val="superscript"/>
              </w:rPr>
              <w:t>2</w:t>
            </w:r>
            <w:r w:rsidRPr="00D84B23">
              <w:t>/h]</w:t>
            </w:r>
          </w:p>
        </w:tc>
        <w:tc>
          <w:tcPr>
            <w:tcW w:w="1312" w:type="dxa"/>
            <w:tcBorders>
              <w:top w:val="single" w:sz="12" w:space="0" w:color="008000"/>
              <w:bottom w:val="single" w:sz="6" w:space="0" w:color="008000"/>
            </w:tcBorders>
            <w:shd w:val="clear" w:color="auto" w:fill="FFFFFF"/>
            <w:vAlign w:val="center"/>
          </w:tcPr>
          <w:p w14:paraId="14AFBDAC" w14:textId="26672013" w:rsidR="00341F9A" w:rsidRPr="00D84B23" w:rsidRDefault="00E92A25" w:rsidP="007B087F">
            <w:pPr>
              <w:pStyle w:val="CETBodytext"/>
              <w:jc w:val="center"/>
            </w:pPr>
            <w:r w:rsidRPr="00D84B23">
              <w:t>%</w:t>
            </w:r>
            <w:proofErr w:type="spellStart"/>
            <w:r w:rsidR="008D2E48" w:rsidRPr="00D84B23">
              <w:t>Q</w:t>
            </w:r>
            <w:r w:rsidRPr="00D84B23">
              <w:rPr>
                <w:vertAlign w:val="subscript"/>
              </w:rPr>
              <w:t>aeration</w:t>
            </w:r>
            <w:proofErr w:type="spellEnd"/>
          </w:p>
        </w:tc>
        <w:tc>
          <w:tcPr>
            <w:tcW w:w="567" w:type="dxa"/>
            <w:tcBorders>
              <w:top w:val="single" w:sz="12" w:space="0" w:color="008000"/>
              <w:bottom w:val="single" w:sz="6" w:space="0" w:color="008000"/>
            </w:tcBorders>
            <w:shd w:val="clear" w:color="auto" w:fill="FFFFFF"/>
            <w:vAlign w:val="center"/>
          </w:tcPr>
          <w:p w14:paraId="2E16ABBC" w14:textId="77777777" w:rsidR="00341F9A" w:rsidRPr="00D84B23" w:rsidRDefault="00341F9A" w:rsidP="007B087F">
            <w:pPr>
              <w:pStyle w:val="CETBodytext"/>
              <w:jc w:val="center"/>
            </w:pPr>
          </w:p>
        </w:tc>
        <w:tc>
          <w:tcPr>
            <w:tcW w:w="1312" w:type="dxa"/>
            <w:tcBorders>
              <w:top w:val="single" w:sz="12" w:space="0" w:color="008000"/>
              <w:bottom w:val="single" w:sz="6" w:space="0" w:color="008000"/>
            </w:tcBorders>
            <w:shd w:val="clear" w:color="auto" w:fill="FFFFFF"/>
            <w:vAlign w:val="center"/>
          </w:tcPr>
          <w:p w14:paraId="350C1B78" w14:textId="4D220B41" w:rsidR="00341F9A" w:rsidRPr="00D84B23" w:rsidRDefault="00341F9A" w:rsidP="007B087F">
            <w:pPr>
              <w:pStyle w:val="CETBodytext"/>
              <w:jc w:val="center"/>
            </w:pPr>
            <w:r w:rsidRPr="00D84B23">
              <w:t>N°</w:t>
            </w:r>
          </w:p>
        </w:tc>
        <w:tc>
          <w:tcPr>
            <w:tcW w:w="1312" w:type="dxa"/>
            <w:tcBorders>
              <w:top w:val="single" w:sz="12" w:space="0" w:color="008000"/>
              <w:bottom w:val="single" w:sz="6" w:space="0" w:color="008000"/>
            </w:tcBorders>
            <w:shd w:val="clear" w:color="auto" w:fill="FFFFFF"/>
            <w:vAlign w:val="center"/>
          </w:tcPr>
          <w:p w14:paraId="2C8695F9" w14:textId="77777777" w:rsidR="00341F9A" w:rsidRPr="00D84B23" w:rsidRDefault="00341F9A" w:rsidP="007B087F">
            <w:pPr>
              <w:pStyle w:val="CETBodytext"/>
              <w:jc w:val="center"/>
            </w:pPr>
            <w:r w:rsidRPr="00D84B23">
              <w:t>SSAR</w:t>
            </w:r>
          </w:p>
          <w:p w14:paraId="423440F5" w14:textId="77777777" w:rsidR="00341F9A" w:rsidRPr="00D84B23" w:rsidRDefault="00341F9A" w:rsidP="007B087F">
            <w:pPr>
              <w:pStyle w:val="CETBodytext"/>
              <w:jc w:val="center"/>
            </w:pPr>
            <w:r w:rsidRPr="00D84B23">
              <w:t>[m</w:t>
            </w:r>
            <w:r w:rsidRPr="00D84B23">
              <w:rPr>
                <w:vertAlign w:val="superscript"/>
              </w:rPr>
              <w:t>3</w:t>
            </w:r>
            <w:r w:rsidRPr="00D84B23">
              <w:t>/m</w:t>
            </w:r>
            <w:r w:rsidRPr="00D84B23">
              <w:rPr>
                <w:vertAlign w:val="superscript"/>
              </w:rPr>
              <w:t>2</w:t>
            </w:r>
            <w:r w:rsidRPr="00D84B23">
              <w:t>/h]</w:t>
            </w:r>
          </w:p>
        </w:tc>
        <w:tc>
          <w:tcPr>
            <w:tcW w:w="1312" w:type="dxa"/>
            <w:tcBorders>
              <w:top w:val="single" w:sz="12" w:space="0" w:color="008000"/>
              <w:bottom w:val="single" w:sz="6" w:space="0" w:color="008000"/>
            </w:tcBorders>
            <w:shd w:val="clear" w:color="auto" w:fill="FFFFFF"/>
            <w:vAlign w:val="center"/>
          </w:tcPr>
          <w:p w14:paraId="69ACC620" w14:textId="0D6C8143" w:rsidR="00341F9A" w:rsidRPr="00D84B23" w:rsidRDefault="00E92A25" w:rsidP="007B087F">
            <w:pPr>
              <w:pStyle w:val="CETBodytext"/>
              <w:jc w:val="center"/>
            </w:pPr>
            <w:r w:rsidRPr="00D84B23">
              <w:t>%</w:t>
            </w:r>
            <w:proofErr w:type="spellStart"/>
            <w:r w:rsidR="008D2E48" w:rsidRPr="00D84B23">
              <w:t>Q</w:t>
            </w:r>
            <w:r w:rsidRPr="00D84B23">
              <w:rPr>
                <w:vertAlign w:val="subscript"/>
              </w:rPr>
              <w:t>aeration</w:t>
            </w:r>
            <w:proofErr w:type="spellEnd"/>
          </w:p>
        </w:tc>
      </w:tr>
      <w:tr w:rsidR="00341F9A" w:rsidRPr="00D84B23" w14:paraId="5CDEAB43" w14:textId="77777777" w:rsidTr="00EC1ED2">
        <w:trPr>
          <w:trHeight w:val="250"/>
        </w:trPr>
        <w:tc>
          <w:tcPr>
            <w:tcW w:w="874" w:type="dxa"/>
            <w:shd w:val="clear" w:color="auto" w:fill="FFFFFF"/>
            <w:vAlign w:val="center"/>
          </w:tcPr>
          <w:p w14:paraId="5486D81A" w14:textId="77777777" w:rsidR="00341F9A" w:rsidRPr="00D84B23" w:rsidRDefault="00341F9A" w:rsidP="00567FBC">
            <w:pPr>
              <w:pStyle w:val="CETBodytext"/>
              <w:jc w:val="center"/>
            </w:pPr>
            <w:r w:rsidRPr="00D84B23">
              <w:t>1</w:t>
            </w:r>
          </w:p>
        </w:tc>
        <w:tc>
          <w:tcPr>
            <w:tcW w:w="1310" w:type="dxa"/>
            <w:tcBorders>
              <w:top w:val="nil"/>
              <w:left w:val="nil"/>
              <w:bottom w:val="nil"/>
              <w:right w:val="nil"/>
            </w:tcBorders>
            <w:shd w:val="clear" w:color="auto" w:fill="auto"/>
            <w:vAlign w:val="center"/>
          </w:tcPr>
          <w:p w14:paraId="541D42D3" w14:textId="77777777" w:rsidR="00341F9A" w:rsidRPr="00D84B23" w:rsidRDefault="00341F9A" w:rsidP="00567FBC">
            <w:pPr>
              <w:pStyle w:val="CETBodytext"/>
              <w:jc w:val="center"/>
            </w:pPr>
            <w:r w:rsidRPr="00D84B23">
              <w:t>11.1</w:t>
            </w:r>
          </w:p>
        </w:tc>
        <w:tc>
          <w:tcPr>
            <w:tcW w:w="1312" w:type="dxa"/>
            <w:tcBorders>
              <w:top w:val="nil"/>
              <w:left w:val="nil"/>
              <w:bottom w:val="nil"/>
              <w:right w:val="nil"/>
            </w:tcBorders>
            <w:shd w:val="clear" w:color="auto" w:fill="auto"/>
            <w:vAlign w:val="center"/>
          </w:tcPr>
          <w:p w14:paraId="01996948" w14:textId="77777777" w:rsidR="00341F9A" w:rsidRPr="00D84B23" w:rsidRDefault="00341F9A" w:rsidP="00567FBC">
            <w:pPr>
              <w:pStyle w:val="CETBodytext"/>
              <w:jc w:val="center"/>
            </w:pPr>
            <w:r w:rsidRPr="00D84B23">
              <w:t>36%</w:t>
            </w:r>
          </w:p>
        </w:tc>
        <w:tc>
          <w:tcPr>
            <w:tcW w:w="567" w:type="dxa"/>
            <w:vAlign w:val="center"/>
          </w:tcPr>
          <w:p w14:paraId="0F05971E" w14:textId="77777777" w:rsidR="00341F9A" w:rsidRPr="00D84B23" w:rsidRDefault="00341F9A" w:rsidP="00567FBC">
            <w:pPr>
              <w:pStyle w:val="CETBodytext"/>
              <w:jc w:val="center"/>
            </w:pPr>
          </w:p>
        </w:tc>
        <w:tc>
          <w:tcPr>
            <w:tcW w:w="1312" w:type="dxa"/>
            <w:shd w:val="clear" w:color="auto" w:fill="FFFFFF"/>
            <w:vAlign w:val="center"/>
          </w:tcPr>
          <w:p w14:paraId="75688D59" w14:textId="36C7188D" w:rsidR="00341F9A" w:rsidRPr="00D84B23" w:rsidRDefault="00341F9A" w:rsidP="00567FBC">
            <w:pPr>
              <w:pStyle w:val="CETBodytext"/>
              <w:jc w:val="center"/>
            </w:pPr>
            <w:r w:rsidRPr="00D84B23">
              <w:t>9</w:t>
            </w:r>
          </w:p>
        </w:tc>
        <w:tc>
          <w:tcPr>
            <w:tcW w:w="1312" w:type="dxa"/>
            <w:tcBorders>
              <w:top w:val="nil"/>
              <w:left w:val="nil"/>
              <w:bottom w:val="nil"/>
              <w:right w:val="nil"/>
            </w:tcBorders>
            <w:shd w:val="clear" w:color="auto" w:fill="auto"/>
            <w:vAlign w:val="center"/>
          </w:tcPr>
          <w:p w14:paraId="47039741" w14:textId="011AB2F1" w:rsidR="00341F9A" w:rsidRPr="00D84B23" w:rsidRDefault="00341F9A" w:rsidP="00567FBC">
            <w:pPr>
              <w:pStyle w:val="CETBodytext"/>
              <w:jc w:val="center"/>
            </w:pPr>
            <w:r w:rsidRPr="00D84B23">
              <w:t>0.8</w:t>
            </w:r>
          </w:p>
        </w:tc>
        <w:tc>
          <w:tcPr>
            <w:tcW w:w="1312" w:type="dxa"/>
            <w:tcBorders>
              <w:top w:val="nil"/>
              <w:left w:val="nil"/>
              <w:bottom w:val="nil"/>
              <w:right w:val="nil"/>
            </w:tcBorders>
            <w:shd w:val="clear" w:color="auto" w:fill="auto"/>
            <w:vAlign w:val="center"/>
          </w:tcPr>
          <w:p w14:paraId="6FCE6AA8" w14:textId="784F7F4B" w:rsidR="00341F9A" w:rsidRPr="00D84B23" w:rsidRDefault="00341F9A" w:rsidP="00567FBC">
            <w:pPr>
              <w:pStyle w:val="CETBodytext"/>
              <w:jc w:val="center"/>
            </w:pPr>
            <w:r w:rsidRPr="00D84B23">
              <w:t>4%</w:t>
            </w:r>
          </w:p>
        </w:tc>
      </w:tr>
      <w:tr w:rsidR="00341F9A" w:rsidRPr="00D84B23" w14:paraId="5632C4B6" w14:textId="77777777" w:rsidTr="00EC1ED2">
        <w:trPr>
          <w:trHeight w:val="242"/>
        </w:trPr>
        <w:tc>
          <w:tcPr>
            <w:tcW w:w="874" w:type="dxa"/>
            <w:shd w:val="clear" w:color="auto" w:fill="FFFFFF"/>
            <w:vAlign w:val="center"/>
          </w:tcPr>
          <w:p w14:paraId="655D0979" w14:textId="77777777" w:rsidR="00341F9A" w:rsidRPr="00D84B23" w:rsidRDefault="00341F9A" w:rsidP="00567FBC">
            <w:pPr>
              <w:pStyle w:val="CETBodytext"/>
              <w:jc w:val="center"/>
            </w:pPr>
            <w:r w:rsidRPr="00D84B23">
              <w:t>2</w:t>
            </w:r>
          </w:p>
        </w:tc>
        <w:tc>
          <w:tcPr>
            <w:tcW w:w="1310" w:type="dxa"/>
            <w:tcBorders>
              <w:top w:val="nil"/>
              <w:left w:val="nil"/>
              <w:bottom w:val="nil"/>
              <w:right w:val="nil"/>
            </w:tcBorders>
            <w:shd w:val="clear" w:color="auto" w:fill="auto"/>
            <w:vAlign w:val="center"/>
          </w:tcPr>
          <w:p w14:paraId="3D414285" w14:textId="77777777" w:rsidR="00341F9A" w:rsidRPr="00D84B23" w:rsidRDefault="00341F9A" w:rsidP="00567FBC">
            <w:pPr>
              <w:pStyle w:val="CETBodytext"/>
              <w:jc w:val="center"/>
            </w:pPr>
            <w:r w:rsidRPr="00D84B23">
              <w:t>15.7</w:t>
            </w:r>
          </w:p>
        </w:tc>
        <w:tc>
          <w:tcPr>
            <w:tcW w:w="1312" w:type="dxa"/>
            <w:tcBorders>
              <w:top w:val="nil"/>
              <w:left w:val="nil"/>
              <w:bottom w:val="nil"/>
              <w:right w:val="nil"/>
            </w:tcBorders>
            <w:shd w:val="clear" w:color="auto" w:fill="auto"/>
            <w:vAlign w:val="center"/>
          </w:tcPr>
          <w:p w14:paraId="0BA1C0CF" w14:textId="77777777" w:rsidR="00341F9A" w:rsidRPr="00D84B23" w:rsidRDefault="00341F9A" w:rsidP="00567FBC">
            <w:pPr>
              <w:pStyle w:val="CETBodytext"/>
              <w:jc w:val="center"/>
            </w:pPr>
            <w:r w:rsidRPr="00D84B23">
              <w:t>44%</w:t>
            </w:r>
          </w:p>
        </w:tc>
        <w:tc>
          <w:tcPr>
            <w:tcW w:w="567" w:type="dxa"/>
            <w:vAlign w:val="center"/>
          </w:tcPr>
          <w:p w14:paraId="12D8AB39" w14:textId="77777777" w:rsidR="00341F9A" w:rsidRPr="00D84B23" w:rsidRDefault="00341F9A" w:rsidP="00567FBC">
            <w:pPr>
              <w:pStyle w:val="CETBodytext"/>
              <w:jc w:val="center"/>
            </w:pPr>
          </w:p>
        </w:tc>
        <w:tc>
          <w:tcPr>
            <w:tcW w:w="1312" w:type="dxa"/>
            <w:shd w:val="clear" w:color="auto" w:fill="FFFFFF"/>
            <w:vAlign w:val="center"/>
          </w:tcPr>
          <w:p w14:paraId="576E8C88" w14:textId="64830EB9" w:rsidR="00341F9A" w:rsidRPr="00D84B23" w:rsidRDefault="00341F9A" w:rsidP="00567FBC">
            <w:pPr>
              <w:pStyle w:val="CETBodytext"/>
              <w:jc w:val="center"/>
            </w:pPr>
            <w:r w:rsidRPr="00D84B23">
              <w:t>10</w:t>
            </w:r>
          </w:p>
        </w:tc>
        <w:tc>
          <w:tcPr>
            <w:tcW w:w="1312" w:type="dxa"/>
            <w:tcBorders>
              <w:top w:val="nil"/>
              <w:left w:val="nil"/>
              <w:bottom w:val="nil"/>
              <w:right w:val="nil"/>
            </w:tcBorders>
            <w:shd w:val="clear" w:color="auto" w:fill="auto"/>
            <w:vAlign w:val="center"/>
          </w:tcPr>
          <w:p w14:paraId="4712143F" w14:textId="74F6EFC0" w:rsidR="00341F9A" w:rsidRPr="00D84B23" w:rsidRDefault="00341F9A" w:rsidP="00567FBC">
            <w:pPr>
              <w:pStyle w:val="CETBodytext"/>
              <w:jc w:val="center"/>
            </w:pPr>
            <w:r w:rsidRPr="00D84B23">
              <w:t>7.5</w:t>
            </w:r>
          </w:p>
        </w:tc>
        <w:tc>
          <w:tcPr>
            <w:tcW w:w="1312" w:type="dxa"/>
            <w:tcBorders>
              <w:top w:val="nil"/>
              <w:left w:val="nil"/>
              <w:bottom w:val="nil"/>
              <w:right w:val="nil"/>
            </w:tcBorders>
            <w:shd w:val="clear" w:color="auto" w:fill="auto"/>
            <w:vAlign w:val="center"/>
          </w:tcPr>
          <w:p w14:paraId="1B9FA2BC" w14:textId="40588240" w:rsidR="00341F9A" w:rsidRPr="00D84B23" w:rsidRDefault="00341F9A" w:rsidP="00567FBC">
            <w:pPr>
              <w:pStyle w:val="CETBodytext"/>
              <w:jc w:val="center"/>
            </w:pPr>
            <w:r w:rsidRPr="00D84B23">
              <w:t>27%</w:t>
            </w:r>
          </w:p>
        </w:tc>
      </w:tr>
      <w:tr w:rsidR="00341F9A" w:rsidRPr="00D84B23" w14:paraId="5E8BCE92" w14:textId="77777777" w:rsidTr="00EC1ED2">
        <w:trPr>
          <w:trHeight w:val="242"/>
        </w:trPr>
        <w:tc>
          <w:tcPr>
            <w:tcW w:w="874" w:type="dxa"/>
            <w:shd w:val="clear" w:color="auto" w:fill="FFFFFF"/>
            <w:vAlign w:val="center"/>
          </w:tcPr>
          <w:p w14:paraId="74B15FB8" w14:textId="77777777" w:rsidR="00341F9A" w:rsidRPr="00D84B23" w:rsidRDefault="00341F9A" w:rsidP="00567FBC">
            <w:pPr>
              <w:pStyle w:val="CETBodytext"/>
              <w:jc w:val="center"/>
            </w:pPr>
            <w:r w:rsidRPr="00D84B23">
              <w:t>3</w:t>
            </w:r>
          </w:p>
        </w:tc>
        <w:tc>
          <w:tcPr>
            <w:tcW w:w="1310" w:type="dxa"/>
            <w:tcBorders>
              <w:top w:val="nil"/>
              <w:left w:val="nil"/>
              <w:bottom w:val="nil"/>
              <w:right w:val="nil"/>
            </w:tcBorders>
            <w:shd w:val="clear" w:color="auto" w:fill="auto"/>
            <w:vAlign w:val="center"/>
          </w:tcPr>
          <w:p w14:paraId="53B1FB5F" w14:textId="77777777" w:rsidR="00341F9A" w:rsidRPr="00D84B23" w:rsidRDefault="00341F9A" w:rsidP="00567FBC">
            <w:pPr>
              <w:pStyle w:val="CETBodytext"/>
              <w:jc w:val="center"/>
            </w:pPr>
            <w:r w:rsidRPr="00D84B23">
              <w:t>16.7</w:t>
            </w:r>
          </w:p>
        </w:tc>
        <w:tc>
          <w:tcPr>
            <w:tcW w:w="1312" w:type="dxa"/>
            <w:tcBorders>
              <w:top w:val="nil"/>
              <w:left w:val="nil"/>
              <w:bottom w:val="nil"/>
              <w:right w:val="nil"/>
            </w:tcBorders>
            <w:shd w:val="clear" w:color="auto" w:fill="auto"/>
            <w:vAlign w:val="center"/>
          </w:tcPr>
          <w:p w14:paraId="6E054A25" w14:textId="77777777" w:rsidR="00341F9A" w:rsidRPr="00D84B23" w:rsidRDefault="00341F9A" w:rsidP="00567FBC">
            <w:pPr>
              <w:pStyle w:val="CETBodytext"/>
              <w:jc w:val="center"/>
            </w:pPr>
            <w:r w:rsidRPr="00D84B23">
              <w:t>46%</w:t>
            </w:r>
          </w:p>
        </w:tc>
        <w:tc>
          <w:tcPr>
            <w:tcW w:w="567" w:type="dxa"/>
            <w:vAlign w:val="center"/>
          </w:tcPr>
          <w:p w14:paraId="70AD221F" w14:textId="77777777" w:rsidR="00341F9A" w:rsidRPr="00D84B23" w:rsidRDefault="00341F9A" w:rsidP="00567FBC">
            <w:pPr>
              <w:pStyle w:val="CETBodytext"/>
              <w:jc w:val="center"/>
            </w:pPr>
          </w:p>
        </w:tc>
        <w:tc>
          <w:tcPr>
            <w:tcW w:w="1312" w:type="dxa"/>
            <w:shd w:val="clear" w:color="auto" w:fill="FFFFFF"/>
            <w:vAlign w:val="center"/>
          </w:tcPr>
          <w:p w14:paraId="5BFA5717" w14:textId="1D2D5F49" w:rsidR="00341F9A" w:rsidRPr="00D84B23" w:rsidRDefault="00341F9A" w:rsidP="00567FBC">
            <w:pPr>
              <w:pStyle w:val="CETBodytext"/>
              <w:jc w:val="center"/>
            </w:pPr>
            <w:r w:rsidRPr="00D84B23">
              <w:t>11</w:t>
            </w:r>
          </w:p>
        </w:tc>
        <w:tc>
          <w:tcPr>
            <w:tcW w:w="1312" w:type="dxa"/>
            <w:tcBorders>
              <w:top w:val="nil"/>
              <w:left w:val="nil"/>
              <w:bottom w:val="nil"/>
              <w:right w:val="nil"/>
            </w:tcBorders>
            <w:shd w:val="clear" w:color="auto" w:fill="auto"/>
            <w:vAlign w:val="center"/>
          </w:tcPr>
          <w:p w14:paraId="2DEBEBB1" w14:textId="21057395" w:rsidR="00341F9A" w:rsidRPr="00D84B23" w:rsidRDefault="00341F9A" w:rsidP="00567FBC">
            <w:pPr>
              <w:pStyle w:val="CETBodytext"/>
              <w:jc w:val="center"/>
            </w:pPr>
            <w:r w:rsidRPr="00D84B23">
              <w:t>7.7</w:t>
            </w:r>
          </w:p>
        </w:tc>
        <w:tc>
          <w:tcPr>
            <w:tcW w:w="1312" w:type="dxa"/>
            <w:tcBorders>
              <w:top w:val="nil"/>
              <w:left w:val="nil"/>
              <w:bottom w:val="nil"/>
              <w:right w:val="nil"/>
            </w:tcBorders>
            <w:shd w:val="clear" w:color="auto" w:fill="auto"/>
            <w:vAlign w:val="center"/>
          </w:tcPr>
          <w:p w14:paraId="4EBDB313" w14:textId="692FEAED" w:rsidR="00341F9A" w:rsidRPr="00D84B23" w:rsidRDefault="00341F9A" w:rsidP="00567FBC">
            <w:pPr>
              <w:pStyle w:val="CETBodytext"/>
              <w:jc w:val="center"/>
            </w:pPr>
            <w:r w:rsidRPr="00D84B23">
              <w:t>28%</w:t>
            </w:r>
          </w:p>
        </w:tc>
      </w:tr>
      <w:tr w:rsidR="00341F9A" w:rsidRPr="00D84B23" w14:paraId="78043E81" w14:textId="77777777" w:rsidTr="00EC1ED2">
        <w:trPr>
          <w:trHeight w:val="242"/>
        </w:trPr>
        <w:tc>
          <w:tcPr>
            <w:tcW w:w="874" w:type="dxa"/>
            <w:shd w:val="clear" w:color="auto" w:fill="FFFFFF"/>
            <w:vAlign w:val="center"/>
          </w:tcPr>
          <w:p w14:paraId="34809BBE" w14:textId="77777777" w:rsidR="00341F9A" w:rsidRPr="00D84B23" w:rsidRDefault="00341F9A" w:rsidP="00567FBC">
            <w:pPr>
              <w:pStyle w:val="CETBodytext"/>
              <w:jc w:val="center"/>
            </w:pPr>
            <w:r w:rsidRPr="00D84B23">
              <w:t>4</w:t>
            </w:r>
          </w:p>
        </w:tc>
        <w:tc>
          <w:tcPr>
            <w:tcW w:w="1310" w:type="dxa"/>
            <w:tcBorders>
              <w:top w:val="nil"/>
              <w:left w:val="nil"/>
              <w:bottom w:val="nil"/>
              <w:right w:val="nil"/>
            </w:tcBorders>
            <w:shd w:val="clear" w:color="auto" w:fill="auto"/>
            <w:vAlign w:val="center"/>
          </w:tcPr>
          <w:p w14:paraId="44E3A6A8" w14:textId="77777777" w:rsidR="00341F9A" w:rsidRPr="00D84B23" w:rsidRDefault="00341F9A" w:rsidP="00567FBC">
            <w:pPr>
              <w:pStyle w:val="CETBodytext"/>
              <w:jc w:val="center"/>
            </w:pPr>
            <w:r w:rsidRPr="00D84B23">
              <w:t>17.0</w:t>
            </w:r>
          </w:p>
        </w:tc>
        <w:tc>
          <w:tcPr>
            <w:tcW w:w="1312" w:type="dxa"/>
            <w:tcBorders>
              <w:top w:val="nil"/>
              <w:left w:val="nil"/>
              <w:bottom w:val="nil"/>
              <w:right w:val="nil"/>
            </w:tcBorders>
            <w:shd w:val="clear" w:color="auto" w:fill="auto"/>
            <w:vAlign w:val="center"/>
          </w:tcPr>
          <w:p w14:paraId="6C7D64AE" w14:textId="77777777" w:rsidR="00341F9A" w:rsidRPr="00D84B23" w:rsidRDefault="00341F9A" w:rsidP="00567FBC">
            <w:pPr>
              <w:pStyle w:val="CETBodytext"/>
              <w:jc w:val="center"/>
            </w:pPr>
            <w:r w:rsidRPr="00D84B23">
              <w:t>46%</w:t>
            </w:r>
          </w:p>
        </w:tc>
        <w:tc>
          <w:tcPr>
            <w:tcW w:w="567" w:type="dxa"/>
            <w:vAlign w:val="center"/>
          </w:tcPr>
          <w:p w14:paraId="36F28B45" w14:textId="77777777" w:rsidR="00341F9A" w:rsidRPr="00D84B23" w:rsidRDefault="00341F9A" w:rsidP="00567FBC">
            <w:pPr>
              <w:pStyle w:val="CETBodytext"/>
              <w:jc w:val="center"/>
            </w:pPr>
          </w:p>
        </w:tc>
        <w:tc>
          <w:tcPr>
            <w:tcW w:w="1312" w:type="dxa"/>
            <w:shd w:val="clear" w:color="auto" w:fill="FFFFFF"/>
            <w:vAlign w:val="center"/>
          </w:tcPr>
          <w:p w14:paraId="218C4566" w14:textId="3D02FEB7" w:rsidR="00341F9A" w:rsidRPr="00D84B23" w:rsidRDefault="00341F9A" w:rsidP="00567FBC">
            <w:pPr>
              <w:pStyle w:val="CETBodytext"/>
              <w:jc w:val="center"/>
            </w:pPr>
            <w:r w:rsidRPr="00D84B23">
              <w:t>12</w:t>
            </w:r>
          </w:p>
        </w:tc>
        <w:tc>
          <w:tcPr>
            <w:tcW w:w="1312" w:type="dxa"/>
            <w:tcBorders>
              <w:top w:val="nil"/>
              <w:left w:val="nil"/>
              <w:bottom w:val="nil"/>
              <w:right w:val="nil"/>
            </w:tcBorders>
            <w:shd w:val="clear" w:color="auto" w:fill="auto"/>
            <w:vAlign w:val="center"/>
          </w:tcPr>
          <w:p w14:paraId="1D4F19F9" w14:textId="38838E3F" w:rsidR="00341F9A" w:rsidRPr="00D84B23" w:rsidRDefault="00341F9A" w:rsidP="00567FBC">
            <w:pPr>
              <w:pStyle w:val="CETBodytext"/>
              <w:jc w:val="center"/>
            </w:pPr>
            <w:r w:rsidRPr="00D84B23">
              <w:t>0.1</w:t>
            </w:r>
          </w:p>
        </w:tc>
        <w:tc>
          <w:tcPr>
            <w:tcW w:w="1312" w:type="dxa"/>
            <w:tcBorders>
              <w:top w:val="nil"/>
              <w:left w:val="nil"/>
              <w:bottom w:val="nil"/>
              <w:right w:val="nil"/>
            </w:tcBorders>
            <w:shd w:val="clear" w:color="auto" w:fill="auto"/>
            <w:vAlign w:val="center"/>
          </w:tcPr>
          <w:p w14:paraId="7EA4169B" w14:textId="29F4C95A" w:rsidR="00341F9A" w:rsidRPr="00D84B23" w:rsidRDefault="00341F9A" w:rsidP="00567FBC">
            <w:pPr>
              <w:pStyle w:val="CETBodytext"/>
              <w:jc w:val="center"/>
            </w:pPr>
            <w:r w:rsidRPr="00D84B23">
              <w:t>1%</w:t>
            </w:r>
          </w:p>
        </w:tc>
      </w:tr>
      <w:tr w:rsidR="00341F9A" w:rsidRPr="00D84B23" w14:paraId="749A4A0F" w14:textId="77777777" w:rsidTr="00EC1ED2">
        <w:trPr>
          <w:trHeight w:val="242"/>
        </w:trPr>
        <w:tc>
          <w:tcPr>
            <w:tcW w:w="874" w:type="dxa"/>
            <w:shd w:val="clear" w:color="auto" w:fill="FFFFFF"/>
            <w:vAlign w:val="center"/>
          </w:tcPr>
          <w:p w14:paraId="55DEC0FD" w14:textId="77777777" w:rsidR="00341F9A" w:rsidRPr="00D84B23" w:rsidRDefault="00341F9A" w:rsidP="00567FBC">
            <w:pPr>
              <w:pStyle w:val="CETBodytext"/>
              <w:jc w:val="center"/>
            </w:pPr>
            <w:r w:rsidRPr="00D84B23">
              <w:t>5</w:t>
            </w:r>
          </w:p>
        </w:tc>
        <w:tc>
          <w:tcPr>
            <w:tcW w:w="1310" w:type="dxa"/>
            <w:tcBorders>
              <w:top w:val="nil"/>
              <w:left w:val="nil"/>
              <w:bottom w:val="nil"/>
              <w:right w:val="nil"/>
            </w:tcBorders>
            <w:shd w:val="clear" w:color="auto" w:fill="auto"/>
            <w:vAlign w:val="center"/>
          </w:tcPr>
          <w:p w14:paraId="5D9E99ED" w14:textId="77777777" w:rsidR="00341F9A" w:rsidRPr="00D84B23" w:rsidRDefault="00341F9A" w:rsidP="00567FBC">
            <w:pPr>
              <w:pStyle w:val="CETBodytext"/>
              <w:jc w:val="center"/>
            </w:pPr>
            <w:r w:rsidRPr="00D84B23">
              <w:t>23.2</w:t>
            </w:r>
          </w:p>
        </w:tc>
        <w:tc>
          <w:tcPr>
            <w:tcW w:w="1312" w:type="dxa"/>
            <w:tcBorders>
              <w:top w:val="nil"/>
              <w:left w:val="nil"/>
              <w:bottom w:val="nil"/>
              <w:right w:val="nil"/>
            </w:tcBorders>
            <w:shd w:val="clear" w:color="auto" w:fill="auto"/>
            <w:vAlign w:val="center"/>
          </w:tcPr>
          <w:p w14:paraId="28840825" w14:textId="77777777" w:rsidR="00341F9A" w:rsidRPr="00D84B23" w:rsidRDefault="00341F9A" w:rsidP="00567FBC">
            <w:pPr>
              <w:pStyle w:val="CETBodytext"/>
              <w:jc w:val="center"/>
            </w:pPr>
            <w:r w:rsidRPr="00D84B23">
              <w:t>54%</w:t>
            </w:r>
          </w:p>
        </w:tc>
        <w:tc>
          <w:tcPr>
            <w:tcW w:w="567" w:type="dxa"/>
            <w:vAlign w:val="center"/>
          </w:tcPr>
          <w:p w14:paraId="4F3178C9" w14:textId="77777777" w:rsidR="00341F9A" w:rsidRPr="00D84B23" w:rsidRDefault="00341F9A" w:rsidP="00567FBC">
            <w:pPr>
              <w:pStyle w:val="CETBodytext"/>
              <w:jc w:val="center"/>
              <w:rPr>
                <w:rFonts w:cs="Arial"/>
                <w:szCs w:val="18"/>
              </w:rPr>
            </w:pPr>
          </w:p>
        </w:tc>
        <w:tc>
          <w:tcPr>
            <w:tcW w:w="1312" w:type="dxa"/>
            <w:shd w:val="clear" w:color="auto" w:fill="FFFFFF"/>
            <w:vAlign w:val="center"/>
          </w:tcPr>
          <w:p w14:paraId="6C392E42" w14:textId="11D5B946" w:rsidR="00341F9A" w:rsidRPr="00D84B23" w:rsidRDefault="00341F9A" w:rsidP="00567FBC">
            <w:pPr>
              <w:pStyle w:val="CETBodytext"/>
              <w:jc w:val="center"/>
            </w:pPr>
            <w:r w:rsidRPr="00D84B23">
              <w:rPr>
                <w:rFonts w:cs="Arial"/>
                <w:szCs w:val="18"/>
              </w:rPr>
              <w:t>13</w:t>
            </w:r>
          </w:p>
        </w:tc>
        <w:tc>
          <w:tcPr>
            <w:tcW w:w="1312" w:type="dxa"/>
            <w:tcBorders>
              <w:top w:val="nil"/>
              <w:left w:val="nil"/>
              <w:bottom w:val="nil"/>
              <w:right w:val="nil"/>
            </w:tcBorders>
            <w:shd w:val="clear" w:color="auto" w:fill="auto"/>
            <w:vAlign w:val="center"/>
          </w:tcPr>
          <w:p w14:paraId="68B08A5E" w14:textId="77F74306" w:rsidR="00341F9A" w:rsidRPr="00D84B23" w:rsidRDefault="00341F9A" w:rsidP="00567FBC">
            <w:pPr>
              <w:pStyle w:val="CETBodytext"/>
              <w:jc w:val="center"/>
            </w:pPr>
            <w:r w:rsidRPr="00D84B23">
              <w:rPr>
                <w:rFonts w:cs="Arial"/>
                <w:szCs w:val="18"/>
              </w:rPr>
              <w:t>22.0</w:t>
            </w:r>
          </w:p>
        </w:tc>
        <w:tc>
          <w:tcPr>
            <w:tcW w:w="1312" w:type="dxa"/>
            <w:tcBorders>
              <w:top w:val="nil"/>
              <w:left w:val="nil"/>
              <w:bottom w:val="nil"/>
              <w:right w:val="nil"/>
            </w:tcBorders>
            <w:shd w:val="clear" w:color="auto" w:fill="auto"/>
            <w:vAlign w:val="center"/>
          </w:tcPr>
          <w:p w14:paraId="57B923AB" w14:textId="63D32FF8" w:rsidR="00341F9A" w:rsidRPr="00D84B23" w:rsidRDefault="00341F9A" w:rsidP="00567FBC">
            <w:pPr>
              <w:pStyle w:val="CETBodytext"/>
              <w:jc w:val="center"/>
            </w:pPr>
            <w:r w:rsidRPr="00D84B23">
              <w:rPr>
                <w:rFonts w:cs="Arial"/>
                <w:szCs w:val="18"/>
              </w:rPr>
              <w:t>52%</w:t>
            </w:r>
          </w:p>
        </w:tc>
      </w:tr>
      <w:tr w:rsidR="00341F9A" w:rsidRPr="00D84B23" w14:paraId="629BA7BB" w14:textId="77777777" w:rsidTr="00EC1ED2">
        <w:trPr>
          <w:trHeight w:val="235"/>
        </w:trPr>
        <w:tc>
          <w:tcPr>
            <w:tcW w:w="874" w:type="dxa"/>
            <w:shd w:val="clear" w:color="auto" w:fill="FFFFFF"/>
            <w:vAlign w:val="center"/>
          </w:tcPr>
          <w:p w14:paraId="5E1813B7" w14:textId="77777777" w:rsidR="00341F9A" w:rsidRPr="00D84B23" w:rsidRDefault="00341F9A" w:rsidP="00567FBC">
            <w:pPr>
              <w:pStyle w:val="CETBodytext"/>
              <w:jc w:val="center"/>
            </w:pPr>
            <w:r w:rsidRPr="00D84B23">
              <w:t>6</w:t>
            </w:r>
          </w:p>
        </w:tc>
        <w:tc>
          <w:tcPr>
            <w:tcW w:w="1310" w:type="dxa"/>
            <w:tcBorders>
              <w:top w:val="nil"/>
              <w:left w:val="nil"/>
              <w:bottom w:val="nil"/>
              <w:right w:val="nil"/>
            </w:tcBorders>
            <w:shd w:val="clear" w:color="auto" w:fill="auto"/>
            <w:vAlign w:val="center"/>
          </w:tcPr>
          <w:p w14:paraId="5CB92D78" w14:textId="77777777" w:rsidR="00341F9A" w:rsidRPr="00D84B23" w:rsidRDefault="00341F9A" w:rsidP="00567FBC">
            <w:pPr>
              <w:pStyle w:val="CETBodytext"/>
              <w:jc w:val="center"/>
            </w:pPr>
            <w:r w:rsidRPr="00D84B23">
              <w:t>16.7</w:t>
            </w:r>
          </w:p>
        </w:tc>
        <w:tc>
          <w:tcPr>
            <w:tcW w:w="1312" w:type="dxa"/>
            <w:tcBorders>
              <w:top w:val="nil"/>
              <w:left w:val="nil"/>
              <w:bottom w:val="nil"/>
              <w:right w:val="nil"/>
            </w:tcBorders>
            <w:shd w:val="clear" w:color="auto" w:fill="auto"/>
            <w:vAlign w:val="center"/>
          </w:tcPr>
          <w:p w14:paraId="47123434" w14:textId="77777777" w:rsidR="00341F9A" w:rsidRPr="00D84B23" w:rsidRDefault="00341F9A" w:rsidP="00567FBC">
            <w:pPr>
              <w:pStyle w:val="CETBodytext"/>
              <w:jc w:val="center"/>
            </w:pPr>
            <w:r w:rsidRPr="00D84B23">
              <w:t>46%</w:t>
            </w:r>
          </w:p>
        </w:tc>
        <w:tc>
          <w:tcPr>
            <w:tcW w:w="567" w:type="dxa"/>
            <w:vAlign w:val="center"/>
          </w:tcPr>
          <w:p w14:paraId="1942147B" w14:textId="77777777" w:rsidR="00341F9A" w:rsidRPr="00D84B23" w:rsidRDefault="00341F9A" w:rsidP="00567FBC">
            <w:pPr>
              <w:pStyle w:val="CETBodytext"/>
              <w:jc w:val="center"/>
            </w:pPr>
          </w:p>
        </w:tc>
        <w:tc>
          <w:tcPr>
            <w:tcW w:w="1312" w:type="dxa"/>
            <w:shd w:val="clear" w:color="auto" w:fill="FFFFFF"/>
            <w:vAlign w:val="center"/>
          </w:tcPr>
          <w:p w14:paraId="2069800A" w14:textId="37F3A65D" w:rsidR="00341F9A" w:rsidRPr="00D84B23" w:rsidRDefault="00341F9A" w:rsidP="00567FBC">
            <w:pPr>
              <w:pStyle w:val="CETBodytext"/>
              <w:jc w:val="center"/>
            </w:pPr>
            <w:r w:rsidRPr="00D84B23">
              <w:t>14</w:t>
            </w:r>
          </w:p>
        </w:tc>
        <w:tc>
          <w:tcPr>
            <w:tcW w:w="1312" w:type="dxa"/>
            <w:shd w:val="clear" w:color="auto" w:fill="FFFFFF"/>
            <w:vAlign w:val="center"/>
          </w:tcPr>
          <w:p w14:paraId="0A61CE9C" w14:textId="45E30E64" w:rsidR="00341F9A" w:rsidRPr="00D84B23" w:rsidRDefault="00341F9A" w:rsidP="00567FBC">
            <w:pPr>
              <w:pStyle w:val="CETBodytext"/>
              <w:jc w:val="center"/>
            </w:pPr>
            <w:r w:rsidRPr="00D84B23">
              <w:t>9.7</w:t>
            </w:r>
          </w:p>
        </w:tc>
        <w:tc>
          <w:tcPr>
            <w:tcW w:w="1312" w:type="dxa"/>
            <w:shd w:val="clear" w:color="auto" w:fill="FFFFFF"/>
            <w:vAlign w:val="center"/>
          </w:tcPr>
          <w:p w14:paraId="653FFB61" w14:textId="1E303E96" w:rsidR="00341F9A" w:rsidRPr="00D84B23" w:rsidRDefault="00341F9A" w:rsidP="00567FBC">
            <w:pPr>
              <w:pStyle w:val="CETBodytext"/>
              <w:jc w:val="center"/>
            </w:pPr>
            <w:r w:rsidRPr="00D84B23">
              <w:t>33%</w:t>
            </w:r>
          </w:p>
        </w:tc>
      </w:tr>
      <w:tr w:rsidR="00341F9A" w:rsidRPr="00D84B23" w14:paraId="7EFED6DC" w14:textId="77777777" w:rsidTr="00EC1ED2">
        <w:trPr>
          <w:trHeight w:val="242"/>
        </w:trPr>
        <w:tc>
          <w:tcPr>
            <w:tcW w:w="874" w:type="dxa"/>
            <w:shd w:val="clear" w:color="auto" w:fill="FFFFFF"/>
            <w:vAlign w:val="center"/>
          </w:tcPr>
          <w:p w14:paraId="10DEE579" w14:textId="6323F9A6" w:rsidR="00341F9A" w:rsidRPr="00D84B23" w:rsidRDefault="00341F9A" w:rsidP="00567FBC">
            <w:pPr>
              <w:pStyle w:val="CETBodytext"/>
              <w:jc w:val="center"/>
            </w:pPr>
            <w:r w:rsidRPr="00D84B23">
              <w:t>7</w:t>
            </w:r>
          </w:p>
        </w:tc>
        <w:tc>
          <w:tcPr>
            <w:tcW w:w="1310" w:type="dxa"/>
            <w:tcBorders>
              <w:top w:val="nil"/>
              <w:left w:val="nil"/>
              <w:bottom w:val="nil"/>
              <w:right w:val="nil"/>
            </w:tcBorders>
            <w:shd w:val="clear" w:color="auto" w:fill="auto"/>
            <w:vAlign w:val="center"/>
          </w:tcPr>
          <w:p w14:paraId="5215FBF1" w14:textId="762D440C" w:rsidR="00341F9A" w:rsidRPr="00D84B23" w:rsidRDefault="00341F9A" w:rsidP="00567FBC">
            <w:pPr>
              <w:pStyle w:val="CETBodytext"/>
              <w:jc w:val="center"/>
            </w:pPr>
            <w:r w:rsidRPr="00D84B23">
              <w:t>22.9</w:t>
            </w:r>
          </w:p>
        </w:tc>
        <w:tc>
          <w:tcPr>
            <w:tcW w:w="1312" w:type="dxa"/>
            <w:tcBorders>
              <w:top w:val="nil"/>
              <w:left w:val="nil"/>
              <w:bottom w:val="nil"/>
              <w:right w:val="nil"/>
            </w:tcBorders>
            <w:shd w:val="clear" w:color="auto" w:fill="auto"/>
            <w:vAlign w:val="center"/>
          </w:tcPr>
          <w:p w14:paraId="306F341A" w14:textId="41986C08" w:rsidR="00341F9A" w:rsidRPr="00D84B23" w:rsidRDefault="00341F9A" w:rsidP="00567FBC">
            <w:pPr>
              <w:pStyle w:val="CETBodytext"/>
              <w:jc w:val="center"/>
            </w:pPr>
            <w:r w:rsidRPr="00D84B23">
              <w:t>53%</w:t>
            </w:r>
          </w:p>
        </w:tc>
        <w:tc>
          <w:tcPr>
            <w:tcW w:w="567" w:type="dxa"/>
            <w:vAlign w:val="center"/>
          </w:tcPr>
          <w:p w14:paraId="1EFCDA18" w14:textId="77777777" w:rsidR="00341F9A" w:rsidRPr="00D84B23" w:rsidRDefault="00341F9A" w:rsidP="00567FBC">
            <w:pPr>
              <w:pStyle w:val="CETBodytext"/>
              <w:jc w:val="center"/>
              <w:rPr>
                <w:rFonts w:cs="Arial"/>
                <w:szCs w:val="18"/>
              </w:rPr>
            </w:pPr>
          </w:p>
        </w:tc>
        <w:tc>
          <w:tcPr>
            <w:tcW w:w="1312" w:type="dxa"/>
            <w:shd w:val="clear" w:color="auto" w:fill="FFFFFF"/>
            <w:vAlign w:val="center"/>
          </w:tcPr>
          <w:p w14:paraId="352EA456" w14:textId="17186C3B" w:rsidR="00341F9A" w:rsidRPr="00D84B23" w:rsidRDefault="00341F9A" w:rsidP="00567FBC">
            <w:pPr>
              <w:pStyle w:val="CETBodytext"/>
              <w:jc w:val="center"/>
              <w:rPr>
                <w:rFonts w:cs="Arial"/>
                <w:szCs w:val="18"/>
              </w:rPr>
            </w:pPr>
            <w:r w:rsidRPr="00D84B23">
              <w:rPr>
                <w:rFonts w:cs="Arial"/>
                <w:szCs w:val="18"/>
              </w:rPr>
              <w:t>15</w:t>
            </w:r>
          </w:p>
        </w:tc>
        <w:tc>
          <w:tcPr>
            <w:tcW w:w="1312" w:type="dxa"/>
            <w:shd w:val="clear" w:color="auto" w:fill="FFFFFF"/>
            <w:vAlign w:val="center"/>
          </w:tcPr>
          <w:p w14:paraId="59633761" w14:textId="44BE644D" w:rsidR="00341F9A" w:rsidRPr="00D84B23" w:rsidRDefault="00341F9A" w:rsidP="00567FBC">
            <w:pPr>
              <w:pStyle w:val="CETBodytext"/>
              <w:jc w:val="center"/>
              <w:rPr>
                <w:rFonts w:cs="Arial"/>
                <w:szCs w:val="18"/>
              </w:rPr>
            </w:pPr>
            <w:r w:rsidRPr="00D84B23">
              <w:rPr>
                <w:rFonts w:cs="Arial"/>
                <w:szCs w:val="18"/>
              </w:rPr>
              <w:t>16.8</w:t>
            </w:r>
          </w:p>
        </w:tc>
        <w:tc>
          <w:tcPr>
            <w:tcW w:w="1312" w:type="dxa"/>
            <w:shd w:val="clear" w:color="auto" w:fill="FFFFFF"/>
            <w:vAlign w:val="center"/>
          </w:tcPr>
          <w:p w14:paraId="4E5070A9" w14:textId="428B1998" w:rsidR="00341F9A" w:rsidRPr="00D84B23" w:rsidRDefault="00341F9A" w:rsidP="00567FBC">
            <w:pPr>
              <w:pStyle w:val="CETBodytext"/>
              <w:jc w:val="center"/>
              <w:rPr>
                <w:rFonts w:cs="Arial"/>
                <w:szCs w:val="18"/>
              </w:rPr>
            </w:pPr>
            <w:r w:rsidRPr="00D84B23">
              <w:rPr>
                <w:rFonts w:cs="Arial"/>
                <w:szCs w:val="18"/>
              </w:rPr>
              <w:t>46%</w:t>
            </w:r>
          </w:p>
        </w:tc>
      </w:tr>
      <w:tr w:rsidR="00341F9A" w:rsidRPr="00D84B23" w14:paraId="70C5DC19" w14:textId="77777777" w:rsidTr="00EC1ED2">
        <w:trPr>
          <w:trHeight w:val="242"/>
        </w:trPr>
        <w:tc>
          <w:tcPr>
            <w:tcW w:w="874" w:type="dxa"/>
            <w:shd w:val="clear" w:color="auto" w:fill="FFFFFF"/>
            <w:vAlign w:val="center"/>
          </w:tcPr>
          <w:p w14:paraId="087E9591" w14:textId="786D7679" w:rsidR="00341F9A" w:rsidRPr="00D84B23" w:rsidRDefault="00341F9A" w:rsidP="00567FBC">
            <w:pPr>
              <w:pStyle w:val="CETBodytext"/>
              <w:ind w:right="-1"/>
              <w:jc w:val="center"/>
              <w:rPr>
                <w:rFonts w:cs="Arial"/>
                <w:szCs w:val="18"/>
              </w:rPr>
            </w:pPr>
            <w:r w:rsidRPr="00D84B23">
              <w:t>8</w:t>
            </w:r>
          </w:p>
        </w:tc>
        <w:tc>
          <w:tcPr>
            <w:tcW w:w="1310" w:type="dxa"/>
            <w:shd w:val="clear" w:color="auto" w:fill="FFFFFF"/>
            <w:vAlign w:val="center"/>
          </w:tcPr>
          <w:p w14:paraId="7B3C8CFA" w14:textId="1A66F1A0" w:rsidR="00341F9A" w:rsidRPr="00D84B23" w:rsidRDefault="00341F9A" w:rsidP="00567FBC">
            <w:pPr>
              <w:pStyle w:val="CETBodytext"/>
              <w:ind w:right="-1"/>
              <w:jc w:val="center"/>
              <w:rPr>
                <w:rFonts w:cs="Arial"/>
                <w:szCs w:val="18"/>
              </w:rPr>
            </w:pPr>
            <w:r w:rsidRPr="00D84B23">
              <w:t>5.8</w:t>
            </w:r>
          </w:p>
        </w:tc>
        <w:tc>
          <w:tcPr>
            <w:tcW w:w="1312" w:type="dxa"/>
            <w:shd w:val="clear" w:color="auto" w:fill="FFFFFF"/>
            <w:vAlign w:val="center"/>
          </w:tcPr>
          <w:p w14:paraId="5CF94097" w14:textId="7A504FBA" w:rsidR="00341F9A" w:rsidRPr="00D84B23" w:rsidRDefault="00341F9A" w:rsidP="00567FBC">
            <w:pPr>
              <w:pStyle w:val="CETBodytext"/>
              <w:ind w:right="-1"/>
              <w:jc w:val="center"/>
              <w:rPr>
                <w:rFonts w:cs="Arial"/>
                <w:szCs w:val="18"/>
              </w:rPr>
            </w:pPr>
            <w:r w:rsidRPr="00D84B23">
              <w:t>23%</w:t>
            </w:r>
          </w:p>
        </w:tc>
        <w:tc>
          <w:tcPr>
            <w:tcW w:w="567" w:type="dxa"/>
            <w:shd w:val="clear" w:color="auto" w:fill="FFFFFF"/>
            <w:vAlign w:val="center"/>
          </w:tcPr>
          <w:p w14:paraId="0467A2D4" w14:textId="77777777" w:rsidR="00341F9A" w:rsidRPr="00D84B23" w:rsidRDefault="00341F9A" w:rsidP="00567FBC">
            <w:pPr>
              <w:pStyle w:val="CETBodytext"/>
              <w:ind w:right="-1"/>
              <w:jc w:val="center"/>
              <w:rPr>
                <w:rFonts w:cs="Arial"/>
                <w:szCs w:val="18"/>
              </w:rPr>
            </w:pPr>
          </w:p>
        </w:tc>
        <w:tc>
          <w:tcPr>
            <w:tcW w:w="1312" w:type="dxa"/>
            <w:shd w:val="clear" w:color="auto" w:fill="FFFFFF"/>
            <w:vAlign w:val="center"/>
          </w:tcPr>
          <w:p w14:paraId="612FBEBD" w14:textId="65478935" w:rsidR="00341F9A" w:rsidRPr="00D84B23" w:rsidRDefault="00341F9A" w:rsidP="00567FBC">
            <w:pPr>
              <w:pStyle w:val="CETBodytext"/>
              <w:ind w:right="-1"/>
              <w:jc w:val="center"/>
              <w:rPr>
                <w:rFonts w:cs="Arial"/>
                <w:szCs w:val="18"/>
              </w:rPr>
            </w:pPr>
            <w:r w:rsidRPr="00D84B23">
              <w:rPr>
                <w:rFonts w:cs="Arial"/>
                <w:szCs w:val="18"/>
              </w:rPr>
              <w:t>16</w:t>
            </w:r>
          </w:p>
        </w:tc>
        <w:tc>
          <w:tcPr>
            <w:tcW w:w="1312" w:type="dxa"/>
            <w:shd w:val="clear" w:color="auto" w:fill="FFFFFF"/>
            <w:vAlign w:val="center"/>
          </w:tcPr>
          <w:p w14:paraId="7FB54959" w14:textId="0C0E5DC6" w:rsidR="00341F9A" w:rsidRPr="00D84B23" w:rsidRDefault="00341F9A" w:rsidP="00567FBC">
            <w:pPr>
              <w:pStyle w:val="CETBodytext"/>
              <w:ind w:right="-1"/>
              <w:jc w:val="center"/>
              <w:rPr>
                <w:rFonts w:cs="Arial"/>
                <w:szCs w:val="18"/>
              </w:rPr>
            </w:pPr>
            <w:r w:rsidRPr="00D84B23">
              <w:rPr>
                <w:rFonts w:cs="Arial"/>
                <w:szCs w:val="18"/>
              </w:rPr>
              <w:t>14.6</w:t>
            </w:r>
          </w:p>
        </w:tc>
        <w:tc>
          <w:tcPr>
            <w:tcW w:w="1312" w:type="dxa"/>
            <w:shd w:val="clear" w:color="auto" w:fill="FFFFFF"/>
            <w:vAlign w:val="center"/>
          </w:tcPr>
          <w:p w14:paraId="68CBE2BA" w14:textId="5BFDA1FD" w:rsidR="00341F9A" w:rsidRPr="00D84B23" w:rsidRDefault="00341F9A" w:rsidP="00567FBC">
            <w:pPr>
              <w:pStyle w:val="CETBodytext"/>
              <w:ind w:right="-1"/>
              <w:jc w:val="center"/>
              <w:rPr>
                <w:rFonts w:cs="Arial"/>
                <w:szCs w:val="18"/>
              </w:rPr>
            </w:pPr>
            <w:r w:rsidRPr="00D84B23">
              <w:rPr>
                <w:rFonts w:cs="Arial"/>
                <w:szCs w:val="18"/>
              </w:rPr>
              <w:t>42%</w:t>
            </w:r>
          </w:p>
        </w:tc>
      </w:tr>
    </w:tbl>
    <w:p w14:paraId="1330AF60" w14:textId="77777777" w:rsidR="003C2B44" w:rsidRPr="00D84B23" w:rsidRDefault="003C2B44" w:rsidP="000166F3">
      <w:pPr>
        <w:pStyle w:val="CETBodytext"/>
      </w:pPr>
    </w:p>
    <w:p w14:paraId="63331366" w14:textId="5C22729E" w:rsidR="008D2E48" w:rsidRPr="00D84B23" w:rsidRDefault="00643059" w:rsidP="00E92A25">
      <w:pPr>
        <w:pStyle w:val="CETBodytext"/>
      </w:pPr>
      <w:r>
        <w:t>The analysis of reported values</w:t>
      </w:r>
      <w:r w:rsidR="008D2E48" w:rsidRPr="00D84B23">
        <w:t>, even without taking</w:t>
      </w:r>
      <w:r w:rsidR="0087049D">
        <w:t xml:space="preserve"> odour</w:t>
      </w:r>
      <w:r w:rsidR="008D2E48" w:rsidRPr="00D84B23">
        <w:t xml:space="preserve"> measurements, </w:t>
      </w:r>
      <w:r>
        <w:t>highlights that</w:t>
      </w:r>
      <w:r w:rsidRPr="00D84B23">
        <w:t xml:space="preserve"> if</w:t>
      </w:r>
      <w:r w:rsidR="008D2E48" w:rsidRPr="00D84B23">
        <w:t xml:space="preserve"> the contribution of the diffusers were neglected in the calculation of </w:t>
      </w:r>
      <w:proofErr w:type="spellStart"/>
      <w:r w:rsidR="008D2E48" w:rsidRPr="00D84B23">
        <w:t>Q</w:t>
      </w:r>
      <w:r w:rsidR="008D2E48" w:rsidRPr="00D84B23">
        <w:rPr>
          <w:vertAlign w:val="subscript"/>
        </w:rPr>
        <w:t>out</w:t>
      </w:r>
      <w:proofErr w:type="spellEnd"/>
      <w:r w:rsidR="008D2E48" w:rsidRPr="00D84B23">
        <w:t>, the SOER (and consequently the OER) would be underestimated by an average of 36%.</w:t>
      </w:r>
    </w:p>
    <w:p w14:paraId="63048C7B" w14:textId="24100ED4" w:rsidR="000166F3" w:rsidRPr="00D84B23" w:rsidRDefault="000166F3" w:rsidP="000166F3">
      <w:pPr>
        <w:pStyle w:val="CETBodytext"/>
      </w:pPr>
      <w:r w:rsidRPr="00D84B23">
        <w:t xml:space="preserve">In </w:t>
      </w:r>
      <w:r w:rsidR="002769E2" w:rsidRPr="00D84B23">
        <w:t>addition</w:t>
      </w:r>
      <w:r w:rsidRPr="00D84B23">
        <w:t xml:space="preserve">, the </w:t>
      </w:r>
      <w:r w:rsidR="00E92A25" w:rsidRPr="00D84B23">
        <w:t>biological oxidation tank</w:t>
      </w:r>
      <w:r w:rsidRPr="00D84B23">
        <w:t xml:space="preserve"> n.7 of </w:t>
      </w:r>
      <w:r w:rsidR="00EC1ED2" w:rsidRPr="00D84B23">
        <w:fldChar w:fldCharType="begin"/>
      </w:r>
      <w:r w:rsidR="00EC1ED2" w:rsidRPr="00D84B23">
        <w:instrText xml:space="preserve"> REF _Ref166529558 \h </w:instrText>
      </w:r>
      <w:r w:rsidR="00EC1ED2" w:rsidRPr="00D84B23">
        <w:fldChar w:fldCharType="separate"/>
      </w:r>
      <w:r w:rsidR="00EC1ED2" w:rsidRPr="00D84B23">
        <w:t xml:space="preserve">Table </w:t>
      </w:r>
      <w:r w:rsidR="00EC1ED2" w:rsidRPr="00D84B23">
        <w:rPr>
          <w:noProof/>
        </w:rPr>
        <w:t>1</w:t>
      </w:r>
      <w:r w:rsidR="00EC1ED2" w:rsidRPr="00D84B23">
        <w:fldChar w:fldCharType="end"/>
      </w:r>
      <w:r w:rsidR="00E92A25" w:rsidRPr="00D84B23">
        <w:t xml:space="preserve">, the </w:t>
      </w:r>
      <w:r w:rsidR="00EC1ED2" w:rsidRPr="00D84B23">
        <w:t>second</w:t>
      </w:r>
      <w:r w:rsidR="00E92A25" w:rsidRPr="00D84B23">
        <w:t xml:space="preserve"> with the maximum value of SSAR,</w:t>
      </w:r>
      <w:r w:rsidRPr="00D84B23">
        <w:t xml:space="preserve"> </w:t>
      </w:r>
      <w:r w:rsidR="00E92A25" w:rsidRPr="00D84B23">
        <w:t>has been investigated with an</w:t>
      </w:r>
      <w:r w:rsidRPr="00D84B23">
        <w:t xml:space="preserve"> olfactometric study. </w:t>
      </w:r>
      <w:r w:rsidR="00E92A25" w:rsidRPr="00D84B23">
        <w:t>Considering its SSAR (2</w:t>
      </w:r>
      <w:r w:rsidR="00EC1ED2" w:rsidRPr="00D84B23">
        <w:t>2</w:t>
      </w:r>
      <w:r w:rsidR="00E92A25" w:rsidRPr="00D84B23">
        <w:t>.</w:t>
      </w:r>
      <w:r w:rsidR="00EC1ED2" w:rsidRPr="00D84B23">
        <w:t>9</w:t>
      </w:r>
      <w:r w:rsidR="00E92A25" w:rsidRPr="00D84B23">
        <w:t xml:space="preserve"> m</w:t>
      </w:r>
      <w:r w:rsidR="00E92A25" w:rsidRPr="00D84B23">
        <w:rPr>
          <w:vertAlign w:val="superscript"/>
        </w:rPr>
        <w:t>3</w:t>
      </w:r>
      <w:r w:rsidR="00E92A25" w:rsidRPr="00D84B23">
        <w:t>/m</w:t>
      </w:r>
      <w:r w:rsidR="00E92A25" w:rsidRPr="00D84B23">
        <w:rPr>
          <w:vertAlign w:val="superscript"/>
        </w:rPr>
        <w:t>2</w:t>
      </w:r>
      <w:r w:rsidR="00E92A25" w:rsidRPr="00D84B23">
        <w:t>/h),</w:t>
      </w:r>
      <w:r w:rsidR="00EC1ED2" w:rsidRPr="00D84B23">
        <w:t xml:space="preserve"> </w:t>
      </w:r>
      <w:r w:rsidR="002769E2" w:rsidRPr="00D84B23">
        <w:t>and given the threshold of the</w:t>
      </w:r>
      <w:r w:rsidRPr="00D84B23">
        <w:t xml:space="preserve"> technical </w:t>
      </w:r>
      <w:r w:rsidR="00E92A25" w:rsidRPr="00D84B23">
        <w:t>standard</w:t>
      </w:r>
      <w:r w:rsidRPr="00D84B23">
        <w:t xml:space="preserve">, </w:t>
      </w:r>
      <w:r w:rsidR="00E92A25" w:rsidRPr="00D84B23">
        <w:t xml:space="preserve">even </w:t>
      </w:r>
      <w:r w:rsidRPr="00D84B23">
        <w:t xml:space="preserve">this </w:t>
      </w:r>
      <w:r w:rsidR="00E92A25" w:rsidRPr="00D84B23">
        <w:t>tank</w:t>
      </w:r>
      <w:r w:rsidRPr="00D84B23">
        <w:t xml:space="preserve"> should be classified as passive</w:t>
      </w:r>
      <w:r w:rsidR="00E92A25" w:rsidRPr="00D84B23">
        <w:t xml:space="preserve"> (&lt; 28.8 m</w:t>
      </w:r>
      <w:r w:rsidR="00E92A25" w:rsidRPr="00D84B23">
        <w:rPr>
          <w:vertAlign w:val="superscript"/>
        </w:rPr>
        <w:t>3</w:t>
      </w:r>
      <w:r w:rsidR="00E92A25" w:rsidRPr="00D84B23">
        <w:t>/m</w:t>
      </w:r>
      <w:r w:rsidR="00E92A25" w:rsidRPr="00D84B23">
        <w:rPr>
          <w:vertAlign w:val="superscript"/>
        </w:rPr>
        <w:t>2</w:t>
      </w:r>
      <w:r w:rsidR="00E92A25" w:rsidRPr="00D84B23">
        <w:t>/h)</w:t>
      </w:r>
      <w:r w:rsidRPr="00D84B23">
        <w:t>.</w:t>
      </w:r>
    </w:p>
    <w:p w14:paraId="4D5DDB34" w14:textId="270C9EF4" w:rsidR="00B322DC" w:rsidRPr="00D84B23" w:rsidRDefault="00B322DC" w:rsidP="00B322DC">
      <w:pPr>
        <w:pStyle w:val="CETheadingx"/>
      </w:pPr>
      <w:r w:rsidRPr="00D84B23">
        <w:t>Field sampling campaign</w:t>
      </w:r>
    </w:p>
    <w:p w14:paraId="47B6935A" w14:textId="584EF5AA" w:rsidR="009B00C4" w:rsidRPr="00D84B23" w:rsidRDefault="003A4EF6" w:rsidP="002F2AF6">
      <w:pPr>
        <w:pStyle w:val="CETBodytext"/>
      </w:pPr>
      <w:r w:rsidRPr="00D84B23">
        <w:t>T</w:t>
      </w:r>
      <w:r w:rsidR="002F2AF6" w:rsidRPr="00D84B23">
        <w:t xml:space="preserve">he </w:t>
      </w:r>
      <w:r w:rsidR="002769E2" w:rsidRPr="00D84B23">
        <w:t xml:space="preserve">olfactometric campaign at the aeration basin n.7 has been conducted on two different days. </w:t>
      </w:r>
      <w:r w:rsidR="009B00C4" w:rsidRPr="00D84B23">
        <w:t xml:space="preserve">A comparison </w:t>
      </w:r>
      <w:r w:rsidR="002769E2" w:rsidRPr="00D84B23">
        <w:t>wa</w:t>
      </w:r>
      <w:r w:rsidR="009B00C4" w:rsidRPr="00D84B23">
        <w:t xml:space="preserve">s made through two distinct sampling approaches </w:t>
      </w:r>
      <w:r w:rsidR="002769E2" w:rsidRPr="00D84B23">
        <w:t xml:space="preserve">used </w:t>
      </w:r>
      <w:r w:rsidR="009B00C4" w:rsidRPr="00D84B23">
        <w:t xml:space="preserve">to collect the gaseous aliquot inside </w:t>
      </w:r>
      <w:proofErr w:type="spellStart"/>
      <w:r w:rsidR="009B00C4" w:rsidRPr="00D84B23">
        <w:t>Nalophan</w:t>
      </w:r>
      <w:proofErr w:type="spellEnd"/>
      <w:r w:rsidR="009B00C4" w:rsidRPr="00D84B23">
        <w:t xml:space="preserve">™ bags. </w:t>
      </w:r>
      <w:r w:rsidR="000E249F" w:rsidRPr="00D84B23">
        <w:t>The</w:t>
      </w:r>
      <w:r w:rsidR="009B00C4" w:rsidRPr="00D84B23">
        <w:t xml:space="preserve"> hoods </w:t>
      </w:r>
      <w:r w:rsidR="000E249F" w:rsidRPr="00D84B23">
        <w:t xml:space="preserve">used for this comparison </w:t>
      </w:r>
      <w:r w:rsidR="009B00C4" w:rsidRPr="00D84B23">
        <w:t>are reported below:</w:t>
      </w:r>
    </w:p>
    <w:p w14:paraId="34930A39" w14:textId="5A7005EF" w:rsidR="009B00C4" w:rsidRPr="00D84B23" w:rsidRDefault="009B00C4" w:rsidP="009B00C4">
      <w:pPr>
        <w:pStyle w:val="CETBodytext"/>
        <w:numPr>
          <w:ilvl w:val="0"/>
          <w:numId w:val="35"/>
        </w:numPr>
      </w:pPr>
      <w:r w:rsidRPr="00D84B23">
        <w:t xml:space="preserve">a LSWT, whose details are described in </w:t>
      </w:r>
      <w:r w:rsidR="00CF7557" w:rsidRPr="00D84B23">
        <w:fldChar w:fldCharType="begin" w:fldLock="1"/>
      </w:r>
      <w:r w:rsidR="00B302AB">
        <w:instrText>ADDIN CSL_CITATION {"citationItems":[{"id":"ITEM-1","itemData":{"DOI":"10.2166/wst.2009.123","ISSN":"02731223","PMID":"19403975","abstract":"The aim of this study is to describe the methods adopted for the design and the experimental validation of a wind tunnel, a sampling system suitable for the collection of gaseous samples on passive area sources, which allows to simulate wind action on the surface to be monitored. The first step of the work was the study of the air velocity profiles. The second step of the work consisted in the validation of the sampling system. For this purpose, the odour concentration of some air samples collected by means of the wind tunnel was measured by dynamic olfactometry. The results of the air velocity measurements show that the wind tunnel design features enabled the achievement of a uniform and homogeneous air flow through the hood. Moreover, the laboratory tests showed a very good correspondence between the odour concentration values measured at the wind tunnel outlet and the odour concentration values predicted by the application of a specific volatilization model, based on the Prandtl boundary layer theory. The agreement between experimental and theoretical trends demonstrate that the studied wind tunnel represents a suitable sampling system for the simulation of specific odour emission rates from liquid area sources without outward flow.","author":[{"dropping-particle":"","family":"Capelli","given":"L.","non-dropping-particle":"","parse-names":false,"suffix":""},{"dropping-particle":"","family":"Sironi","given":"S.","non-dropping-particle":"","parse-names":false,"suffix":""},{"dropping-particle":"","family":"Rosso","given":"R.","non-dropping-particle":"Del","parse-names":false,"suffix":""},{"dropping-particle":"","family":"Céntola","given":"P.","non-dropping-particle":"","parse-names":false,"suffix":""}],"container-title":"Water Science and Technology","id":"ITEM-1","issue":"8","issued":{"date-parts":[["2009"]]},"page":"1611-1620","title":"Design and validation of a wind tunnel system for odour sampling on liquid area sources","type":"article-journal","volume":"59"},"uris":["http://www.mendeley.com/documents/?uuid=06fd368b-d0b4-4ec4-8ccf-ba14a11b3328"]}],"mendeley":{"formattedCitation":"(L. Capelli et al., 2009)","manualFormatting":"Capelli et al., (2009","plainTextFormattedCitation":"(L. Capelli et al., 2009)","previouslyFormattedCitation":"(L. Capelli et al., 2009)"},"properties":{"noteIndex":0},"schema":"https://github.com/citation-style-language/schema/raw/master/csl-citation.json"}</w:instrText>
      </w:r>
      <w:r w:rsidR="00CF7557" w:rsidRPr="00D84B23">
        <w:fldChar w:fldCharType="separate"/>
      </w:r>
      <w:r w:rsidR="00CF7557" w:rsidRPr="00D84B23">
        <w:rPr>
          <w:noProof/>
        </w:rPr>
        <w:t xml:space="preserve">Capelli et al., </w:t>
      </w:r>
      <w:r w:rsidR="000E249F" w:rsidRPr="00D84B23">
        <w:rPr>
          <w:noProof/>
        </w:rPr>
        <w:t>(</w:t>
      </w:r>
      <w:r w:rsidR="00CF7557" w:rsidRPr="00D84B23">
        <w:rPr>
          <w:noProof/>
        </w:rPr>
        <w:t>200</w:t>
      </w:r>
      <w:r w:rsidR="00010A07">
        <w:rPr>
          <w:noProof/>
        </w:rPr>
        <w:t>9b)</w:t>
      </w:r>
      <w:r w:rsidR="00CF7557" w:rsidRPr="00D84B23">
        <w:fldChar w:fldCharType="end"/>
      </w:r>
      <w:r w:rsidR="00CF7557" w:rsidRPr="00D84B23">
        <w:t>;</w:t>
      </w:r>
    </w:p>
    <w:p w14:paraId="5C80C7AC" w14:textId="3EA5B576" w:rsidR="008B050A" w:rsidRPr="00D84B23" w:rsidRDefault="00CF7557" w:rsidP="002F2AF6">
      <w:pPr>
        <w:pStyle w:val="CETBodytext"/>
        <w:numPr>
          <w:ilvl w:val="0"/>
          <w:numId w:val="35"/>
        </w:numPr>
      </w:pPr>
      <w:r w:rsidRPr="00D84B23">
        <w:t>a floating static hood (FSH) with a circular base area of 1.8 m</w:t>
      </w:r>
      <w:r w:rsidRPr="00D84B23">
        <w:rPr>
          <w:vertAlign w:val="superscript"/>
        </w:rPr>
        <w:t>2</w:t>
      </w:r>
      <w:r w:rsidRPr="00D84B23">
        <w:t>.</w:t>
      </w:r>
    </w:p>
    <w:p w14:paraId="45A8ECE7" w14:textId="39FECA5E" w:rsidR="000E249F" w:rsidRPr="00D84B23" w:rsidRDefault="000E249F" w:rsidP="002F2AF6">
      <w:pPr>
        <w:pStyle w:val="CETBodytext"/>
      </w:pPr>
      <w:r w:rsidRPr="00D84B23">
        <w:t>These two parallel sampling techniques were</w:t>
      </w:r>
      <w:r w:rsidR="00040ECE" w:rsidRPr="00D84B23">
        <w:t xml:space="preserve"> utili</w:t>
      </w:r>
      <w:r w:rsidRPr="00D84B23">
        <w:t>s</w:t>
      </w:r>
      <w:r w:rsidR="00040ECE" w:rsidRPr="00D84B23">
        <w:t xml:space="preserve">ed to evaluate the main contribution </w:t>
      </w:r>
      <w:r w:rsidRPr="00D84B23">
        <w:t>to the odour emission of the source: the stripping phenomenon of the rising bubbles or the wind action over the liquid surface</w:t>
      </w:r>
      <w:r w:rsidR="00040ECE" w:rsidRPr="00D84B23">
        <w:t xml:space="preserve">. In particular, </w:t>
      </w:r>
      <w:r w:rsidRPr="00D84B23">
        <w:t>samples 1 and 3 were collected via a floating LSWT (</w:t>
      </w:r>
      <w:r w:rsidRPr="00D84B23">
        <w:fldChar w:fldCharType="begin"/>
      </w:r>
      <w:r w:rsidRPr="00D84B23">
        <w:instrText xml:space="preserve"> REF _Ref165805458 \h </w:instrText>
      </w:r>
      <w:r w:rsidRPr="00D84B23">
        <w:fldChar w:fldCharType="separate"/>
      </w:r>
      <w:r w:rsidRPr="00D84B23">
        <w:t xml:space="preserve">Figure </w:t>
      </w:r>
      <w:r w:rsidRPr="00D84B23">
        <w:rPr>
          <w:noProof/>
        </w:rPr>
        <w:t>1</w:t>
      </w:r>
      <w:r w:rsidRPr="00D84B23">
        <w:fldChar w:fldCharType="end"/>
      </w:r>
      <w:r w:rsidRPr="00D84B23">
        <w:t>a), operated with a Q</w:t>
      </w:r>
      <w:r w:rsidRPr="00D84B23">
        <w:rPr>
          <w:vertAlign w:val="subscript"/>
        </w:rPr>
        <w:t>in</w:t>
      </w:r>
      <w:r w:rsidRPr="00D84B23">
        <w:t xml:space="preserve"> = 2500 L/h, while samples 2 and 4 were collected via FSH (</w:t>
      </w:r>
      <w:r w:rsidRPr="00D84B23">
        <w:fldChar w:fldCharType="begin"/>
      </w:r>
      <w:r w:rsidRPr="00D84B23">
        <w:instrText xml:space="preserve"> REF _Ref167051232 \h </w:instrText>
      </w:r>
      <w:r w:rsidRPr="00D84B23">
        <w:fldChar w:fldCharType="separate"/>
      </w:r>
      <w:r w:rsidRPr="00D84B23">
        <w:t xml:space="preserve">Figure </w:t>
      </w:r>
      <w:r w:rsidRPr="00D84B23">
        <w:rPr>
          <w:noProof/>
        </w:rPr>
        <w:t>1</w:t>
      </w:r>
      <w:r w:rsidRPr="00D84B23">
        <w:fldChar w:fldCharType="end"/>
      </w:r>
      <w:r w:rsidRPr="00D84B23">
        <w:t xml:space="preserve">b). </w:t>
      </w:r>
    </w:p>
    <w:p w14:paraId="1F8DFBC6" w14:textId="77777777" w:rsidR="000E249F" w:rsidRPr="00D84B23" w:rsidRDefault="000E249F" w:rsidP="002F2AF6">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39"/>
      </w:tblGrid>
      <w:tr w:rsidR="008B61CF" w:rsidRPr="00D84B23" w14:paraId="2EBD271F" w14:textId="77777777" w:rsidTr="00EC1ED2">
        <w:trPr>
          <w:trHeight w:val="162"/>
        </w:trPr>
        <w:tc>
          <w:tcPr>
            <w:tcW w:w="4139" w:type="dxa"/>
          </w:tcPr>
          <w:p w14:paraId="4241DA02" w14:textId="4A3D77C9" w:rsidR="008B61CF" w:rsidRPr="00D84B23" w:rsidRDefault="008B61CF" w:rsidP="008B61CF">
            <w:pPr>
              <w:pStyle w:val="CETBodytext"/>
              <w:jc w:val="left"/>
              <w:rPr>
                <w:sz w:val="22"/>
                <w:szCs w:val="24"/>
              </w:rPr>
            </w:pPr>
            <w:r w:rsidRPr="00D84B23">
              <w:rPr>
                <w:sz w:val="22"/>
                <w:szCs w:val="24"/>
              </w:rPr>
              <w:t>a.</w:t>
            </w:r>
          </w:p>
        </w:tc>
        <w:tc>
          <w:tcPr>
            <w:tcW w:w="4139" w:type="dxa"/>
            <w:vMerge w:val="restart"/>
            <w:vAlign w:val="center"/>
          </w:tcPr>
          <w:p w14:paraId="6083E58C" w14:textId="3CB5FA48" w:rsidR="008B61CF" w:rsidRPr="00D84B23" w:rsidRDefault="008B61CF" w:rsidP="00567CB9">
            <w:pPr>
              <w:pStyle w:val="CETBodytext"/>
              <w:keepNext/>
              <w:jc w:val="left"/>
              <w:rPr>
                <w:noProof/>
                <w:sz w:val="22"/>
                <w:szCs w:val="24"/>
              </w:rPr>
            </w:pPr>
            <w:r w:rsidRPr="00D84B23">
              <w:rPr>
                <w:noProof/>
                <w:sz w:val="22"/>
                <w:szCs w:val="24"/>
              </w:rPr>
              <w:t>b.</w:t>
            </w:r>
          </w:p>
          <w:p w14:paraId="7355697F" w14:textId="3F0A1A87" w:rsidR="008B61CF" w:rsidRPr="00D84B23" w:rsidRDefault="008B61CF" w:rsidP="00567CB9">
            <w:pPr>
              <w:pStyle w:val="CETBodytext"/>
              <w:keepNext/>
              <w:jc w:val="center"/>
              <w:rPr>
                <w:sz w:val="22"/>
                <w:szCs w:val="24"/>
              </w:rPr>
            </w:pPr>
            <w:r w:rsidRPr="00D84B23">
              <w:rPr>
                <w:noProof/>
                <w:sz w:val="22"/>
                <w:szCs w:val="24"/>
              </w:rPr>
              <w:drawing>
                <wp:inline distT="0" distB="0" distL="0" distR="0" wp14:anchorId="01A891C0" wp14:editId="5C1C5D08">
                  <wp:extent cx="1800000" cy="1519380"/>
                  <wp:effectExtent l="0" t="0" r="0" b="0"/>
                  <wp:docPr id="1971121927" name="Immagine 2" descr="Immagine che contiene disegno, schizz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21927" name="Immagine 2" descr="Immagine che contiene disegno, schizzo, cartone animato, illustrazione&#10;&#10;Descrizione generata automaticamente"/>
                          <pic:cNvPicPr/>
                        </pic:nvPicPr>
                        <pic:blipFill rotWithShape="1">
                          <a:blip r:embed="rId10"/>
                          <a:srcRect l="2731" t="1030" r="3835" b="9746"/>
                          <a:stretch/>
                        </pic:blipFill>
                        <pic:spPr bwMode="auto">
                          <a:xfrm>
                            <a:off x="0" y="0"/>
                            <a:ext cx="1800000" cy="1519380"/>
                          </a:xfrm>
                          <a:prstGeom prst="rect">
                            <a:avLst/>
                          </a:prstGeom>
                          <a:ln>
                            <a:noFill/>
                          </a:ln>
                          <a:extLst>
                            <a:ext uri="{53640926-AAD7-44D8-BBD7-CCE9431645EC}">
                              <a14:shadowObscured xmlns:a14="http://schemas.microsoft.com/office/drawing/2010/main"/>
                            </a:ext>
                          </a:extLst>
                        </pic:spPr>
                      </pic:pic>
                    </a:graphicData>
                  </a:graphic>
                </wp:inline>
              </w:drawing>
            </w:r>
          </w:p>
        </w:tc>
      </w:tr>
      <w:tr w:rsidR="008B61CF" w:rsidRPr="00D84B23" w14:paraId="501968C0" w14:textId="77777777" w:rsidTr="00EC1ED2">
        <w:trPr>
          <w:trHeight w:val="1653"/>
        </w:trPr>
        <w:tc>
          <w:tcPr>
            <w:tcW w:w="4139" w:type="dxa"/>
            <w:vAlign w:val="center"/>
          </w:tcPr>
          <w:p w14:paraId="256EC57E" w14:textId="677DDA8D" w:rsidR="008B61CF" w:rsidRPr="00D84B23" w:rsidRDefault="008B61CF" w:rsidP="00B15176">
            <w:pPr>
              <w:pStyle w:val="CETBodytext"/>
              <w:jc w:val="center"/>
            </w:pPr>
            <w:r w:rsidRPr="00D84B23">
              <w:rPr>
                <w:noProof/>
              </w:rPr>
              <w:drawing>
                <wp:inline distT="0" distB="0" distL="0" distR="0" wp14:anchorId="62364616" wp14:editId="572BA54A">
                  <wp:extent cx="2520000" cy="848891"/>
                  <wp:effectExtent l="0" t="0" r="0" b="0"/>
                  <wp:docPr id="1255384899" name="Immagine 1" descr="Immagine che contiene schizzo, disegno, bianc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84899" name="Immagine 1" descr="Immagine che contiene schizzo, disegno, bianco, bianco e nero&#10;&#10;Descrizione generata automaticamente"/>
                          <pic:cNvPicPr/>
                        </pic:nvPicPr>
                        <pic:blipFill rotWithShape="1">
                          <a:blip r:embed="rId11"/>
                          <a:srcRect b="15956"/>
                          <a:stretch/>
                        </pic:blipFill>
                        <pic:spPr bwMode="auto">
                          <a:xfrm>
                            <a:off x="0" y="0"/>
                            <a:ext cx="2520000" cy="848891"/>
                          </a:xfrm>
                          <a:prstGeom prst="rect">
                            <a:avLst/>
                          </a:prstGeom>
                          <a:ln>
                            <a:noFill/>
                          </a:ln>
                          <a:extLst>
                            <a:ext uri="{53640926-AAD7-44D8-BBD7-CCE9431645EC}">
                              <a14:shadowObscured xmlns:a14="http://schemas.microsoft.com/office/drawing/2010/main"/>
                            </a:ext>
                          </a:extLst>
                        </pic:spPr>
                      </pic:pic>
                    </a:graphicData>
                  </a:graphic>
                </wp:inline>
              </w:drawing>
            </w:r>
          </w:p>
        </w:tc>
        <w:tc>
          <w:tcPr>
            <w:tcW w:w="4139" w:type="dxa"/>
            <w:vMerge/>
            <w:vAlign w:val="center"/>
          </w:tcPr>
          <w:p w14:paraId="259B4100" w14:textId="77777777" w:rsidR="008B61CF" w:rsidRPr="00D84B23" w:rsidRDefault="008B61CF" w:rsidP="00352B3C">
            <w:pPr>
              <w:pStyle w:val="CETBodytext"/>
              <w:keepNext/>
              <w:rPr>
                <w:noProof/>
              </w:rPr>
            </w:pPr>
          </w:p>
        </w:tc>
      </w:tr>
    </w:tbl>
    <w:p w14:paraId="52D39C80" w14:textId="78CFFB44" w:rsidR="00182AE1" w:rsidRPr="00D84B23" w:rsidRDefault="00352B3C" w:rsidP="008B61CF">
      <w:pPr>
        <w:pStyle w:val="CETCaption"/>
        <w:rPr>
          <w:iCs/>
        </w:rPr>
      </w:pPr>
      <w:bookmarkStart w:id="1" w:name="_Ref167051232"/>
      <w:r w:rsidRPr="00D84B23">
        <w:t xml:space="preserve">Figure </w:t>
      </w:r>
      <w:r w:rsidRPr="00D84B23">
        <w:fldChar w:fldCharType="begin"/>
      </w:r>
      <w:r w:rsidRPr="00D84B23">
        <w:instrText xml:space="preserve"> SEQ Figure \* ARABIC </w:instrText>
      </w:r>
      <w:r w:rsidRPr="00D84B23">
        <w:fldChar w:fldCharType="separate"/>
      </w:r>
      <w:r w:rsidRPr="00D84B23">
        <w:rPr>
          <w:noProof/>
        </w:rPr>
        <w:t>1</w:t>
      </w:r>
      <w:r w:rsidRPr="00D84B23">
        <w:fldChar w:fldCharType="end"/>
      </w:r>
      <w:bookmarkEnd w:id="1"/>
      <w:r w:rsidRPr="00D84B23">
        <w:t>. Simplified sketch of the fluxes within</w:t>
      </w:r>
      <w:r w:rsidR="008B61CF" w:rsidRPr="00D84B23">
        <w:t xml:space="preserve"> the implemented sampling systems</w:t>
      </w:r>
      <w:r w:rsidR="0062381D" w:rsidRPr="00D84B23">
        <w:t>:</w:t>
      </w:r>
      <w:r w:rsidR="008B61CF" w:rsidRPr="00D84B23">
        <w:t xml:space="preserve"> a.</w:t>
      </w:r>
      <w:r w:rsidRPr="00D84B23">
        <w:t xml:space="preserve"> </w:t>
      </w:r>
      <w:r w:rsidR="008B61CF" w:rsidRPr="00D84B23">
        <w:t xml:space="preserve">LSWT; b. </w:t>
      </w:r>
      <w:r w:rsidRPr="00D84B23">
        <w:t>FSH</w:t>
      </w:r>
      <w:r w:rsidR="00C174C5" w:rsidRPr="00D84B23">
        <w:t>.</w:t>
      </w:r>
    </w:p>
    <w:p w14:paraId="4EEA70E6" w14:textId="70A54900" w:rsidR="009974FF" w:rsidRPr="00D84B23" w:rsidRDefault="009974FF" w:rsidP="009974FF">
      <w:pPr>
        <w:pStyle w:val="CETheadingx"/>
      </w:pPr>
      <w:r w:rsidRPr="00D84B23">
        <w:t>SOER evaluation</w:t>
      </w:r>
    </w:p>
    <w:p w14:paraId="5765A1EF" w14:textId="067AEB9A" w:rsidR="00B7764A" w:rsidRPr="00D84B23" w:rsidRDefault="002F2AF6" w:rsidP="00471F12">
      <w:pPr>
        <w:pStyle w:val="CETBodytext"/>
      </w:pPr>
      <w:r w:rsidRPr="00D84B23">
        <w:t xml:space="preserve">The </w:t>
      </w:r>
      <w:r w:rsidR="00FE7E45" w:rsidRPr="00D84B23">
        <w:t>odour</w:t>
      </w:r>
      <w:r w:rsidRPr="00D84B23">
        <w:t xml:space="preserve"> concentration</w:t>
      </w:r>
      <w:r w:rsidR="00AE79F3" w:rsidRPr="00D84B23">
        <w:t xml:space="preserve"> </w:t>
      </w:r>
      <w:r w:rsidRPr="00D84B23">
        <w:t xml:space="preserve">of </w:t>
      </w:r>
      <w:r w:rsidR="00AE79F3" w:rsidRPr="00D84B23">
        <w:t xml:space="preserve">the 4 </w:t>
      </w:r>
      <w:r w:rsidRPr="00D84B23">
        <w:t>gas samples is measured using the yes/no method of dynamic olfactometry.</w:t>
      </w:r>
      <w:r w:rsidR="00B7764A" w:rsidRPr="00D84B23">
        <w:t xml:space="preserve"> </w:t>
      </w:r>
      <w:r w:rsidR="000E249F" w:rsidRPr="00D84B23">
        <w:t xml:space="preserve">Due to the structure of LSWT, the </w:t>
      </w:r>
      <w:r w:rsidR="00B7764A" w:rsidRPr="00D84B23">
        <w:t>SOER</w:t>
      </w:r>
      <w:r w:rsidR="000E249F" w:rsidRPr="00D84B23">
        <w:rPr>
          <w:vertAlign w:val="subscript"/>
        </w:rPr>
        <w:t>LSWT</w:t>
      </w:r>
      <w:r w:rsidR="008D2E48" w:rsidRPr="00D84B23">
        <w:t xml:space="preserve">, </w:t>
      </w:r>
      <w:r w:rsidR="000E249F" w:rsidRPr="00D84B23">
        <w:t>over an aerated source</w:t>
      </w:r>
      <w:r w:rsidR="008D2E48" w:rsidRPr="00D84B23">
        <w:t>,</w:t>
      </w:r>
      <w:r w:rsidR="000E249F" w:rsidRPr="00D84B23">
        <w:t xml:space="preserve"> considers both the contribution of the bubbles’ stripping and the emission of the </w:t>
      </w:r>
      <w:r w:rsidR="008D2E48" w:rsidRPr="00D84B23">
        <w:t>surface, and can be calculated via Eq. (3):</w:t>
      </w:r>
    </w:p>
    <w:tbl>
      <w:tblPr>
        <w:tblW w:w="5000" w:type="pct"/>
        <w:tblLook w:val="04A0" w:firstRow="1" w:lastRow="0" w:firstColumn="1" w:lastColumn="0" w:noHBand="0" w:noVBand="1"/>
      </w:tblPr>
      <w:tblGrid>
        <w:gridCol w:w="7985"/>
        <w:gridCol w:w="802"/>
      </w:tblGrid>
      <w:tr w:rsidR="00B7764A" w:rsidRPr="00D84B23" w14:paraId="3A6EB484" w14:textId="77777777" w:rsidTr="00B7764A">
        <w:tc>
          <w:tcPr>
            <w:tcW w:w="7976" w:type="dxa"/>
            <w:shd w:val="clear" w:color="auto" w:fill="auto"/>
            <w:vAlign w:val="center"/>
          </w:tcPr>
          <w:p w14:paraId="71023E37" w14:textId="158F0584" w:rsidR="00B7764A" w:rsidRPr="00D84B23" w:rsidRDefault="000E249F" w:rsidP="00B7764A">
            <w:pPr>
              <w:spacing w:before="120" w:after="120"/>
              <w:jc w:val="center"/>
            </w:pPr>
            <w:bookmarkStart w:id="2" w:name="_Hlk167027455"/>
            <m:oMathPara>
              <m:oMathParaPr>
                <m:jc m:val="left"/>
              </m:oMathParaPr>
              <m:oMath>
                <m:r>
                  <w:rPr>
                    <w:rFonts w:ascii="Cambria Math" w:hAnsi="Cambria Math"/>
                  </w:rPr>
                  <m:t>SOE</m:t>
                </m:r>
                <m:sSub>
                  <m:sSubPr>
                    <m:ctrlPr>
                      <w:rPr>
                        <w:rFonts w:ascii="Cambria Math" w:hAnsi="Cambria Math"/>
                        <w:i/>
                      </w:rPr>
                    </m:ctrlPr>
                  </m:sSubPr>
                  <m:e>
                    <m:r>
                      <w:rPr>
                        <w:rFonts w:ascii="Cambria Math" w:hAnsi="Cambria Math"/>
                      </w:rPr>
                      <m:t>R</m:t>
                    </m:r>
                  </m:e>
                  <m:sub>
                    <m:r>
                      <w:rPr>
                        <w:rFonts w:ascii="Cambria Math" w:hAnsi="Cambria Math"/>
                      </w:rPr>
                      <m:t>LSWT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od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in</m:t>
                            </m:r>
                          </m:sub>
                        </m:sSub>
                        <m:r>
                          <w:rPr>
                            <w:rFonts w:ascii="Cambria Math" w:hAnsi="Cambria Math"/>
                          </w:rPr>
                          <m:t>+SSAR∙</m:t>
                        </m:r>
                        <m:sSub>
                          <m:sSubPr>
                            <m:ctrlPr>
                              <w:rPr>
                                <w:rFonts w:ascii="Cambria Math" w:hAnsi="Cambria Math"/>
                                <w:i/>
                              </w:rPr>
                            </m:ctrlPr>
                          </m:sSubPr>
                          <m:e>
                            <m:r>
                              <w:rPr>
                                <w:rFonts w:ascii="Cambria Math" w:hAnsi="Cambria Math"/>
                              </w:rPr>
                              <m:t>A</m:t>
                            </m:r>
                          </m:e>
                          <m:sub>
                            <m:r>
                              <w:rPr>
                                <w:rFonts w:ascii="Cambria Math" w:hAnsi="Cambria Math"/>
                              </w:rPr>
                              <m:t>hood</m:t>
                            </m:r>
                          </m:sub>
                        </m:sSub>
                      </m:e>
                    </m:d>
                    <m:r>
                      <w:rPr>
                        <w:rFonts w:ascii="Cambria Math" w:hAnsi="Cambria Math"/>
                      </w:rPr>
                      <m:t xml:space="preserve"> </m:t>
                    </m:r>
                  </m:num>
                  <m:den>
                    <m:sSub>
                      <m:sSubPr>
                        <m:ctrlPr>
                          <w:rPr>
                            <w:rFonts w:ascii="Cambria Math" w:hAnsi="Cambria Math"/>
                            <w:i/>
                          </w:rPr>
                        </m:ctrlPr>
                      </m:sSubPr>
                      <m:e>
                        <m:r>
                          <w:rPr>
                            <w:rFonts w:ascii="Cambria Math" w:hAnsi="Cambria Math"/>
                          </w:rPr>
                          <m:t>A</m:t>
                        </m:r>
                      </m:e>
                      <m:sub>
                        <m:r>
                          <w:rPr>
                            <w:rFonts w:ascii="Cambria Math" w:hAnsi="Cambria Math"/>
                          </w:rPr>
                          <m:t>hood</m:t>
                        </m:r>
                      </m:sub>
                    </m:sSub>
                  </m:den>
                </m:f>
              </m:oMath>
            </m:oMathPara>
            <w:bookmarkEnd w:id="2"/>
          </w:p>
        </w:tc>
        <w:tc>
          <w:tcPr>
            <w:tcW w:w="801" w:type="dxa"/>
            <w:shd w:val="clear" w:color="auto" w:fill="auto"/>
            <w:vAlign w:val="center"/>
          </w:tcPr>
          <w:p w14:paraId="7E19AF80" w14:textId="404A6BF2" w:rsidR="00B7764A" w:rsidRPr="00D84B23" w:rsidRDefault="00B7764A" w:rsidP="00AB515B">
            <w:pPr>
              <w:pStyle w:val="CETEquation"/>
            </w:pPr>
            <w:r w:rsidRPr="00D84B23">
              <w:t>(</w:t>
            </w:r>
            <w:r w:rsidR="00393238" w:rsidRPr="00D84B23">
              <w:t>3</w:t>
            </w:r>
            <w:r w:rsidRPr="00D84B23">
              <w:t>)</w:t>
            </w:r>
          </w:p>
        </w:tc>
      </w:tr>
    </w:tbl>
    <w:p w14:paraId="16311BE8" w14:textId="64B0B291" w:rsidR="00B7764A" w:rsidRPr="00D84B23" w:rsidRDefault="008D2E48" w:rsidP="00471F12">
      <w:pPr>
        <w:pStyle w:val="CETBodytext"/>
      </w:pPr>
      <w:r w:rsidRPr="00D84B23">
        <w:lastRenderedPageBreak/>
        <w:t>On the other hand, the F</w:t>
      </w:r>
      <w:r w:rsidR="00444DB5" w:rsidRPr="00D84B23">
        <w:t>SH</w:t>
      </w:r>
      <w:r w:rsidRPr="00D84B23">
        <w:t xml:space="preserve"> considers only the contribution of the stripping. The </w:t>
      </w:r>
      <w:r w:rsidR="00B7764A" w:rsidRPr="00D84B23">
        <w:t>SOER</w:t>
      </w:r>
      <w:r w:rsidRPr="00D84B23">
        <w:rPr>
          <w:vertAlign w:val="subscript"/>
        </w:rPr>
        <w:t>FS</w:t>
      </w:r>
      <w:r w:rsidR="00444DB5" w:rsidRPr="00D84B23">
        <w:rPr>
          <w:vertAlign w:val="subscript"/>
        </w:rPr>
        <w:t>H</w:t>
      </w:r>
      <w:r w:rsidR="00B7764A" w:rsidRPr="00D84B23">
        <w:t xml:space="preserve"> </w:t>
      </w:r>
      <w:r w:rsidRPr="00D84B23">
        <w:t xml:space="preserve">may be </w:t>
      </w:r>
      <w:r w:rsidR="00B7764A" w:rsidRPr="00D84B23">
        <w:t>evaluated with Eq</w:t>
      </w:r>
      <w:r w:rsidRPr="00D84B23">
        <w:t xml:space="preserve">. </w:t>
      </w:r>
      <w:r w:rsidR="00B7764A" w:rsidRPr="00D84B23">
        <w:t>(</w:t>
      </w:r>
      <w:r w:rsidR="00393238" w:rsidRPr="00D84B23">
        <w:t>4</w:t>
      </w:r>
      <w:r w:rsidR="00B7764A" w:rsidRPr="00D84B23">
        <w:t>):</w:t>
      </w:r>
    </w:p>
    <w:tbl>
      <w:tblPr>
        <w:tblW w:w="5000" w:type="pct"/>
        <w:tblLook w:val="04A0" w:firstRow="1" w:lastRow="0" w:firstColumn="1" w:lastColumn="0" w:noHBand="0" w:noVBand="1"/>
      </w:tblPr>
      <w:tblGrid>
        <w:gridCol w:w="7985"/>
        <w:gridCol w:w="802"/>
      </w:tblGrid>
      <w:tr w:rsidR="00B7764A" w:rsidRPr="00D84B23" w14:paraId="057857AB" w14:textId="77777777" w:rsidTr="00AB515B">
        <w:tc>
          <w:tcPr>
            <w:tcW w:w="7976" w:type="dxa"/>
            <w:shd w:val="clear" w:color="auto" w:fill="auto"/>
            <w:vAlign w:val="center"/>
          </w:tcPr>
          <w:p w14:paraId="498A939A" w14:textId="279F5C27" w:rsidR="00B7764A" w:rsidRPr="00D84B23" w:rsidRDefault="008D2E48" w:rsidP="00AB515B">
            <w:pPr>
              <w:spacing w:before="120" w:after="120"/>
              <w:jc w:val="center"/>
            </w:pPr>
            <m:oMathPara>
              <m:oMathParaPr>
                <m:jc m:val="left"/>
              </m:oMathParaPr>
              <m:oMath>
                <m:r>
                  <w:rPr>
                    <w:rFonts w:ascii="Cambria Math" w:hAnsi="Cambria Math"/>
                  </w:rPr>
                  <m:t>SOE</m:t>
                </m:r>
                <m:sSub>
                  <m:sSubPr>
                    <m:ctrlPr>
                      <w:rPr>
                        <w:rFonts w:ascii="Cambria Math" w:hAnsi="Cambria Math"/>
                        <w:i/>
                      </w:rPr>
                    </m:ctrlPr>
                  </m:sSubPr>
                  <m:e>
                    <m:r>
                      <w:rPr>
                        <w:rFonts w:ascii="Cambria Math" w:hAnsi="Cambria Math"/>
                      </w:rPr>
                      <m:t>R</m:t>
                    </m:r>
                  </m:e>
                  <m:sub>
                    <m:r>
                      <w:rPr>
                        <w:rFonts w:ascii="Cambria Math" w:hAnsi="Cambria Math"/>
                      </w:rPr>
                      <m:t>FSH</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od</m:t>
                    </m:r>
                  </m:sub>
                </m:sSub>
                <m:r>
                  <w:rPr>
                    <w:rFonts w:ascii="Cambria Math" w:hAnsi="Cambria Math"/>
                  </w:rPr>
                  <m:t>∙SSAR</m:t>
                </m:r>
              </m:oMath>
            </m:oMathPara>
          </w:p>
        </w:tc>
        <w:tc>
          <w:tcPr>
            <w:tcW w:w="801" w:type="dxa"/>
            <w:shd w:val="clear" w:color="auto" w:fill="auto"/>
            <w:vAlign w:val="center"/>
          </w:tcPr>
          <w:p w14:paraId="644D530F" w14:textId="0512DCEE" w:rsidR="00B7764A" w:rsidRPr="00D84B23" w:rsidRDefault="00B7764A" w:rsidP="00AB515B">
            <w:pPr>
              <w:pStyle w:val="CETEquation"/>
            </w:pPr>
            <w:r w:rsidRPr="00D84B23">
              <w:t>(</w:t>
            </w:r>
            <w:r w:rsidR="00393238" w:rsidRPr="00D84B23">
              <w:t>4</w:t>
            </w:r>
            <w:r w:rsidRPr="00D84B23">
              <w:t>)</w:t>
            </w:r>
          </w:p>
        </w:tc>
      </w:tr>
    </w:tbl>
    <w:p w14:paraId="298441E1" w14:textId="7259784A" w:rsidR="00471F12" w:rsidRPr="00D84B23" w:rsidRDefault="00AE79F3" w:rsidP="00471F12">
      <w:pPr>
        <w:pStyle w:val="CETBodytext"/>
      </w:pPr>
      <w:r w:rsidRPr="00D84B23">
        <w:fldChar w:fldCharType="begin"/>
      </w:r>
      <w:r w:rsidRPr="00D84B23">
        <w:instrText xml:space="preserve"> REF _Ref165839846 \h </w:instrText>
      </w:r>
      <w:r w:rsidRPr="00D84B23">
        <w:fldChar w:fldCharType="separate"/>
      </w:r>
      <w:r w:rsidR="007C374F" w:rsidRPr="00D84B23">
        <w:t xml:space="preserve">Table </w:t>
      </w:r>
      <w:r w:rsidR="007C374F" w:rsidRPr="00D84B23">
        <w:rPr>
          <w:noProof/>
        </w:rPr>
        <w:t>2</w:t>
      </w:r>
      <w:r w:rsidRPr="00D84B23">
        <w:fldChar w:fldCharType="end"/>
      </w:r>
      <w:r w:rsidR="002F2AF6" w:rsidRPr="00D84B23">
        <w:t xml:space="preserve"> presents the </w:t>
      </w:r>
      <w:r w:rsidR="008D2E48" w:rsidRPr="00D84B23">
        <w:t xml:space="preserve">field </w:t>
      </w:r>
      <w:r w:rsidR="002F2AF6" w:rsidRPr="00D84B23">
        <w:t xml:space="preserve">results of the </w:t>
      </w:r>
      <w:r w:rsidR="008D2E48" w:rsidRPr="00D84B23">
        <w:t xml:space="preserve">two </w:t>
      </w:r>
      <w:r w:rsidR="002F2AF6" w:rsidRPr="00D84B23">
        <w:t xml:space="preserve">sampling methods. </w:t>
      </w:r>
      <w:r w:rsidR="00916FAB" w:rsidRPr="00D84B23">
        <w:t xml:space="preserve">These data highlight how the wind action on the liquid surface, which is artificially simulated within LSWT, does not represent the prevailing </w:t>
      </w:r>
      <w:r w:rsidR="00444DB5" w:rsidRPr="00D84B23">
        <w:t>contribution</w:t>
      </w:r>
      <w:r w:rsidR="00916FAB" w:rsidRPr="00D84B23">
        <w:t xml:space="preserve"> of the odorous emissive phenomenon</w:t>
      </w:r>
      <w:r w:rsidR="00033AB6" w:rsidRPr="00D84B23">
        <w:t xml:space="preserve"> characteri</w:t>
      </w:r>
      <w:r w:rsidR="00A56025">
        <w:t>s</w:t>
      </w:r>
      <w:r w:rsidR="006E7D6A" w:rsidRPr="00D84B23">
        <w:t>ing</w:t>
      </w:r>
      <w:r w:rsidR="00033AB6" w:rsidRPr="00D84B23">
        <w:t xml:space="preserve"> the </w:t>
      </w:r>
      <w:r w:rsidR="006E7D6A" w:rsidRPr="00D84B23">
        <w:t>aeration tank</w:t>
      </w:r>
      <w:r w:rsidR="00916FAB" w:rsidRPr="00D84B23">
        <w:t>. I</w:t>
      </w:r>
      <w:r w:rsidR="00911EC0" w:rsidRPr="00D84B23">
        <w:t>n fact</w:t>
      </w:r>
      <w:r w:rsidR="00916FAB" w:rsidRPr="00D84B23">
        <w:t>, t</w:t>
      </w:r>
      <w:r w:rsidR="00285267" w:rsidRPr="00D84B23">
        <w:t>he SOER</w:t>
      </w:r>
      <w:r w:rsidR="00444DB5" w:rsidRPr="00D84B23">
        <w:t xml:space="preserve"> obtained via FSH, which accounts only the stripping contribution, almost overlaps the one obtained via LSWT</w:t>
      </w:r>
      <w:r w:rsidR="00AE7730" w:rsidRPr="00D84B23">
        <w:t xml:space="preserve">. </w:t>
      </w:r>
      <w:r w:rsidR="00033AB6" w:rsidRPr="00D84B23">
        <w:t xml:space="preserve">Therefore, the effect of air provided by the blowers significantly influences the </w:t>
      </w:r>
      <w:r w:rsidR="00444DB5" w:rsidRPr="00D84B23">
        <w:t>OER by this kind of source</w:t>
      </w:r>
      <w:r w:rsidR="00033AB6" w:rsidRPr="00D84B23">
        <w:t xml:space="preserve">. </w:t>
      </w:r>
      <w:r w:rsidR="00911EC0" w:rsidRPr="00D84B23">
        <w:t>In particular, the stripping phenomenon</w:t>
      </w:r>
      <w:r w:rsidR="00444DB5" w:rsidRPr="00D84B23">
        <w:t>,</w:t>
      </w:r>
      <w:r w:rsidR="00911EC0" w:rsidRPr="00D84B23">
        <w:t xml:space="preserve"> due to </w:t>
      </w:r>
      <w:r w:rsidR="00444DB5" w:rsidRPr="00D84B23">
        <w:t xml:space="preserve">bottom </w:t>
      </w:r>
      <w:r w:rsidR="00AE7730" w:rsidRPr="00D84B23">
        <w:t>aeration</w:t>
      </w:r>
      <w:r w:rsidR="00444DB5" w:rsidRPr="00D84B23">
        <w:t>,</w:t>
      </w:r>
      <w:r w:rsidR="00AE7730" w:rsidRPr="00D84B23">
        <w:t xml:space="preserve"> </w:t>
      </w:r>
      <w:r w:rsidR="00444DB5" w:rsidRPr="00D84B23">
        <w:t>represents a major contribution (72</w:t>
      </w:r>
      <w:r w:rsidR="00444DB5" w:rsidRPr="00D84B23">
        <w:rPr>
          <w:rFonts w:cs="Arial"/>
        </w:rPr>
        <w:t>÷</w:t>
      </w:r>
      <w:r w:rsidR="00444DB5" w:rsidRPr="00D84B23">
        <w:t>96%) to the overall odour emission of biological oxidation basins</w:t>
      </w:r>
      <w:r w:rsidR="002F2AF6" w:rsidRPr="00D84B23">
        <w:t>.</w:t>
      </w:r>
    </w:p>
    <w:p w14:paraId="2D6C097D" w14:textId="277E8004" w:rsidR="00AE79F3" w:rsidRPr="00D84B23" w:rsidRDefault="00AE79F3" w:rsidP="00AE79F3">
      <w:pPr>
        <w:pStyle w:val="CETCaption"/>
      </w:pPr>
      <w:bookmarkStart w:id="3" w:name="_Ref165839846"/>
      <w:r w:rsidRPr="00D84B23">
        <w:t xml:space="preserve">Table </w:t>
      </w:r>
      <w:r w:rsidRPr="00D84B23">
        <w:fldChar w:fldCharType="begin"/>
      </w:r>
      <w:r w:rsidRPr="00D84B23">
        <w:instrText xml:space="preserve"> SEQ Table \* ARABIC </w:instrText>
      </w:r>
      <w:r w:rsidRPr="00D84B23">
        <w:fldChar w:fldCharType="separate"/>
      </w:r>
      <w:r w:rsidR="007C374F" w:rsidRPr="00D84B23">
        <w:rPr>
          <w:noProof/>
        </w:rPr>
        <w:t>2</w:t>
      </w:r>
      <w:r w:rsidRPr="00D84B23">
        <w:fldChar w:fldCharType="end"/>
      </w:r>
      <w:bookmarkEnd w:id="3"/>
      <w:r w:rsidRPr="00D84B23">
        <w:t xml:space="preserve">. </w:t>
      </w:r>
      <w:r w:rsidR="009632C3" w:rsidRPr="00D84B23">
        <w:t>Results of the odour monitoring using the two sampling approaches</w:t>
      </w:r>
      <w:r w:rsidR="00643059">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063"/>
        <w:gridCol w:w="1063"/>
        <w:gridCol w:w="1063"/>
        <w:gridCol w:w="1064"/>
        <w:gridCol w:w="1064"/>
      </w:tblGrid>
      <w:tr w:rsidR="008D2E48" w:rsidRPr="00D84B23" w14:paraId="2BF6C12A" w14:textId="6A963F50" w:rsidTr="002F71F1">
        <w:tc>
          <w:tcPr>
            <w:tcW w:w="709" w:type="dxa"/>
            <w:tcBorders>
              <w:top w:val="single" w:sz="12" w:space="0" w:color="008000"/>
              <w:bottom w:val="single" w:sz="6" w:space="0" w:color="008000"/>
            </w:tcBorders>
            <w:shd w:val="clear" w:color="auto" w:fill="FFFFFF"/>
            <w:vAlign w:val="center"/>
          </w:tcPr>
          <w:p w14:paraId="68DD45D4" w14:textId="77777777" w:rsidR="008D2E48" w:rsidRPr="00D84B23" w:rsidRDefault="008D2E48" w:rsidP="00AB515B">
            <w:pPr>
              <w:pStyle w:val="CETBodytext"/>
              <w:jc w:val="center"/>
            </w:pPr>
            <w:r w:rsidRPr="00D84B23">
              <w:t>N°</w:t>
            </w:r>
          </w:p>
        </w:tc>
        <w:tc>
          <w:tcPr>
            <w:tcW w:w="1063" w:type="dxa"/>
            <w:tcBorders>
              <w:top w:val="single" w:sz="12" w:space="0" w:color="008000"/>
              <w:bottom w:val="single" w:sz="6" w:space="0" w:color="008000"/>
            </w:tcBorders>
            <w:shd w:val="clear" w:color="auto" w:fill="FFFFFF"/>
            <w:vAlign w:val="center"/>
          </w:tcPr>
          <w:p w14:paraId="4CC99105" w14:textId="312A3446" w:rsidR="008D2E48" w:rsidRPr="00D84B23" w:rsidRDefault="008D2E48" w:rsidP="00AB515B">
            <w:pPr>
              <w:pStyle w:val="CETBodytext"/>
              <w:jc w:val="center"/>
            </w:pPr>
            <w:r w:rsidRPr="00D84B23">
              <w:t>Day of sampling</w:t>
            </w:r>
          </w:p>
        </w:tc>
        <w:tc>
          <w:tcPr>
            <w:tcW w:w="1063" w:type="dxa"/>
            <w:tcBorders>
              <w:top w:val="single" w:sz="12" w:space="0" w:color="008000"/>
              <w:bottom w:val="single" w:sz="6" w:space="0" w:color="008000"/>
            </w:tcBorders>
            <w:shd w:val="clear" w:color="auto" w:fill="FFFFFF"/>
            <w:vAlign w:val="center"/>
          </w:tcPr>
          <w:p w14:paraId="341E03B5" w14:textId="0D2B2F7D" w:rsidR="008D2E48" w:rsidRPr="00D84B23" w:rsidRDefault="008D2E48" w:rsidP="00AB515B">
            <w:pPr>
              <w:pStyle w:val="CETBodytext"/>
              <w:jc w:val="center"/>
            </w:pPr>
            <w:r w:rsidRPr="00D84B23">
              <w:t>Sampling method</w:t>
            </w:r>
          </w:p>
        </w:tc>
        <w:tc>
          <w:tcPr>
            <w:tcW w:w="1063" w:type="dxa"/>
            <w:tcBorders>
              <w:top w:val="single" w:sz="12" w:space="0" w:color="008000"/>
              <w:bottom w:val="single" w:sz="6" w:space="0" w:color="008000"/>
            </w:tcBorders>
            <w:shd w:val="clear" w:color="auto" w:fill="FFFFFF"/>
            <w:vAlign w:val="center"/>
          </w:tcPr>
          <w:p w14:paraId="0BCCBBC6" w14:textId="3D45A6D5" w:rsidR="008D2E48" w:rsidRPr="00D84B23" w:rsidRDefault="008D2E48" w:rsidP="00AB515B">
            <w:pPr>
              <w:pStyle w:val="CETBodytext"/>
              <w:jc w:val="center"/>
              <w:rPr>
                <w:vertAlign w:val="subscript"/>
              </w:rPr>
            </w:pPr>
            <w:r w:rsidRPr="00D84B23">
              <w:t>C</w:t>
            </w:r>
            <w:r w:rsidRPr="00D84B23">
              <w:rPr>
                <w:vertAlign w:val="subscript"/>
              </w:rPr>
              <w:t>od</w:t>
            </w:r>
          </w:p>
          <w:p w14:paraId="484C41AB" w14:textId="77777777" w:rsidR="008D2E48" w:rsidRPr="00D84B23" w:rsidRDefault="008D2E48" w:rsidP="00AB515B">
            <w:pPr>
              <w:pStyle w:val="CETBodytext"/>
              <w:jc w:val="center"/>
            </w:pPr>
            <w:r w:rsidRPr="00D84B23">
              <w:t>[ou</w:t>
            </w:r>
            <w:r w:rsidRPr="00D84B23">
              <w:rPr>
                <w:vertAlign w:val="subscript"/>
              </w:rPr>
              <w:t>E</w:t>
            </w:r>
            <w:r w:rsidRPr="00D84B23">
              <w:t>/m</w:t>
            </w:r>
            <w:r w:rsidRPr="00D84B23">
              <w:rPr>
                <w:vertAlign w:val="superscript"/>
              </w:rPr>
              <w:t>3</w:t>
            </w:r>
            <w:r w:rsidRPr="00D84B23">
              <w:t>]</w:t>
            </w:r>
          </w:p>
        </w:tc>
        <w:tc>
          <w:tcPr>
            <w:tcW w:w="1064" w:type="dxa"/>
            <w:tcBorders>
              <w:top w:val="single" w:sz="12" w:space="0" w:color="008000"/>
              <w:bottom w:val="single" w:sz="6" w:space="0" w:color="008000"/>
            </w:tcBorders>
            <w:shd w:val="clear" w:color="auto" w:fill="FFFFFF"/>
            <w:vAlign w:val="center"/>
          </w:tcPr>
          <w:p w14:paraId="30801371" w14:textId="5D6C0113" w:rsidR="008D2E48" w:rsidRPr="00D84B23" w:rsidRDefault="008D2E48" w:rsidP="00AB515B">
            <w:pPr>
              <w:pStyle w:val="CETBodytext"/>
              <w:jc w:val="center"/>
            </w:pPr>
            <w:r w:rsidRPr="00D84B23">
              <w:t>SOER</w:t>
            </w:r>
          </w:p>
          <w:p w14:paraId="3C76931E" w14:textId="1E5409DD" w:rsidR="008D2E48" w:rsidRPr="00D84B23" w:rsidRDefault="008D2E48" w:rsidP="00AB515B">
            <w:pPr>
              <w:pStyle w:val="CETBodytext"/>
              <w:jc w:val="center"/>
            </w:pPr>
            <w:r w:rsidRPr="00D84B23">
              <w:rPr>
                <w:rFonts w:cs="Arial"/>
                <w:szCs w:val="18"/>
              </w:rPr>
              <w:t>[</w:t>
            </w:r>
            <w:r w:rsidRPr="00D84B23">
              <w:t>ou</w:t>
            </w:r>
            <w:r w:rsidRPr="00D84B23">
              <w:rPr>
                <w:vertAlign w:val="subscript"/>
              </w:rPr>
              <w:t>E</w:t>
            </w:r>
            <w:r w:rsidRPr="00D84B23">
              <w:t>/m</w:t>
            </w:r>
            <w:r w:rsidRPr="00D84B23">
              <w:rPr>
                <w:vertAlign w:val="superscript"/>
              </w:rPr>
              <w:t>2</w:t>
            </w:r>
            <w:r w:rsidRPr="00D84B23">
              <w:t>/</w:t>
            </w:r>
            <w:r w:rsidR="00444DB5" w:rsidRPr="00D84B23">
              <w:t>s</w:t>
            </w:r>
            <w:r w:rsidRPr="00D84B23">
              <w:rPr>
                <w:rFonts w:cs="Arial"/>
                <w:szCs w:val="18"/>
              </w:rPr>
              <w:t>]</w:t>
            </w:r>
          </w:p>
        </w:tc>
        <w:tc>
          <w:tcPr>
            <w:tcW w:w="1064" w:type="dxa"/>
            <w:tcBorders>
              <w:top w:val="single" w:sz="12" w:space="0" w:color="008000"/>
              <w:bottom w:val="single" w:sz="6" w:space="0" w:color="008000"/>
            </w:tcBorders>
            <w:shd w:val="clear" w:color="auto" w:fill="FFFFFF"/>
            <w:vAlign w:val="center"/>
          </w:tcPr>
          <w:p w14:paraId="2107C152" w14:textId="4DD9E295" w:rsidR="008D2E48" w:rsidRPr="00D84B23" w:rsidRDefault="008D2E48" w:rsidP="00AB515B">
            <w:pPr>
              <w:pStyle w:val="CETBodytext"/>
              <w:jc w:val="center"/>
            </w:pPr>
            <w:r w:rsidRPr="00D84B23">
              <w:t>%</w:t>
            </w:r>
            <w:proofErr w:type="spellStart"/>
            <w:r w:rsidRPr="00D84B23">
              <w:t>OER</w:t>
            </w:r>
            <w:r w:rsidRPr="00D84B23">
              <w:rPr>
                <w:vertAlign w:val="subscript"/>
              </w:rPr>
              <w:t>aeration</w:t>
            </w:r>
            <w:proofErr w:type="spellEnd"/>
          </w:p>
        </w:tc>
      </w:tr>
      <w:tr w:rsidR="008D2E48" w:rsidRPr="00D84B23" w14:paraId="57FBDF15" w14:textId="419037C9" w:rsidTr="002F71F1">
        <w:tc>
          <w:tcPr>
            <w:tcW w:w="709" w:type="dxa"/>
            <w:shd w:val="clear" w:color="auto" w:fill="FFFFFF"/>
            <w:vAlign w:val="center"/>
          </w:tcPr>
          <w:p w14:paraId="345D24E0" w14:textId="77777777" w:rsidR="008D2E48" w:rsidRPr="00D84B23" w:rsidRDefault="008D2E48" w:rsidP="00AB515B">
            <w:pPr>
              <w:pStyle w:val="CETBodytext"/>
              <w:jc w:val="center"/>
            </w:pPr>
            <w:r w:rsidRPr="00D84B23">
              <w:t>1</w:t>
            </w:r>
          </w:p>
        </w:tc>
        <w:tc>
          <w:tcPr>
            <w:tcW w:w="1063" w:type="dxa"/>
            <w:vAlign w:val="center"/>
          </w:tcPr>
          <w:p w14:paraId="3FDCAD05" w14:textId="34FA8645" w:rsidR="008D2E48" w:rsidRPr="00D84B23" w:rsidRDefault="008D2E48" w:rsidP="00AB515B">
            <w:pPr>
              <w:pStyle w:val="CETBodytext"/>
              <w:jc w:val="center"/>
            </w:pPr>
            <w:r w:rsidRPr="00D84B23">
              <w:t>Day 1</w:t>
            </w:r>
          </w:p>
        </w:tc>
        <w:tc>
          <w:tcPr>
            <w:tcW w:w="1063" w:type="dxa"/>
            <w:vAlign w:val="center"/>
          </w:tcPr>
          <w:p w14:paraId="397A5C7A" w14:textId="6BCD5903" w:rsidR="008D2E48" w:rsidRPr="00D84B23" w:rsidRDefault="008D2E48" w:rsidP="00AB515B">
            <w:pPr>
              <w:pStyle w:val="CETBodytext"/>
              <w:jc w:val="center"/>
            </w:pPr>
            <w:r w:rsidRPr="00D84B23">
              <w:t>LSWT</w:t>
            </w:r>
          </w:p>
        </w:tc>
        <w:tc>
          <w:tcPr>
            <w:tcW w:w="1063" w:type="dxa"/>
            <w:tcBorders>
              <w:top w:val="nil"/>
              <w:left w:val="nil"/>
              <w:bottom w:val="nil"/>
              <w:right w:val="nil"/>
            </w:tcBorders>
            <w:shd w:val="clear" w:color="auto" w:fill="auto"/>
            <w:vAlign w:val="center"/>
          </w:tcPr>
          <w:p w14:paraId="745C7D30" w14:textId="354CAC3D" w:rsidR="008D2E48" w:rsidRPr="00D84B23" w:rsidRDefault="008D2E48" w:rsidP="00AB515B">
            <w:pPr>
              <w:pStyle w:val="CETBodytext"/>
              <w:jc w:val="center"/>
            </w:pPr>
            <w:r w:rsidRPr="00D84B23">
              <w:t>845</w:t>
            </w:r>
          </w:p>
        </w:tc>
        <w:tc>
          <w:tcPr>
            <w:tcW w:w="1064" w:type="dxa"/>
            <w:shd w:val="clear" w:color="auto" w:fill="FFFFFF"/>
            <w:vAlign w:val="center"/>
          </w:tcPr>
          <w:p w14:paraId="1B3B9626" w14:textId="4AE254B8" w:rsidR="008D2E48" w:rsidRPr="00D84B23" w:rsidRDefault="008D2E48" w:rsidP="00AB515B">
            <w:pPr>
              <w:pStyle w:val="CETBodytext"/>
              <w:jc w:val="center"/>
            </w:pPr>
            <w:r w:rsidRPr="00D84B23">
              <w:t>10.1</w:t>
            </w:r>
          </w:p>
        </w:tc>
        <w:tc>
          <w:tcPr>
            <w:tcW w:w="1064" w:type="dxa"/>
            <w:vMerge w:val="restart"/>
            <w:shd w:val="clear" w:color="auto" w:fill="FFFFFF"/>
            <w:vAlign w:val="center"/>
          </w:tcPr>
          <w:p w14:paraId="54B9016B" w14:textId="098DD1FE" w:rsidR="008D2E48" w:rsidRPr="00D84B23" w:rsidRDefault="008D2E48" w:rsidP="00AB515B">
            <w:pPr>
              <w:pStyle w:val="CETBodytext"/>
              <w:jc w:val="center"/>
            </w:pPr>
            <w:r w:rsidRPr="00D84B23">
              <w:t>96%</w:t>
            </w:r>
          </w:p>
        </w:tc>
      </w:tr>
      <w:tr w:rsidR="008D2E48" w:rsidRPr="00D84B23" w14:paraId="273E97B0" w14:textId="5878592F" w:rsidTr="002F71F1">
        <w:tc>
          <w:tcPr>
            <w:tcW w:w="709" w:type="dxa"/>
            <w:shd w:val="clear" w:color="auto" w:fill="FFFFFF"/>
            <w:vAlign w:val="center"/>
          </w:tcPr>
          <w:p w14:paraId="74AA1A11" w14:textId="77777777" w:rsidR="008D2E48" w:rsidRPr="00D84B23" w:rsidRDefault="008D2E48" w:rsidP="00AB515B">
            <w:pPr>
              <w:pStyle w:val="CETBodytext"/>
              <w:jc w:val="center"/>
            </w:pPr>
            <w:r w:rsidRPr="00D84B23">
              <w:t>2</w:t>
            </w:r>
          </w:p>
        </w:tc>
        <w:tc>
          <w:tcPr>
            <w:tcW w:w="1063" w:type="dxa"/>
            <w:vAlign w:val="center"/>
          </w:tcPr>
          <w:p w14:paraId="14E67E6F" w14:textId="166F17C6" w:rsidR="008D2E48" w:rsidRPr="00D84B23" w:rsidRDefault="008D2E48" w:rsidP="00AB515B">
            <w:pPr>
              <w:pStyle w:val="CETBodytext"/>
              <w:jc w:val="center"/>
            </w:pPr>
            <w:r w:rsidRPr="00D84B23">
              <w:t>Day 1</w:t>
            </w:r>
          </w:p>
        </w:tc>
        <w:tc>
          <w:tcPr>
            <w:tcW w:w="1063" w:type="dxa"/>
            <w:vAlign w:val="center"/>
          </w:tcPr>
          <w:p w14:paraId="2D9521C7" w14:textId="0FE66612" w:rsidR="008D2E48" w:rsidRPr="00D84B23" w:rsidRDefault="008D2E48" w:rsidP="00AB515B">
            <w:pPr>
              <w:pStyle w:val="CETBodytext"/>
              <w:jc w:val="center"/>
            </w:pPr>
            <w:r w:rsidRPr="00D84B23">
              <w:t>FSH</w:t>
            </w:r>
          </w:p>
        </w:tc>
        <w:tc>
          <w:tcPr>
            <w:tcW w:w="1063" w:type="dxa"/>
            <w:tcBorders>
              <w:top w:val="nil"/>
              <w:left w:val="nil"/>
              <w:bottom w:val="nil"/>
              <w:right w:val="nil"/>
            </w:tcBorders>
            <w:shd w:val="clear" w:color="auto" w:fill="auto"/>
            <w:vAlign w:val="center"/>
          </w:tcPr>
          <w:p w14:paraId="3CB6FE87" w14:textId="566A265B" w:rsidR="008D2E48" w:rsidRPr="00D84B23" w:rsidRDefault="008D2E48" w:rsidP="00AB515B">
            <w:pPr>
              <w:pStyle w:val="CETBodytext"/>
              <w:jc w:val="center"/>
            </w:pPr>
            <w:r w:rsidRPr="00D84B23">
              <w:t>1</w:t>
            </w:r>
            <w:r w:rsidR="0081452B">
              <w:t>,</w:t>
            </w:r>
            <w:r w:rsidRPr="00D84B23">
              <w:t>524</w:t>
            </w:r>
          </w:p>
        </w:tc>
        <w:tc>
          <w:tcPr>
            <w:tcW w:w="1064" w:type="dxa"/>
            <w:shd w:val="clear" w:color="auto" w:fill="FFFFFF"/>
            <w:vAlign w:val="center"/>
          </w:tcPr>
          <w:p w14:paraId="534F60BA" w14:textId="67D8E24B" w:rsidR="008D2E48" w:rsidRPr="00D84B23" w:rsidRDefault="008D2E48" w:rsidP="00AB515B">
            <w:pPr>
              <w:pStyle w:val="CETBodytext"/>
              <w:jc w:val="center"/>
            </w:pPr>
            <w:r w:rsidRPr="00D84B23">
              <w:t>9.70</w:t>
            </w:r>
          </w:p>
        </w:tc>
        <w:tc>
          <w:tcPr>
            <w:tcW w:w="1064" w:type="dxa"/>
            <w:vMerge/>
            <w:shd w:val="clear" w:color="auto" w:fill="FFFFFF"/>
            <w:vAlign w:val="center"/>
          </w:tcPr>
          <w:p w14:paraId="1C024ED2" w14:textId="77777777" w:rsidR="008D2E48" w:rsidRPr="00D84B23" w:rsidRDefault="008D2E48" w:rsidP="00AB515B">
            <w:pPr>
              <w:pStyle w:val="CETBodytext"/>
              <w:jc w:val="center"/>
            </w:pPr>
          </w:p>
        </w:tc>
      </w:tr>
      <w:tr w:rsidR="008D2E48" w:rsidRPr="00D84B23" w14:paraId="7B557301" w14:textId="1F96939A" w:rsidTr="002F71F1">
        <w:tc>
          <w:tcPr>
            <w:tcW w:w="709" w:type="dxa"/>
            <w:shd w:val="clear" w:color="auto" w:fill="FFFFFF"/>
            <w:vAlign w:val="center"/>
          </w:tcPr>
          <w:p w14:paraId="274E05CB" w14:textId="77777777" w:rsidR="008D2E48" w:rsidRPr="00D84B23" w:rsidRDefault="008D2E48" w:rsidP="00AB515B">
            <w:pPr>
              <w:pStyle w:val="CETBodytext"/>
              <w:jc w:val="center"/>
            </w:pPr>
            <w:r w:rsidRPr="00D84B23">
              <w:t>3</w:t>
            </w:r>
          </w:p>
        </w:tc>
        <w:tc>
          <w:tcPr>
            <w:tcW w:w="1063" w:type="dxa"/>
            <w:vAlign w:val="center"/>
          </w:tcPr>
          <w:p w14:paraId="65A416D1" w14:textId="252D22F4" w:rsidR="008D2E48" w:rsidRPr="00D84B23" w:rsidRDefault="008D2E48" w:rsidP="00AB515B">
            <w:pPr>
              <w:pStyle w:val="CETBodytext"/>
              <w:jc w:val="center"/>
            </w:pPr>
            <w:r w:rsidRPr="00D84B23">
              <w:t>Day 2</w:t>
            </w:r>
          </w:p>
        </w:tc>
        <w:tc>
          <w:tcPr>
            <w:tcW w:w="1063" w:type="dxa"/>
            <w:vAlign w:val="center"/>
          </w:tcPr>
          <w:p w14:paraId="4F49A926" w14:textId="698D1D25" w:rsidR="008D2E48" w:rsidRPr="00D84B23" w:rsidRDefault="008D2E48" w:rsidP="00AB515B">
            <w:pPr>
              <w:pStyle w:val="CETBodytext"/>
              <w:jc w:val="center"/>
            </w:pPr>
            <w:r w:rsidRPr="00D84B23">
              <w:t>LSWT</w:t>
            </w:r>
          </w:p>
        </w:tc>
        <w:tc>
          <w:tcPr>
            <w:tcW w:w="1063" w:type="dxa"/>
            <w:tcBorders>
              <w:top w:val="nil"/>
              <w:left w:val="nil"/>
              <w:bottom w:val="nil"/>
              <w:right w:val="nil"/>
            </w:tcBorders>
            <w:shd w:val="clear" w:color="auto" w:fill="auto"/>
            <w:vAlign w:val="center"/>
          </w:tcPr>
          <w:p w14:paraId="774101D4" w14:textId="414E517E" w:rsidR="008D2E48" w:rsidRPr="00D84B23" w:rsidRDefault="008D2E48" w:rsidP="00AB515B">
            <w:pPr>
              <w:pStyle w:val="CETBodytext"/>
              <w:jc w:val="center"/>
            </w:pPr>
            <w:r w:rsidRPr="00D84B23">
              <w:t>1</w:t>
            </w:r>
            <w:r w:rsidR="0081452B">
              <w:t>,</w:t>
            </w:r>
            <w:r w:rsidRPr="00D84B23">
              <w:t>154</w:t>
            </w:r>
          </w:p>
        </w:tc>
        <w:tc>
          <w:tcPr>
            <w:tcW w:w="1064" w:type="dxa"/>
            <w:shd w:val="clear" w:color="auto" w:fill="FFFFFF"/>
            <w:vAlign w:val="center"/>
          </w:tcPr>
          <w:p w14:paraId="13F00DFE" w14:textId="0E05AFBA" w:rsidR="008D2E48" w:rsidRPr="00D84B23" w:rsidRDefault="008D2E48" w:rsidP="00AB515B">
            <w:pPr>
              <w:pStyle w:val="CETBodytext"/>
              <w:jc w:val="center"/>
            </w:pPr>
            <w:r w:rsidRPr="00D84B23">
              <w:t>13.8</w:t>
            </w:r>
          </w:p>
        </w:tc>
        <w:tc>
          <w:tcPr>
            <w:tcW w:w="1064" w:type="dxa"/>
            <w:vMerge w:val="restart"/>
            <w:shd w:val="clear" w:color="auto" w:fill="FFFFFF"/>
            <w:vAlign w:val="center"/>
          </w:tcPr>
          <w:p w14:paraId="6EA92F18" w14:textId="08DFA54B" w:rsidR="008D2E48" w:rsidRPr="00D84B23" w:rsidRDefault="008D2E48" w:rsidP="00AB515B">
            <w:pPr>
              <w:pStyle w:val="CETBodytext"/>
              <w:jc w:val="center"/>
            </w:pPr>
            <w:r w:rsidRPr="00D84B23">
              <w:t>72%</w:t>
            </w:r>
          </w:p>
        </w:tc>
      </w:tr>
      <w:tr w:rsidR="008D2E48" w:rsidRPr="00D84B23" w14:paraId="7227B51F" w14:textId="6B8095BD" w:rsidTr="002F71F1">
        <w:tc>
          <w:tcPr>
            <w:tcW w:w="709" w:type="dxa"/>
            <w:shd w:val="clear" w:color="auto" w:fill="FFFFFF"/>
            <w:vAlign w:val="center"/>
          </w:tcPr>
          <w:p w14:paraId="02E21B8F" w14:textId="757EADFB" w:rsidR="008D2E48" w:rsidRPr="00D84B23" w:rsidRDefault="008D2E48" w:rsidP="00AB515B">
            <w:pPr>
              <w:pStyle w:val="CETBodytext"/>
              <w:ind w:right="-1"/>
              <w:jc w:val="center"/>
              <w:rPr>
                <w:rFonts w:cs="Arial"/>
                <w:szCs w:val="18"/>
              </w:rPr>
            </w:pPr>
            <w:r w:rsidRPr="00D84B23">
              <w:rPr>
                <w:rFonts w:cs="Arial"/>
                <w:szCs w:val="18"/>
              </w:rPr>
              <w:t>4</w:t>
            </w:r>
          </w:p>
        </w:tc>
        <w:tc>
          <w:tcPr>
            <w:tcW w:w="1063" w:type="dxa"/>
            <w:shd w:val="clear" w:color="auto" w:fill="FFFFFF"/>
            <w:vAlign w:val="center"/>
          </w:tcPr>
          <w:p w14:paraId="64FB9240" w14:textId="3274D269" w:rsidR="008D2E48" w:rsidRPr="00D84B23" w:rsidRDefault="008D2E48" w:rsidP="00AB515B">
            <w:pPr>
              <w:pStyle w:val="CETBodytext"/>
              <w:ind w:right="-1"/>
              <w:jc w:val="center"/>
              <w:rPr>
                <w:rFonts w:cs="Arial"/>
                <w:szCs w:val="18"/>
              </w:rPr>
            </w:pPr>
            <w:r w:rsidRPr="00D84B23">
              <w:rPr>
                <w:rFonts w:cs="Arial"/>
                <w:szCs w:val="18"/>
              </w:rPr>
              <w:t>Day 2</w:t>
            </w:r>
          </w:p>
        </w:tc>
        <w:tc>
          <w:tcPr>
            <w:tcW w:w="1063" w:type="dxa"/>
            <w:shd w:val="clear" w:color="auto" w:fill="FFFFFF"/>
            <w:vAlign w:val="center"/>
          </w:tcPr>
          <w:p w14:paraId="02218ECF" w14:textId="630C2BDC" w:rsidR="008D2E48" w:rsidRPr="00D84B23" w:rsidRDefault="008D2E48" w:rsidP="00AB515B">
            <w:pPr>
              <w:pStyle w:val="CETBodytext"/>
              <w:ind w:right="-1"/>
              <w:jc w:val="center"/>
              <w:rPr>
                <w:rFonts w:cs="Arial"/>
                <w:szCs w:val="18"/>
              </w:rPr>
            </w:pPr>
            <w:r w:rsidRPr="00D84B23">
              <w:rPr>
                <w:rFonts w:cs="Arial"/>
                <w:szCs w:val="18"/>
              </w:rPr>
              <w:t>FSH</w:t>
            </w:r>
          </w:p>
        </w:tc>
        <w:tc>
          <w:tcPr>
            <w:tcW w:w="1063" w:type="dxa"/>
            <w:shd w:val="clear" w:color="auto" w:fill="FFFFFF"/>
            <w:vAlign w:val="center"/>
          </w:tcPr>
          <w:p w14:paraId="3747E244" w14:textId="74991FD8" w:rsidR="008D2E48" w:rsidRPr="00D84B23" w:rsidRDefault="008D2E48" w:rsidP="00AB515B">
            <w:pPr>
              <w:pStyle w:val="CETBodytext"/>
              <w:ind w:right="-1"/>
              <w:jc w:val="center"/>
              <w:rPr>
                <w:rFonts w:cs="Arial"/>
                <w:szCs w:val="18"/>
              </w:rPr>
            </w:pPr>
            <w:r w:rsidRPr="00D84B23">
              <w:rPr>
                <w:rFonts w:cs="Arial"/>
                <w:szCs w:val="18"/>
              </w:rPr>
              <w:t>1</w:t>
            </w:r>
            <w:r w:rsidR="0081452B">
              <w:rPr>
                <w:rFonts w:cs="Arial"/>
                <w:szCs w:val="18"/>
              </w:rPr>
              <w:t>,</w:t>
            </w:r>
            <w:r w:rsidRPr="00D84B23">
              <w:rPr>
                <w:rFonts w:cs="Arial"/>
                <w:szCs w:val="18"/>
              </w:rPr>
              <w:t>575</w:t>
            </w:r>
          </w:p>
        </w:tc>
        <w:tc>
          <w:tcPr>
            <w:tcW w:w="1064" w:type="dxa"/>
            <w:shd w:val="clear" w:color="auto" w:fill="FFFFFF"/>
            <w:vAlign w:val="center"/>
          </w:tcPr>
          <w:p w14:paraId="5BC00FB7" w14:textId="6404C180" w:rsidR="008D2E48" w:rsidRPr="00D84B23" w:rsidRDefault="008D2E48" w:rsidP="00AB515B">
            <w:pPr>
              <w:pStyle w:val="CETBodytext"/>
              <w:ind w:right="-1"/>
              <w:jc w:val="center"/>
              <w:rPr>
                <w:rFonts w:cs="Arial"/>
                <w:szCs w:val="18"/>
              </w:rPr>
            </w:pPr>
            <w:r w:rsidRPr="00D84B23">
              <w:rPr>
                <w:rFonts w:cs="Arial"/>
                <w:szCs w:val="18"/>
              </w:rPr>
              <w:t>10.0</w:t>
            </w:r>
          </w:p>
        </w:tc>
        <w:tc>
          <w:tcPr>
            <w:tcW w:w="1064" w:type="dxa"/>
            <w:vMerge/>
            <w:shd w:val="clear" w:color="auto" w:fill="FFFFFF"/>
            <w:vAlign w:val="center"/>
          </w:tcPr>
          <w:p w14:paraId="3EFD74C3" w14:textId="77777777" w:rsidR="008D2E48" w:rsidRPr="00D84B23" w:rsidRDefault="008D2E48" w:rsidP="00AB515B">
            <w:pPr>
              <w:pStyle w:val="CETBodytext"/>
              <w:ind w:right="-1"/>
              <w:jc w:val="center"/>
              <w:rPr>
                <w:rFonts w:cs="Arial"/>
                <w:szCs w:val="18"/>
              </w:rPr>
            </w:pPr>
          </w:p>
        </w:tc>
      </w:tr>
    </w:tbl>
    <w:p w14:paraId="25F5FC50" w14:textId="77777777" w:rsidR="00BC2654" w:rsidRPr="00D84B23" w:rsidRDefault="00BC2654" w:rsidP="00471F12">
      <w:pPr>
        <w:pStyle w:val="CETBodytext"/>
      </w:pPr>
    </w:p>
    <w:p w14:paraId="73890961" w14:textId="38135C65" w:rsidR="001E16FB" w:rsidRPr="00D84B23" w:rsidRDefault="001E16FB" w:rsidP="001E16FB">
      <w:pPr>
        <w:pStyle w:val="CETHeading1"/>
        <w:rPr>
          <w:lang w:val="en-GB"/>
        </w:rPr>
      </w:pPr>
      <w:r w:rsidRPr="00D84B23">
        <w:rPr>
          <w:lang w:val="en-GB"/>
        </w:rPr>
        <w:t>Conclusions</w:t>
      </w:r>
    </w:p>
    <w:p w14:paraId="0E4BE13E" w14:textId="5E7AFEE0" w:rsidR="00543F13" w:rsidRPr="00D84B23" w:rsidRDefault="00444DB5" w:rsidP="000166F3">
      <w:pPr>
        <w:pStyle w:val="CETBodytext"/>
      </w:pPr>
      <w:r w:rsidRPr="00D84B23">
        <w:t>The present work aimed</w:t>
      </w:r>
      <w:r w:rsidR="00543F13" w:rsidRPr="00D84B23">
        <w:t xml:space="preserve"> </w:t>
      </w:r>
      <w:r w:rsidR="000166F3" w:rsidRPr="00D84B23">
        <w:t>to highlight some critical points related to the</w:t>
      </w:r>
      <w:r w:rsidRPr="00D84B23">
        <w:t xml:space="preserve"> olfactometric</w:t>
      </w:r>
      <w:r w:rsidR="000166F3" w:rsidRPr="00D84B23">
        <w:t xml:space="preserve"> characteri</w:t>
      </w:r>
      <w:r w:rsidRPr="00D84B23">
        <w:t>s</w:t>
      </w:r>
      <w:r w:rsidR="000166F3" w:rsidRPr="00D84B23">
        <w:t xml:space="preserve">ation of </w:t>
      </w:r>
      <w:r w:rsidRPr="00D84B23">
        <w:t xml:space="preserve">a </w:t>
      </w:r>
      <w:r w:rsidR="00543F13" w:rsidRPr="00D84B23">
        <w:t xml:space="preserve">specific </w:t>
      </w:r>
      <w:r w:rsidRPr="00D84B23">
        <w:t>kind of wastewater treatment tank</w:t>
      </w:r>
      <w:r w:rsidR="002F71F1" w:rsidRPr="00D84B23">
        <w:t>:</w:t>
      </w:r>
      <w:r w:rsidRPr="00D84B23">
        <w:t xml:space="preserve"> the bubbling oxidation basins.</w:t>
      </w:r>
    </w:p>
    <w:p w14:paraId="1FDAB111" w14:textId="3D14CBBC" w:rsidR="00444DB5" w:rsidRPr="00D84B23" w:rsidRDefault="00543F13" w:rsidP="000166F3">
      <w:pPr>
        <w:pStyle w:val="CETBodytext"/>
      </w:pPr>
      <w:r w:rsidRPr="00D84B23">
        <w:t>This study shows</w:t>
      </w:r>
      <w:r w:rsidR="00444DB5" w:rsidRPr="00D84B23">
        <w:t xml:space="preserve"> firstly, from a theoretical point of view, that the neglection of the bottom aeration flow may lead to a </w:t>
      </w:r>
      <w:r w:rsidR="00D514FF" w:rsidRPr="00D84B23">
        <w:t>systematic underestimation of the OER of these potential odour sources. Moreover, field tests had confirmed this consideration, showing that also from a physical point of view the bottom aeration may be the controlling phenomenon of the odour emission. From this information, it can be concluded that the threshold between passive and active surface sources, as defined by the European standard for olfactometry (EN 13725:2022), does not appear to be as exhaustive as it is claimed to be.</w:t>
      </w:r>
    </w:p>
    <w:p w14:paraId="76E2D9CA" w14:textId="4E51E59C" w:rsidR="00D514FF" w:rsidRPr="00D84B23" w:rsidRDefault="00D514FF" w:rsidP="000166F3">
      <w:pPr>
        <w:pStyle w:val="CETBodytext"/>
      </w:pPr>
      <w:r w:rsidRPr="00D84B23">
        <w:t xml:space="preserve">Future developments of this study may be oriented to enlarge the experimental dataset of comparative sampling over aerated basins, and the coupling with chemical characterisation, </w:t>
      </w:r>
      <w:proofErr w:type="gramStart"/>
      <w:r w:rsidRPr="00D84B23">
        <w:t>in order to</w:t>
      </w:r>
      <w:proofErr w:type="gramEnd"/>
      <w:r w:rsidRPr="00D84B23">
        <w:t xml:space="preserve"> </w:t>
      </w:r>
      <w:r w:rsidR="002F71F1" w:rsidRPr="00D84B23">
        <w:t>assess</w:t>
      </w:r>
      <w:r w:rsidRPr="00D84B23">
        <w:t xml:space="preserve"> in the different </w:t>
      </w:r>
      <w:r w:rsidR="002F71F1" w:rsidRPr="00D84B23">
        <w:t>behaviour</w:t>
      </w:r>
      <w:r w:rsidRPr="00D84B23">
        <w:t xml:space="preserve"> of the emission contributions may also be linked to chemical-physical characteristics of odorants (i.e. solubility).</w:t>
      </w:r>
    </w:p>
    <w:p w14:paraId="6EE8D7AD" w14:textId="506E5E82" w:rsidR="004245BF" w:rsidRPr="00D84B23" w:rsidRDefault="003E170F" w:rsidP="003E170F">
      <w:pPr>
        <w:pStyle w:val="CETReference"/>
      </w:pPr>
      <w:r w:rsidRPr="00D84B23">
        <w:t>References</w:t>
      </w:r>
    </w:p>
    <w:p w14:paraId="37AA7D11" w14:textId="5C9E19DD" w:rsidR="00B302AB" w:rsidRPr="00B302AB" w:rsidRDefault="006A6DE5" w:rsidP="00B302AB">
      <w:pPr>
        <w:widowControl w:val="0"/>
        <w:autoSpaceDE w:val="0"/>
        <w:autoSpaceDN w:val="0"/>
        <w:adjustRightInd w:val="0"/>
        <w:spacing w:line="240" w:lineRule="auto"/>
        <w:ind w:left="480" w:hanging="480"/>
        <w:rPr>
          <w:rFonts w:cs="Arial"/>
          <w:noProof/>
        </w:rPr>
      </w:pPr>
      <w:r w:rsidRPr="00D84B23">
        <w:fldChar w:fldCharType="begin" w:fldLock="1"/>
      </w:r>
      <w:r w:rsidRPr="00D84B23">
        <w:instrText xml:space="preserve">ADDIN Mendeley Bibliography CSL_BIBLIOGRAPHY </w:instrText>
      </w:r>
      <w:r w:rsidRPr="00D84B23">
        <w:fldChar w:fldCharType="separate"/>
      </w:r>
      <w:r w:rsidR="00B302AB" w:rsidRPr="00B302AB">
        <w:rPr>
          <w:rFonts w:cs="Arial"/>
          <w:noProof/>
        </w:rPr>
        <w:t>Bokowa A. H., Bokowa M.</w:t>
      </w:r>
      <w:r w:rsidR="0081452B">
        <w:rPr>
          <w:rFonts w:cs="Arial"/>
          <w:noProof/>
        </w:rPr>
        <w:t>,</w:t>
      </w:r>
      <w:r w:rsidR="00B302AB" w:rsidRPr="00B302AB">
        <w:rPr>
          <w:rFonts w:cs="Arial"/>
          <w:noProof/>
        </w:rPr>
        <w:t xml:space="preserve"> 2017</w:t>
      </w:r>
      <w:r w:rsidR="00FF360C">
        <w:rPr>
          <w:rFonts w:cs="Arial"/>
          <w:noProof/>
        </w:rPr>
        <w:t>,</w:t>
      </w:r>
      <w:r w:rsidR="00B302AB" w:rsidRPr="00B302AB">
        <w:rPr>
          <w:rFonts w:cs="Arial"/>
          <w:noProof/>
        </w:rPr>
        <w:t xml:space="preserve"> Odour assessment methods: appropriate uses to obtain the most accurate results</w:t>
      </w:r>
      <w:r w:rsidR="00383273">
        <w:rPr>
          <w:rFonts w:cs="Arial"/>
          <w:noProof/>
        </w:rPr>
        <w:t>,</w:t>
      </w:r>
      <w:r w:rsidR="00B302AB" w:rsidRPr="00B302AB">
        <w:rPr>
          <w:rFonts w:cs="Arial"/>
          <w:noProof/>
        </w:rPr>
        <w:t xml:space="preserve"> </w:t>
      </w:r>
      <w:r w:rsidR="00B302AB" w:rsidRPr="00B302AB">
        <w:rPr>
          <w:rFonts w:cs="Arial"/>
          <w:i/>
          <w:iCs/>
          <w:noProof/>
        </w:rPr>
        <w:t>Austrian Contributions to Veterinary Epidemiology</w:t>
      </w:r>
      <w:r w:rsidR="00B302AB" w:rsidRPr="00B302AB">
        <w:rPr>
          <w:rFonts w:cs="Arial"/>
          <w:noProof/>
        </w:rPr>
        <w:t>,</w:t>
      </w:r>
      <w:r w:rsidR="00B302AB" w:rsidRPr="00FF360C">
        <w:rPr>
          <w:rFonts w:cs="Arial"/>
          <w:noProof/>
        </w:rPr>
        <w:t xml:space="preserve"> 9,</w:t>
      </w:r>
      <w:r w:rsidR="00B302AB" w:rsidRPr="00B302AB">
        <w:rPr>
          <w:rFonts w:cs="Arial"/>
          <w:noProof/>
        </w:rPr>
        <w:t xml:space="preserve"> 21</w:t>
      </w:r>
      <w:r w:rsidR="00FF360C">
        <w:rPr>
          <w:rFonts w:cs="Arial"/>
          <w:noProof/>
        </w:rPr>
        <w:t>-</w:t>
      </w:r>
      <w:r w:rsidR="00B302AB" w:rsidRPr="00B302AB">
        <w:rPr>
          <w:rFonts w:cs="Arial"/>
          <w:noProof/>
        </w:rPr>
        <w:t>35.</w:t>
      </w:r>
    </w:p>
    <w:p w14:paraId="228CD1A4" w14:textId="290F7466" w:rsidR="00B302AB" w:rsidRPr="00B302AB" w:rsidRDefault="00B302AB" w:rsidP="00FF360C">
      <w:pPr>
        <w:widowControl w:val="0"/>
        <w:autoSpaceDE w:val="0"/>
        <w:autoSpaceDN w:val="0"/>
        <w:adjustRightInd w:val="0"/>
        <w:spacing w:line="240" w:lineRule="auto"/>
        <w:ind w:left="480" w:hanging="480"/>
        <w:rPr>
          <w:rFonts w:cs="Arial"/>
          <w:noProof/>
        </w:rPr>
      </w:pPr>
      <w:r w:rsidRPr="00B302AB">
        <w:rPr>
          <w:rFonts w:cs="Arial"/>
          <w:noProof/>
        </w:rPr>
        <w:t>Brancher M., Griffiths K. D., Franco D., de Melo Lisboa H.</w:t>
      </w:r>
      <w:r w:rsidR="00FF360C">
        <w:rPr>
          <w:rFonts w:cs="Arial"/>
          <w:noProof/>
        </w:rPr>
        <w:t>,</w:t>
      </w:r>
      <w:r w:rsidRPr="00B302AB">
        <w:rPr>
          <w:rFonts w:cs="Arial"/>
          <w:noProof/>
        </w:rPr>
        <w:t xml:space="preserve"> 2017</w:t>
      </w:r>
      <w:r w:rsidR="00FF360C">
        <w:rPr>
          <w:rFonts w:cs="Arial"/>
          <w:noProof/>
        </w:rPr>
        <w:t>,</w:t>
      </w:r>
      <w:r w:rsidRPr="00B302AB">
        <w:rPr>
          <w:rFonts w:cs="Arial"/>
          <w:noProof/>
        </w:rPr>
        <w:t xml:space="preserve"> A review of odour impact criteria in selected countries around the world</w:t>
      </w:r>
      <w:r w:rsidR="00383273">
        <w:rPr>
          <w:rFonts w:cs="Arial"/>
          <w:noProof/>
        </w:rPr>
        <w:t>,</w:t>
      </w:r>
      <w:r w:rsidRPr="00B302AB">
        <w:rPr>
          <w:rFonts w:cs="Arial"/>
          <w:noProof/>
        </w:rPr>
        <w:t xml:space="preserve"> </w:t>
      </w:r>
      <w:r w:rsidRPr="00B302AB">
        <w:rPr>
          <w:rFonts w:cs="Arial"/>
          <w:i/>
          <w:iCs/>
          <w:noProof/>
        </w:rPr>
        <w:t>Chemosphere</w:t>
      </w:r>
      <w:r w:rsidRPr="00FF360C">
        <w:rPr>
          <w:rFonts w:cs="Arial"/>
          <w:noProof/>
        </w:rPr>
        <w:t xml:space="preserve">, 168, </w:t>
      </w:r>
      <w:r w:rsidRPr="00B302AB">
        <w:rPr>
          <w:rFonts w:cs="Arial"/>
          <w:noProof/>
        </w:rPr>
        <w:t>1531</w:t>
      </w:r>
      <w:r w:rsidR="00FF360C">
        <w:rPr>
          <w:rFonts w:cs="Arial"/>
          <w:noProof/>
        </w:rPr>
        <w:t>-</w:t>
      </w:r>
      <w:r w:rsidRPr="00B302AB">
        <w:rPr>
          <w:rFonts w:cs="Arial"/>
          <w:noProof/>
        </w:rPr>
        <w:t>1570</w:t>
      </w:r>
      <w:r w:rsidR="00383273">
        <w:rPr>
          <w:rFonts w:cs="Arial"/>
          <w:noProof/>
        </w:rPr>
        <w:t>,</w:t>
      </w:r>
      <w:r w:rsidRPr="00B302AB">
        <w:rPr>
          <w:rFonts w:cs="Arial"/>
          <w:noProof/>
        </w:rPr>
        <w:t xml:space="preserve"> https://doi.org/10.1016/j.chemosphere.2016.11.160</w:t>
      </w:r>
    </w:p>
    <w:p w14:paraId="0F53399A" w14:textId="3797893E"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Capelli L., Sironi S., Del Rosso R., C</w:t>
      </w:r>
      <w:r w:rsidR="00FF360C">
        <w:rPr>
          <w:rFonts w:cs="Arial"/>
          <w:noProof/>
        </w:rPr>
        <w:t>e</w:t>
      </w:r>
      <w:r w:rsidRPr="00B302AB">
        <w:rPr>
          <w:rFonts w:cs="Arial"/>
          <w:noProof/>
        </w:rPr>
        <w:t>ntola P.</w:t>
      </w:r>
      <w:r w:rsidR="00FF360C">
        <w:rPr>
          <w:rFonts w:cs="Arial"/>
          <w:noProof/>
        </w:rPr>
        <w:t>,</w:t>
      </w:r>
      <w:r w:rsidRPr="00B302AB">
        <w:rPr>
          <w:rFonts w:cs="Arial"/>
          <w:noProof/>
        </w:rPr>
        <w:t xml:space="preserve"> 2009</w:t>
      </w:r>
      <w:r w:rsidR="00FF360C">
        <w:rPr>
          <w:rFonts w:cs="Arial"/>
          <w:noProof/>
        </w:rPr>
        <w:t>a,</w:t>
      </w:r>
      <w:r w:rsidRPr="00B302AB">
        <w:rPr>
          <w:rFonts w:cs="Arial"/>
          <w:noProof/>
        </w:rPr>
        <w:t xml:space="preserve"> Design and validation of a wind tunnel system for odour sampling on liquid area sources</w:t>
      </w:r>
      <w:r w:rsidR="00383273">
        <w:rPr>
          <w:rFonts w:cs="Arial"/>
          <w:noProof/>
        </w:rPr>
        <w:t>,</w:t>
      </w:r>
      <w:r w:rsidRPr="00B302AB">
        <w:rPr>
          <w:rFonts w:cs="Arial"/>
          <w:noProof/>
        </w:rPr>
        <w:t xml:space="preserve"> </w:t>
      </w:r>
      <w:r w:rsidRPr="00B302AB">
        <w:rPr>
          <w:rFonts w:cs="Arial"/>
          <w:i/>
          <w:iCs/>
          <w:noProof/>
        </w:rPr>
        <w:t>Water Science and Technology</w:t>
      </w:r>
      <w:r w:rsidRPr="00FF360C">
        <w:rPr>
          <w:rFonts w:cs="Arial"/>
          <w:noProof/>
        </w:rPr>
        <w:t>, 59(8),</w:t>
      </w:r>
      <w:r w:rsidRPr="00B302AB">
        <w:rPr>
          <w:rFonts w:cs="Arial"/>
          <w:noProof/>
        </w:rPr>
        <w:t xml:space="preserve"> 1611</w:t>
      </w:r>
      <w:r w:rsidR="00FF360C">
        <w:rPr>
          <w:rFonts w:cs="Arial"/>
          <w:noProof/>
        </w:rPr>
        <w:t>-</w:t>
      </w:r>
      <w:r w:rsidRPr="00B302AB">
        <w:rPr>
          <w:rFonts w:cs="Arial"/>
          <w:noProof/>
        </w:rPr>
        <w:t>1620</w:t>
      </w:r>
      <w:r w:rsidR="00383273">
        <w:rPr>
          <w:rFonts w:cs="Arial"/>
          <w:noProof/>
        </w:rPr>
        <w:t>,</w:t>
      </w:r>
      <w:r w:rsidRPr="00B302AB">
        <w:rPr>
          <w:rFonts w:cs="Arial"/>
          <w:noProof/>
        </w:rPr>
        <w:t xml:space="preserve"> https://doi.org/10.2166/wst.2009.123</w:t>
      </w:r>
    </w:p>
    <w:p w14:paraId="06D58531" w14:textId="1BBD0456"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Capelli Laura, Sironi S., Del Rosso R. C</w:t>
      </w:r>
      <w:r w:rsidR="00FF360C">
        <w:rPr>
          <w:rFonts w:cs="Arial"/>
          <w:noProof/>
        </w:rPr>
        <w:t>e</w:t>
      </w:r>
      <w:r w:rsidRPr="00B302AB">
        <w:rPr>
          <w:rFonts w:cs="Arial"/>
          <w:noProof/>
        </w:rPr>
        <w:t>ntola, P.</w:t>
      </w:r>
      <w:r w:rsidR="00FF360C">
        <w:rPr>
          <w:rFonts w:cs="Arial"/>
          <w:noProof/>
        </w:rPr>
        <w:t>,</w:t>
      </w:r>
      <w:r w:rsidRPr="00B302AB">
        <w:rPr>
          <w:rFonts w:cs="Arial"/>
          <w:noProof/>
        </w:rPr>
        <w:t xml:space="preserve"> 2009</w:t>
      </w:r>
      <w:r w:rsidR="00FF360C">
        <w:rPr>
          <w:rFonts w:cs="Arial"/>
          <w:noProof/>
        </w:rPr>
        <w:t>b,</w:t>
      </w:r>
      <w:r w:rsidRPr="00B302AB">
        <w:rPr>
          <w:rFonts w:cs="Arial"/>
          <w:noProof/>
        </w:rPr>
        <w:t xml:space="preserve"> Predicting odour emissions from wastewater treatment plants by means of odour emission factors</w:t>
      </w:r>
      <w:r w:rsidR="00383273">
        <w:rPr>
          <w:rFonts w:cs="Arial"/>
          <w:noProof/>
        </w:rPr>
        <w:t>,</w:t>
      </w:r>
      <w:r w:rsidRPr="00B302AB">
        <w:rPr>
          <w:rFonts w:cs="Arial"/>
          <w:noProof/>
        </w:rPr>
        <w:t xml:space="preserve"> </w:t>
      </w:r>
      <w:r w:rsidRPr="00B302AB">
        <w:rPr>
          <w:rFonts w:cs="Arial"/>
          <w:i/>
          <w:iCs/>
          <w:noProof/>
        </w:rPr>
        <w:t>Water Research</w:t>
      </w:r>
      <w:r w:rsidRPr="00B302AB">
        <w:rPr>
          <w:rFonts w:cs="Arial"/>
          <w:noProof/>
        </w:rPr>
        <w:t xml:space="preserve">, </w:t>
      </w:r>
      <w:r w:rsidRPr="00B302AB">
        <w:rPr>
          <w:rFonts w:cs="Arial"/>
          <w:i/>
          <w:iCs/>
          <w:noProof/>
        </w:rPr>
        <w:t>43</w:t>
      </w:r>
      <w:r w:rsidRPr="00B302AB">
        <w:rPr>
          <w:rFonts w:cs="Arial"/>
          <w:noProof/>
        </w:rPr>
        <w:t>(7), 1977–1985</w:t>
      </w:r>
      <w:r w:rsidR="00383273">
        <w:rPr>
          <w:rFonts w:cs="Arial"/>
          <w:noProof/>
        </w:rPr>
        <w:t>,</w:t>
      </w:r>
      <w:r w:rsidRPr="00B302AB">
        <w:rPr>
          <w:rFonts w:cs="Arial"/>
          <w:noProof/>
        </w:rPr>
        <w:t xml:space="preserve"> https://doi.org/10.1016/j.watres.2009.01.022</w:t>
      </w:r>
    </w:p>
    <w:p w14:paraId="48635DC6" w14:textId="04F17A71"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CEN</w:t>
      </w:r>
      <w:r w:rsidR="00010A07">
        <w:rPr>
          <w:rFonts w:cs="Arial"/>
          <w:noProof/>
        </w:rPr>
        <w:t xml:space="preserve">, </w:t>
      </w:r>
      <w:r w:rsidRPr="00B302AB">
        <w:rPr>
          <w:rFonts w:cs="Arial"/>
          <w:noProof/>
        </w:rPr>
        <w:t>2022</w:t>
      </w:r>
      <w:r w:rsidR="00010A07">
        <w:rPr>
          <w:rFonts w:cs="Arial"/>
          <w:noProof/>
        </w:rPr>
        <w:t>,</w:t>
      </w:r>
      <w:r w:rsidRPr="00B302AB">
        <w:rPr>
          <w:rFonts w:cs="Arial"/>
          <w:noProof/>
        </w:rPr>
        <w:t xml:space="preserve"> </w:t>
      </w:r>
      <w:r w:rsidRPr="00B302AB">
        <w:rPr>
          <w:rFonts w:cs="Arial"/>
          <w:i/>
          <w:iCs/>
          <w:noProof/>
        </w:rPr>
        <w:t>EN13725:2022 - Stationary source emissions - Determination of odour concentration by dynamic olfactometry and odour emission rate</w:t>
      </w:r>
      <w:r w:rsidR="00383273">
        <w:rPr>
          <w:rFonts w:cs="Arial"/>
          <w:noProof/>
        </w:rPr>
        <w:t xml:space="preserve">, </w:t>
      </w:r>
      <w:r w:rsidR="00383273">
        <w:rPr>
          <w:szCs w:val="18"/>
        </w:rPr>
        <w:t>Brussels</w:t>
      </w:r>
    </w:p>
    <w:p w14:paraId="27115EE1" w14:textId="42634DA3"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Frechen F. B., Frey M., Wett M., Löser C.</w:t>
      </w:r>
      <w:r w:rsidR="00383273">
        <w:rPr>
          <w:rFonts w:cs="Arial"/>
          <w:noProof/>
        </w:rPr>
        <w:t>,</w:t>
      </w:r>
      <w:r w:rsidRPr="00B302AB">
        <w:rPr>
          <w:rFonts w:cs="Arial"/>
          <w:noProof/>
        </w:rPr>
        <w:t xml:space="preserve"> 2004</w:t>
      </w:r>
      <w:r w:rsidR="00383273">
        <w:rPr>
          <w:rFonts w:cs="Arial"/>
          <w:noProof/>
        </w:rPr>
        <w:t>,</w:t>
      </w:r>
      <w:r w:rsidRPr="00B302AB">
        <w:rPr>
          <w:rFonts w:cs="Arial"/>
          <w:noProof/>
        </w:rPr>
        <w:t xml:space="preserve"> Aerodynamic performance of a low-speed wind tunnel</w:t>
      </w:r>
      <w:r w:rsidR="00383273">
        <w:rPr>
          <w:rFonts w:cs="Arial"/>
          <w:noProof/>
        </w:rPr>
        <w:t>,</w:t>
      </w:r>
      <w:r w:rsidRPr="00B302AB">
        <w:rPr>
          <w:rFonts w:cs="Arial"/>
          <w:noProof/>
        </w:rPr>
        <w:t xml:space="preserve"> </w:t>
      </w:r>
      <w:r w:rsidRPr="00B302AB">
        <w:rPr>
          <w:rFonts w:cs="Arial"/>
          <w:i/>
          <w:iCs/>
          <w:noProof/>
        </w:rPr>
        <w:t>Water Science and Technology</w:t>
      </w:r>
      <w:r w:rsidRPr="00B302AB">
        <w:rPr>
          <w:rFonts w:cs="Arial"/>
          <w:noProof/>
        </w:rPr>
        <w:t>,</w:t>
      </w:r>
      <w:r w:rsidRPr="00383273">
        <w:rPr>
          <w:rFonts w:cs="Arial"/>
          <w:noProof/>
        </w:rPr>
        <w:t xml:space="preserve"> 50(4)</w:t>
      </w:r>
      <w:r w:rsidRPr="00B302AB">
        <w:rPr>
          <w:rFonts w:cs="Arial"/>
          <w:noProof/>
        </w:rPr>
        <w:t>, 57</w:t>
      </w:r>
      <w:r w:rsidR="00383273">
        <w:rPr>
          <w:rFonts w:cs="Arial"/>
          <w:noProof/>
        </w:rPr>
        <w:t>-</w:t>
      </w:r>
      <w:r w:rsidRPr="00B302AB">
        <w:rPr>
          <w:rFonts w:cs="Arial"/>
          <w:noProof/>
        </w:rPr>
        <w:t>64</w:t>
      </w:r>
      <w:r w:rsidR="00383273">
        <w:rPr>
          <w:rFonts w:cs="Arial"/>
          <w:noProof/>
        </w:rPr>
        <w:t>,</w:t>
      </w:r>
      <w:r w:rsidRPr="00B302AB">
        <w:rPr>
          <w:rFonts w:cs="Arial"/>
          <w:noProof/>
        </w:rPr>
        <w:t xml:space="preserve"> https://doi.org/10.2166/wst.2004.0220</w:t>
      </w:r>
    </w:p>
    <w:p w14:paraId="6071B16E" w14:textId="5829D252"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Gillot S., Héduit A.</w:t>
      </w:r>
      <w:r w:rsidR="00383273">
        <w:rPr>
          <w:rFonts w:cs="Arial"/>
          <w:noProof/>
        </w:rPr>
        <w:t xml:space="preserve">, </w:t>
      </w:r>
      <w:r w:rsidRPr="00B302AB">
        <w:rPr>
          <w:rFonts w:cs="Arial"/>
          <w:noProof/>
        </w:rPr>
        <w:t>2008</w:t>
      </w:r>
      <w:r w:rsidR="00383273">
        <w:rPr>
          <w:rFonts w:cs="Arial"/>
          <w:noProof/>
        </w:rPr>
        <w:t>,</w:t>
      </w:r>
      <w:r w:rsidRPr="00B302AB">
        <w:rPr>
          <w:rFonts w:cs="Arial"/>
          <w:noProof/>
        </w:rPr>
        <w:t xml:space="preserve"> Prediction of alpha factor values for fine pore aeration systems</w:t>
      </w:r>
      <w:r w:rsidR="00383273">
        <w:rPr>
          <w:rFonts w:cs="Arial"/>
          <w:noProof/>
        </w:rPr>
        <w:t>,</w:t>
      </w:r>
      <w:r w:rsidRPr="00B302AB">
        <w:rPr>
          <w:rFonts w:cs="Arial"/>
          <w:noProof/>
        </w:rPr>
        <w:t xml:space="preserve"> </w:t>
      </w:r>
      <w:r w:rsidRPr="00B302AB">
        <w:rPr>
          <w:rFonts w:cs="Arial"/>
          <w:i/>
          <w:iCs/>
          <w:noProof/>
        </w:rPr>
        <w:t>Water Science and Technology</w:t>
      </w:r>
      <w:r w:rsidRPr="00B302AB">
        <w:rPr>
          <w:rFonts w:cs="Arial"/>
          <w:noProof/>
        </w:rPr>
        <w:t xml:space="preserve">, </w:t>
      </w:r>
      <w:r w:rsidRPr="00383273">
        <w:rPr>
          <w:rFonts w:cs="Arial"/>
          <w:noProof/>
        </w:rPr>
        <w:t>57(8</w:t>
      </w:r>
      <w:r w:rsidRPr="00B302AB">
        <w:rPr>
          <w:rFonts w:cs="Arial"/>
          <w:noProof/>
        </w:rPr>
        <w:t>), 1265</w:t>
      </w:r>
      <w:r w:rsidR="00383273">
        <w:rPr>
          <w:rFonts w:cs="Arial"/>
          <w:noProof/>
        </w:rPr>
        <w:t>-</w:t>
      </w:r>
      <w:r w:rsidRPr="00B302AB">
        <w:rPr>
          <w:rFonts w:cs="Arial"/>
          <w:noProof/>
        </w:rPr>
        <w:t>1269</w:t>
      </w:r>
      <w:r w:rsidR="00383273">
        <w:rPr>
          <w:rFonts w:cs="Arial"/>
          <w:noProof/>
        </w:rPr>
        <w:t>,</w:t>
      </w:r>
      <w:r w:rsidRPr="00B302AB">
        <w:rPr>
          <w:rFonts w:cs="Arial"/>
          <w:noProof/>
        </w:rPr>
        <w:t xml:space="preserve"> https://doi.org/10.2166/wst.2008.222</w:t>
      </w:r>
    </w:p>
    <w:p w14:paraId="04B0C50C" w14:textId="3EB8F3FC"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Gostelow P., Longhurst P. J., Parsons S., Stuetz R. M.</w:t>
      </w:r>
      <w:r w:rsidR="00383273">
        <w:rPr>
          <w:rFonts w:cs="Arial"/>
          <w:noProof/>
        </w:rPr>
        <w:t xml:space="preserve">, </w:t>
      </w:r>
      <w:r w:rsidRPr="00B302AB">
        <w:rPr>
          <w:rFonts w:cs="Arial"/>
          <w:noProof/>
        </w:rPr>
        <w:t>2003</w:t>
      </w:r>
      <w:r w:rsidR="00383273">
        <w:rPr>
          <w:rFonts w:cs="Arial"/>
          <w:noProof/>
        </w:rPr>
        <w:t>,</w:t>
      </w:r>
      <w:r w:rsidRPr="00B302AB">
        <w:rPr>
          <w:rFonts w:cs="Arial"/>
          <w:noProof/>
        </w:rPr>
        <w:t xml:space="preserve"> </w:t>
      </w:r>
      <w:r w:rsidRPr="00B302AB">
        <w:rPr>
          <w:rFonts w:cs="Arial"/>
          <w:i/>
          <w:iCs/>
          <w:noProof/>
        </w:rPr>
        <w:t>Sampling for measurement of odours</w:t>
      </w:r>
      <w:r w:rsidR="00383273">
        <w:rPr>
          <w:rFonts w:cs="Arial"/>
          <w:noProof/>
        </w:rPr>
        <w:t>,</w:t>
      </w:r>
      <w:r w:rsidRPr="00B302AB">
        <w:rPr>
          <w:rFonts w:cs="Arial"/>
          <w:noProof/>
        </w:rPr>
        <w:t xml:space="preserve"> IWA publishing</w:t>
      </w:r>
      <w:r w:rsidR="00383273">
        <w:rPr>
          <w:rFonts w:cs="Arial"/>
          <w:noProof/>
        </w:rPr>
        <w:t>,</w:t>
      </w:r>
      <w:r w:rsidRPr="00B302AB">
        <w:rPr>
          <w:rFonts w:cs="Arial"/>
          <w:noProof/>
        </w:rPr>
        <w:t xml:space="preserve"> https://doi.org/https://doi.org/10.2166/9781780402819</w:t>
      </w:r>
    </w:p>
    <w:p w14:paraId="405BC0DD" w14:textId="192DC756" w:rsid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Hudson N., Ayoko G. A.</w:t>
      </w:r>
      <w:r w:rsidR="00383273">
        <w:rPr>
          <w:rFonts w:cs="Arial"/>
          <w:noProof/>
        </w:rPr>
        <w:t xml:space="preserve">, </w:t>
      </w:r>
      <w:r w:rsidRPr="00B302AB">
        <w:rPr>
          <w:rFonts w:cs="Arial"/>
          <w:noProof/>
        </w:rPr>
        <w:t>2008</w:t>
      </w:r>
      <w:r w:rsidR="00383273">
        <w:rPr>
          <w:rFonts w:cs="Arial"/>
          <w:noProof/>
        </w:rPr>
        <w:t>a,</w:t>
      </w:r>
      <w:r w:rsidRPr="00B302AB">
        <w:rPr>
          <w:rFonts w:cs="Arial"/>
          <w:noProof/>
        </w:rPr>
        <w:t xml:space="preserve"> Odour sampling 1: Physical chemistry considerations</w:t>
      </w:r>
      <w:r w:rsidR="00383273">
        <w:rPr>
          <w:rFonts w:cs="Arial"/>
          <w:noProof/>
        </w:rPr>
        <w:t>,</w:t>
      </w:r>
      <w:r w:rsidRPr="00B302AB">
        <w:rPr>
          <w:rFonts w:cs="Arial"/>
          <w:noProof/>
        </w:rPr>
        <w:t xml:space="preserve"> </w:t>
      </w:r>
      <w:r w:rsidRPr="00B302AB">
        <w:rPr>
          <w:rFonts w:cs="Arial"/>
          <w:i/>
          <w:iCs/>
          <w:noProof/>
        </w:rPr>
        <w:t>Bioresource Technology</w:t>
      </w:r>
      <w:r w:rsidRPr="00383273">
        <w:rPr>
          <w:rFonts w:cs="Arial"/>
          <w:noProof/>
        </w:rPr>
        <w:t>, 99(10</w:t>
      </w:r>
      <w:r w:rsidRPr="00B302AB">
        <w:rPr>
          <w:rFonts w:cs="Arial"/>
          <w:noProof/>
        </w:rPr>
        <w:t>), 3982</w:t>
      </w:r>
      <w:r w:rsidR="00383273">
        <w:rPr>
          <w:rFonts w:cs="Arial"/>
          <w:noProof/>
        </w:rPr>
        <w:t>-</w:t>
      </w:r>
      <w:r w:rsidRPr="00B302AB">
        <w:rPr>
          <w:rFonts w:cs="Arial"/>
          <w:noProof/>
        </w:rPr>
        <w:t>3992</w:t>
      </w:r>
      <w:r w:rsidR="00383273">
        <w:rPr>
          <w:rFonts w:cs="Arial"/>
          <w:noProof/>
        </w:rPr>
        <w:t>,</w:t>
      </w:r>
      <w:r w:rsidRPr="00B302AB">
        <w:rPr>
          <w:rFonts w:cs="Arial"/>
          <w:noProof/>
        </w:rPr>
        <w:t xml:space="preserve"> https://doi.org/10.1016/j.biortech.2007.04.034</w:t>
      </w:r>
    </w:p>
    <w:p w14:paraId="05DF8D6F" w14:textId="4A49395E" w:rsidR="00383273" w:rsidRPr="00B302AB" w:rsidRDefault="00383273" w:rsidP="00B302AB">
      <w:pPr>
        <w:widowControl w:val="0"/>
        <w:autoSpaceDE w:val="0"/>
        <w:autoSpaceDN w:val="0"/>
        <w:adjustRightInd w:val="0"/>
        <w:spacing w:line="240" w:lineRule="auto"/>
        <w:ind w:left="480" w:hanging="480"/>
        <w:rPr>
          <w:rFonts w:cs="Arial"/>
          <w:noProof/>
        </w:rPr>
      </w:pPr>
      <w:r w:rsidRPr="00B302AB">
        <w:rPr>
          <w:rFonts w:cs="Arial"/>
          <w:noProof/>
        </w:rPr>
        <w:t>Hudson N., Ayoko G. A.</w:t>
      </w:r>
      <w:r>
        <w:rPr>
          <w:rFonts w:cs="Arial"/>
          <w:noProof/>
        </w:rPr>
        <w:t>,</w:t>
      </w:r>
      <w:r w:rsidRPr="00B302AB">
        <w:rPr>
          <w:rFonts w:cs="Arial"/>
          <w:noProof/>
        </w:rPr>
        <w:t xml:space="preserve"> 2008</w:t>
      </w:r>
      <w:r>
        <w:rPr>
          <w:rFonts w:cs="Arial"/>
          <w:noProof/>
        </w:rPr>
        <w:t>b,</w:t>
      </w:r>
      <w:r w:rsidRPr="00B302AB">
        <w:rPr>
          <w:rFonts w:cs="Arial"/>
          <w:noProof/>
        </w:rPr>
        <w:t xml:space="preserve"> Odour sampling. 2. Comparison of physical and aerodynamic characteristics </w:t>
      </w:r>
      <w:r w:rsidRPr="00B302AB">
        <w:rPr>
          <w:rFonts w:cs="Arial"/>
          <w:noProof/>
        </w:rPr>
        <w:lastRenderedPageBreak/>
        <w:t>of sampling devices: A review</w:t>
      </w:r>
      <w:r>
        <w:rPr>
          <w:rFonts w:cs="Arial"/>
          <w:noProof/>
        </w:rPr>
        <w:t>,</w:t>
      </w:r>
      <w:r w:rsidRPr="00B302AB">
        <w:rPr>
          <w:rFonts w:cs="Arial"/>
          <w:noProof/>
        </w:rPr>
        <w:t xml:space="preserve"> </w:t>
      </w:r>
      <w:r w:rsidRPr="00B302AB">
        <w:rPr>
          <w:rFonts w:cs="Arial"/>
          <w:i/>
          <w:iCs/>
          <w:noProof/>
        </w:rPr>
        <w:t>Bioresource Technology</w:t>
      </w:r>
      <w:r w:rsidRPr="00B302AB">
        <w:rPr>
          <w:rFonts w:cs="Arial"/>
          <w:noProof/>
        </w:rPr>
        <w:t>,</w:t>
      </w:r>
      <w:r w:rsidRPr="00383273">
        <w:rPr>
          <w:rFonts w:cs="Arial"/>
          <w:noProof/>
        </w:rPr>
        <w:t xml:space="preserve"> 99(10)</w:t>
      </w:r>
      <w:r w:rsidRPr="00B302AB">
        <w:rPr>
          <w:rFonts w:cs="Arial"/>
          <w:noProof/>
        </w:rPr>
        <w:t>, 3993</w:t>
      </w:r>
      <w:r>
        <w:rPr>
          <w:rFonts w:cs="Arial"/>
          <w:noProof/>
        </w:rPr>
        <w:t>-</w:t>
      </w:r>
      <w:r w:rsidRPr="00B302AB">
        <w:rPr>
          <w:rFonts w:cs="Arial"/>
          <w:noProof/>
        </w:rPr>
        <w:t>4007</w:t>
      </w:r>
      <w:r>
        <w:rPr>
          <w:rFonts w:cs="Arial"/>
          <w:noProof/>
        </w:rPr>
        <w:t>,</w:t>
      </w:r>
      <w:r w:rsidRPr="00B302AB">
        <w:rPr>
          <w:rFonts w:cs="Arial"/>
          <w:noProof/>
        </w:rPr>
        <w:t xml:space="preserve"> https://doi.org/10.1016/j.biortech.2007.03.043</w:t>
      </w:r>
    </w:p>
    <w:p w14:paraId="1B02BE45" w14:textId="4FF69E3D"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Invernizzi M., Capelli L., Sironi S.</w:t>
      </w:r>
      <w:r w:rsidR="00383273">
        <w:rPr>
          <w:rFonts w:cs="Arial"/>
          <w:noProof/>
        </w:rPr>
        <w:t>,</w:t>
      </w:r>
      <w:r w:rsidRPr="00B302AB">
        <w:rPr>
          <w:rFonts w:cs="Arial"/>
          <w:noProof/>
        </w:rPr>
        <w:t xml:space="preserve"> 2016</w:t>
      </w:r>
      <w:r w:rsidR="00383273">
        <w:rPr>
          <w:rFonts w:cs="Arial"/>
          <w:noProof/>
        </w:rPr>
        <w:t>,</w:t>
      </w:r>
      <w:r w:rsidRPr="00B302AB">
        <w:rPr>
          <w:rFonts w:cs="Arial"/>
          <w:noProof/>
        </w:rPr>
        <w:t xml:space="preserve"> Quantification of Odour Annoyance-Nuisance</w:t>
      </w:r>
      <w:r w:rsidR="00383273">
        <w:rPr>
          <w:rFonts w:cs="Arial"/>
          <w:noProof/>
        </w:rPr>
        <w:t>,</w:t>
      </w:r>
      <w:r w:rsidRPr="00B302AB">
        <w:rPr>
          <w:rFonts w:cs="Arial"/>
          <w:noProof/>
        </w:rPr>
        <w:t xml:space="preserve"> </w:t>
      </w:r>
      <w:r w:rsidRPr="00B302AB">
        <w:rPr>
          <w:rFonts w:cs="Arial"/>
          <w:i/>
          <w:iCs/>
          <w:noProof/>
        </w:rPr>
        <w:t>Chemical Engineering Transactions</w:t>
      </w:r>
      <w:r w:rsidRPr="00383273">
        <w:rPr>
          <w:rFonts w:cs="Arial"/>
          <w:noProof/>
        </w:rPr>
        <w:t>, 54,</w:t>
      </w:r>
      <w:r w:rsidRPr="00B302AB">
        <w:rPr>
          <w:rFonts w:cs="Arial"/>
          <w:noProof/>
        </w:rPr>
        <w:t xml:space="preserve"> 205</w:t>
      </w:r>
      <w:r w:rsidR="00383273">
        <w:rPr>
          <w:rFonts w:cs="Arial"/>
          <w:noProof/>
        </w:rPr>
        <w:t>-</w:t>
      </w:r>
      <w:r w:rsidRPr="00B302AB">
        <w:rPr>
          <w:rFonts w:cs="Arial"/>
          <w:noProof/>
        </w:rPr>
        <w:t>210</w:t>
      </w:r>
      <w:r w:rsidR="00383273">
        <w:rPr>
          <w:rFonts w:cs="Arial"/>
          <w:noProof/>
        </w:rPr>
        <w:t>,</w:t>
      </w:r>
      <w:r w:rsidRPr="00B302AB">
        <w:rPr>
          <w:rFonts w:cs="Arial"/>
          <w:noProof/>
        </w:rPr>
        <w:t xml:space="preserve"> https://doi.org/10.3303/CET1654035</w:t>
      </w:r>
    </w:p>
    <w:p w14:paraId="534A2AB1" w14:textId="69E174BE"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Invernizzi M., Scolieri G. D., Tagliaferri F., Bettini A., Cinci M., Lenzi A., Sironi S.</w:t>
      </w:r>
      <w:r w:rsidR="00383273">
        <w:rPr>
          <w:rFonts w:cs="Arial"/>
          <w:noProof/>
        </w:rPr>
        <w:t xml:space="preserve">, </w:t>
      </w:r>
      <w:r w:rsidRPr="00B302AB">
        <w:rPr>
          <w:rFonts w:cs="Arial"/>
          <w:noProof/>
        </w:rPr>
        <w:t>2024</w:t>
      </w:r>
      <w:r w:rsidR="00484E5D">
        <w:rPr>
          <w:rFonts w:cs="Arial"/>
          <w:noProof/>
        </w:rPr>
        <w:t>,</w:t>
      </w:r>
      <w:r w:rsidRPr="00B302AB">
        <w:rPr>
          <w:rFonts w:cs="Arial"/>
          <w:noProof/>
        </w:rPr>
        <w:t xml:space="preserve"> Chemical and olfactometric inventory of gaseous spot vents in Mt. Amiata volcanic-geothermal area (Italy)</w:t>
      </w:r>
      <w:r w:rsidR="00484E5D">
        <w:rPr>
          <w:rFonts w:cs="Arial"/>
          <w:noProof/>
        </w:rPr>
        <w:t>,</w:t>
      </w:r>
      <w:r w:rsidRPr="00B302AB">
        <w:rPr>
          <w:rFonts w:cs="Arial"/>
          <w:noProof/>
        </w:rPr>
        <w:t xml:space="preserve"> </w:t>
      </w:r>
      <w:r w:rsidRPr="00B302AB">
        <w:rPr>
          <w:rFonts w:cs="Arial"/>
          <w:i/>
          <w:iCs/>
          <w:noProof/>
        </w:rPr>
        <w:t>Science of the Total Environment</w:t>
      </w:r>
      <w:r w:rsidRPr="00484E5D">
        <w:rPr>
          <w:rFonts w:cs="Arial"/>
          <w:noProof/>
        </w:rPr>
        <w:t>, 931</w:t>
      </w:r>
      <w:r w:rsidRPr="00B302AB">
        <w:rPr>
          <w:rFonts w:cs="Arial"/>
          <w:noProof/>
        </w:rPr>
        <w:t>(November 2023), 172607</w:t>
      </w:r>
      <w:r w:rsidR="00484E5D">
        <w:rPr>
          <w:rFonts w:cs="Arial"/>
          <w:noProof/>
        </w:rPr>
        <w:t>,</w:t>
      </w:r>
      <w:r w:rsidRPr="00B302AB">
        <w:rPr>
          <w:rFonts w:cs="Arial"/>
          <w:noProof/>
        </w:rPr>
        <w:t xml:space="preserve"> https://doi.org/10.1016/j.scitotenv.2024.172607</w:t>
      </w:r>
    </w:p>
    <w:p w14:paraId="5F54A908" w14:textId="7144A183"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Invernizzi M., Teramo E., Busini V., Sironi S</w:t>
      </w:r>
      <w:r w:rsidR="00484E5D">
        <w:rPr>
          <w:rFonts w:cs="Arial"/>
          <w:noProof/>
        </w:rPr>
        <w:t>,</w:t>
      </w:r>
      <w:r w:rsidRPr="00B302AB">
        <w:rPr>
          <w:rFonts w:cs="Arial"/>
          <w:noProof/>
        </w:rPr>
        <w:t xml:space="preserve"> 2020</w:t>
      </w:r>
      <w:r w:rsidR="00484E5D">
        <w:rPr>
          <w:rFonts w:cs="Arial"/>
          <w:noProof/>
        </w:rPr>
        <w:t>,</w:t>
      </w:r>
      <w:r w:rsidRPr="00B302AB">
        <w:rPr>
          <w:rFonts w:cs="Arial"/>
          <w:noProof/>
        </w:rPr>
        <w:t xml:space="preserve"> A model for the evaluation of organic compounds emission from aerated liquid surfaces</w:t>
      </w:r>
      <w:r w:rsidR="00105D81">
        <w:rPr>
          <w:rFonts w:cs="Arial"/>
          <w:noProof/>
        </w:rPr>
        <w:t>,</w:t>
      </w:r>
      <w:r w:rsidRPr="00B302AB">
        <w:rPr>
          <w:rFonts w:cs="Arial"/>
          <w:noProof/>
        </w:rPr>
        <w:t xml:space="preserve"> </w:t>
      </w:r>
      <w:r w:rsidRPr="00B302AB">
        <w:rPr>
          <w:rFonts w:cs="Arial"/>
          <w:i/>
          <w:iCs/>
          <w:noProof/>
        </w:rPr>
        <w:t>Chemosphere</w:t>
      </w:r>
      <w:r w:rsidRPr="00B302AB">
        <w:rPr>
          <w:rFonts w:cs="Arial"/>
          <w:noProof/>
        </w:rPr>
        <w:t>,</w:t>
      </w:r>
      <w:r w:rsidRPr="00484E5D">
        <w:rPr>
          <w:rFonts w:cs="Arial"/>
          <w:noProof/>
        </w:rPr>
        <w:t xml:space="preserve"> 240,</w:t>
      </w:r>
      <w:r w:rsidRPr="00B302AB">
        <w:rPr>
          <w:rFonts w:cs="Arial"/>
          <w:noProof/>
        </w:rPr>
        <w:t xml:space="preserve"> 124923. https://doi.org/10.1016/j.chemosphere.2019.124923</w:t>
      </w:r>
    </w:p>
    <w:p w14:paraId="4DE584DA" w14:textId="2D875ADD"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Jiang K., Bliss P. J., Schulz T. J.</w:t>
      </w:r>
      <w:r w:rsidR="00105D81">
        <w:rPr>
          <w:rFonts w:cs="Arial"/>
          <w:noProof/>
        </w:rPr>
        <w:t>,</w:t>
      </w:r>
      <w:r w:rsidRPr="00B302AB">
        <w:rPr>
          <w:rFonts w:cs="Arial"/>
          <w:noProof/>
        </w:rPr>
        <w:t xml:space="preserve"> 1995</w:t>
      </w:r>
      <w:r w:rsidR="00105D81">
        <w:rPr>
          <w:rFonts w:cs="Arial"/>
          <w:noProof/>
        </w:rPr>
        <w:t>,</w:t>
      </w:r>
      <w:r w:rsidRPr="00B302AB">
        <w:rPr>
          <w:rFonts w:cs="Arial"/>
          <w:noProof/>
        </w:rPr>
        <w:t xml:space="preserve"> The development of a sampling system for determining odor emission rates from areal surfaces: Part i. aerodynamic performance</w:t>
      </w:r>
      <w:r w:rsidR="00105D81">
        <w:rPr>
          <w:rFonts w:cs="Arial"/>
          <w:noProof/>
        </w:rPr>
        <w:t>,</w:t>
      </w:r>
      <w:r w:rsidRPr="00B302AB">
        <w:rPr>
          <w:rFonts w:cs="Arial"/>
          <w:noProof/>
        </w:rPr>
        <w:t xml:space="preserve"> </w:t>
      </w:r>
      <w:r w:rsidRPr="00B302AB">
        <w:rPr>
          <w:rFonts w:cs="Arial"/>
          <w:i/>
          <w:iCs/>
          <w:noProof/>
        </w:rPr>
        <w:t>Journal of the Air and Waste Management Association</w:t>
      </w:r>
      <w:r w:rsidRPr="00B302AB">
        <w:rPr>
          <w:rFonts w:cs="Arial"/>
          <w:noProof/>
        </w:rPr>
        <w:t>,</w:t>
      </w:r>
      <w:r w:rsidRPr="00105D81">
        <w:rPr>
          <w:rFonts w:cs="Arial"/>
          <w:noProof/>
        </w:rPr>
        <w:t xml:space="preserve"> 45(11)</w:t>
      </w:r>
      <w:r w:rsidRPr="00B302AB">
        <w:rPr>
          <w:rFonts w:cs="Arial"/>
          <w:noProof/>
        </w:rPr>
        <w:t>, 917</w:t>
      </w:r>
      <w:r w:rsidR="00105D81">
        <w:rPr>
          <w:rFonts w:cs="Arial"/>
          <w:noProof/>
        </w:rPr>
        <w:t>-</w:t>
      </w:r>
      <w:r w:rsidRPr="00B302AB">
        <w:rPr>
          <w:rFonts w:cs="Arial"/>
          <w:noProof/>
        </w:rPr>
        <w:t>922</w:t>
      </w:r>
      <w:r w:rsidR="00105D81">
        <w:rPr>
          <w:rFonts w:cs="Arial"/>
          <w:noProof/>
        </w:rPr>
        <w:t>,</w:t>
      </w:r>
      <w:r w:rsidRPr="00B302AB">
        <w:rPr>
          <w:rFonts w:cs="Arial"/>
          <w:noProof/>
        </w:rPr>
        <w:t xml:space="preserve"> https://doi.org/10.1080/10473289.1995.10467424</w:t>
      </w:r>
    </w:p>
    <w:p w14:paraId="79267D14" w14:textId="3140A567"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Jiang K., Kaye R.</w:t>
      </w:r>
      <w:r w:rsidR="00105D81">
        <w:rPr>
          <w:rFonts w:cs="Arial"/>
          <w:noProof/>
        </w:rPr>
        <w:t>,</w:t>
      </w:r>
      <w:r w:rsidRPr="00B302AB">
        <w:rPr>
          <w:rFonts w:cs="Arial"/>
          <w:noProof/>
        </w:rPr>
        <w:t xml:space="preserve"> 1996</w:t>
      </w:r>
      <w:r w:rsidR="00105D81">
        <w:rPr>
          <w:rFonts w:cs="Arial"/>
          <w:noProof/>
        </w:rPr>
        <w:t>,</w:t>
      </w:r>
      <w:r w:rsidRPr="00B302AB">
        <w:rPr>
          <w:rFonts w:cs="Arial"/>
          <w:noProof/>
        </w:rPr>
        <w:t xml:space="preserve"> Comparison study on portable wind tunnel system and isolation chamber for determination of VOCs from areal sources</w:t>
      </w:r>
      <w:r w:rsidR="00105D81">
        <w:rPr>
          <w:rFonts w:cs="Arial"/>
          <w:noProof/>
        </w:rPr>
        <w:t>,</w:t>
      </w:r>
      <w:r w:rsidRPr="00B302AB">
        <w:rPr>
          <w:rFonts w:cs="Arial"/>
          <w:noProof/>
        </w:rPr>
        <w:t xml:space="preserve"> </w:t>
      </w:r>
      <w:r w:rsidRPr="00B302AB">
        <w:rPr>
          <w:rFonts w:cs="Arial"/>
          <w:i/>
          <w:iCs/>
          <w:noProof/>
        </w:rPr>
        <w:t>Water Science and Technology</w:t>
      </w:r>
      <w:r w:rsidRPr="00B302AB">
        <w:rPr>
          <w:rFonts w:cs="Arial"/>
          <w:noProof/>
        </w:rPr>
        <w:t>,</w:t>
      </w:r>
      <w:r w:rsidRPr="00105D81">
        <w:rPr>
          <w:rFonts w:cs="Arial"/>
          <w:noProof/>
        </w:rPr>
        <w:t xml:space="preserve"> 34(3</w:t>
      </w:r>
      <w:r w:rsidRPr="00B302AB">
        <w:rPr>
          <w:rFonts w:cs="Arial"/>
          <w:noProof/>
        </w:rPr>
        <w:t>-4</w:t>
      </w:r>
      <w:r w:rsidR="00105D81">
        <w:rPr>
          <w:rFonts w:cs="Arial"/>
          <w:noProof/>
        </w:rPr>
        <w:t>-</w:t>
      </w:r>
      <w:r w:rsidRPr="00B302AB">
        <w:rPr>
          <w:rFonts w:cs="Arial"/>
          <w:noProof/>
        </w:rPr>
        <w:t>4 pt 2), 583</w:t>
      </w:r>
      <w:r w:rsidR="00105D81">
        <w:rPr>
          <w:rFonts w:cs="Arial"/>
          <w:noProof/>
        </w:rPr>
        <w:t>-</w:t>
      </w:r>
      <w:r w:rsidRPr="00B302AB">
        <w:rPr>
          <w:rFonts w:cs="Arial"/>
          <w:noProof/>
        </w:rPr>
        <w:t>589. https://doi.org/10.1016/0273-1223(96)00599-9</w:t>
      </w:r>
    </w:p>
    <w:p w14:paraId="549958F5" w14:textId="78A7D50C"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Liu L., Abdala Prata Junior A., Fisher R. M., Stuetz R. M.</w:t>
      </w:r>
      <w:r w:rsidR="00105D81">
        <w:rPr>
          <w:rFonts w:cs="Arial"/>
          <w:noProof/>
        </w:rPr>
        <w:t>,</w:t>
      </w:r>
      <w:r w:rsidRPr="00B302AB">
        <w:rPr>
          <w:rFonts w:cs="Arial"/>
          <w:noProof/>
        </w:rPr>
        <w:t xml:space="preserve"> 2022</w:t>
      </w:r>
      <w:r w:rsidR="00105D81">
        <w:rPr>
          <w:rFonts w:cs="Arial"/>
          <w:noProof/>
        </w:rPr>
        <w:t>,</w:t>
      </w:r>
      <w:r w:rsidRPr="00B302AB">
        <w:rPr>
          <w:rFonts w:cs="Arial"/>
          <w:noProof/>
        </w:rPr>
        <w:t xml:space="preserve"> Measuring volatile emissions from biosolids: A critical review on sampling methods</w:t>
      </w:r>
      <w:r w:rsidR="00105D81">
        <w:rPr>
          <w:rFonts w:cs="Arial"/>
          <w:noProof/>
        </w:rPr>
        <w:t>,</w:t>
      </w:r>
      <w:r w:rsidRPr="00B302AB">
        <w:rPr>
          <w:rFonts w:cs="Arial"/>
          <w:noProof/>
        </w:rPr>
        <w:t xml:space="preserve"> </w:t>
      </w:r>
      <w:r w:rsidRPr="00B302AB">
        <w:rPr>
          <w:rFonts w:cs="Arial"/>
          <w:i/>
          <w:iCs/>
          <w:noProof/>
        </w:rPr>
        <w:t>Journal of Environmental Management</w:t>
      </w:r>
      <w:r w:rsidRPr="00B302AB">
        <w:rPr>
          <w:rFonts w:cs="Arial"/>
          <w:noProof/>
        </w:rPr>
        <w:t>,</w:t>
      </w:r>
      <w:r w:rsidRPr="00105D81">
        <w:rPr>
          <w:rFonts w:cs="Arial"/>
          <w:noProof/>
        </w:rPr>
        <w:t xml:space="preserve"> 317(</w:t>
      </w:r>
      <w:r w:rsidRPr="00B302AB">
        <w:rPr>
          <w:rFonts w:cs="Arial"/>
          <w:noProof/>
        </w:rPr>
        <w:t>May), 115290</w:t>
      </w:r>
      <w:r w:rsidR="00105D81">
        <w:rPr>
          <w:rFonts w:cs="Arial"/>
          <w:noProof/>
        </w:rPr>
        <w:t>,</w:t>
      </w:r>
      <w:r w:rsidRPr="00B302AB">
        <w:rPr>
          <w:rFonts w:cs="Arial"/>
          <w:noProof/>
        </w:rPr>
        <w:t xml:space="preserve"> https://doi.org/10.1016/j.jenvman.2022.115290</w:t>
      </w:r>
    </w:p>
    <w:p w14:paraId="19F6900A" w14:textId="3F84619F"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Lotesoriere B. J., Invernizzi M., Panzitta A., Uvezzi G., Sozzi R., Sironi S., Capelli L.</w:t>
      </w:r>
      <w:r w:rsidR="00105D81">
        <w:rPr>
          <w:rFonts w:cs="Arial"/>
          <w:noProof/>
        </w:rPr>
        <w:t xml:space="preserve">, </w:t>
      </w:r>
      <w:r w:rsidRPr="00B302AB">
        <w:rPr>
          <w:rFonts w:cs="Arial"/>
          <w:noProof/>
        </w:rPr>
        <w:t>2023</w:t>
      </w:r>
      <w:r w:rsidR="00105D81">
        <w:rPr>
          <w:rFonts w:cs="Arial"/>
          <w:noProof/>
        </w:rPr>
        <w:t>,</w:t>
      </w:r>
      <w:r w:rsidRPr="00B302AB">
        <w:rPr>
          <w:rFonts w:cs="Arial"/>
          <w:noProof/>
        </w:rPr>
        <w:t xml:space="preserve"> Micrometeorological Methods for the Indirect Estimation of Odorous Emissions</w:t>
      </w:r>
      <w:r w:rsidR="00105D81">
        <w:rPr>
          <w:rFonts w:cs="Arial"/>
          <w:noProof/>
        </w:rPr>
        <w:t>,</w:t>
      </w:r>
      <w:r w:rsidRPr="00B302AB">
        <w:rPr>
          <w:rFonts w:cs="Arial"/>
          <w:noProof/>
        </w:rPr>
        <w:t xml:space="preserve"> </w:t>
      </w:r>
      <w:r w:rsidRPr="00B302AB">
        <w:rPr>
          <w:rFonts w:cs="Arial"/>
          <w:i/>
          <w:iCs/>
          <w:noProof/>
        </w:rPr>
        <w:t>Critical Reviews in Analytical Chemistry</w:t>
      </w:r>
      <w:r w:rsidRPr="00B302AB">
        <w:rPr>
          <w:rFonts w:cs="Arial"/>
          <w:noProof/>
        </w:rPr>
        <w:t>,</w:t>
      </w:r>
      <w:r w:rsidRPr="00105D81">
        <w:rPr>
          <w:rFonts w:cs="Arial"/>
          <w:noProof/>
        </w:rPr>
        <w:t xml:space="preserve"> 53(</w:t>
      </w:r>
      <w:r w:rsidRPr="00B302AB">
        <w:rPr>
          <w:rFonts w:cs="Arial"/>
          <w:noProof/>
        </w:rPr>
        <w:t>7), 1531</w:t>
      </w:r>
      <w:r w:rsidR="00105D81">
        <w:rPr>
          <w:rFonts w:cs="Arial"/>
          <w:noProof/>
        </w:rPr>
        <w:t>-</w:t>
      </w:r>
      <w:r w:rsidRPr="00B302AB">
        <w:rPr>
          <w:rFonts w:cs="Arial"/>
          <w:noProof/>
        </w:rPr>
        <w:t>1560</w:t>
      </w:r>
      <w:r w:rsidR="00105D81">
        <w:rPr>
          <w:rFonts w:cs="Arial"/>
          <w:noProof/>
        </w:rPr>
        <w:t>,</w:t>
      </w:r>
      <w:r w:rsidRPr="00B302AB">
        <w:rPr>
          <w:rFonts w:cs="Arial"/>
          <w:noProof/>
        </w:rPr>
        <w:t xml:space="preserve"> https://doi.org/10.1080/10408347.2022.2036092</w:t>
      </w:r>
    </w:p>
    <w:p w14:paraId="23008BBA" w14:textId="048BF22B"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Martins R. S., Siqueira M. A., Toniato I. V. F., Cupertino K. F., Prata A. A., Reis N. C., Stuetz R. M., Santos J. M.</w:t>
      </w:r>
      <w:r w:rsidR="00105D81">
        <w:rPr>
          <w:rFonts w:cs="Arial"/>
          <w:noProof/>
        </w:rPr>
        <w:t>,</w:t>
      </w:r>
      <w:r w:rsidRPr="00B302AB">
        <w:rPr>
          <w:rFonts w:cs="Arial"/>
          <w:noProof/>
        </w:rPr>
        <w:t xml:space="preserve"> 2018</w:t>
      </w:r>
      <w:r w:rsidR="00105D81">
        <w:rPr>
          <w:rFonts w:cs="Arial"/>
          <w:noProof/>
        </w:rPr>
        <w:t>,</w:t>
      </w:r>
      <w:r w:rsidRPr="00B302AB">
        <w:rPr>
          <w:rFonts w:cs="Arial"/>
          <w:noProof/>
        </w:rPr>
        <w:t xml:space="preserve"> Evaluating the flow inside of portable wind tunnels for odour measurements</w:t>
      </w:r>
      <w:r w:rsidR="00105D81">
        <w:rPr>
          <w:rFonts w:cs="Arial"/>
          <w:noProof/>
        </w:rPr>
        <w:t>,</w:t>
      </w:r>
      <w:r w:rsidRPr="00B302AB">
        <w:rPr>
          <w:rFonts w:cs="Arial"/>
          <w:noProof/>
        </w:rPr>
        <w:t xml:space="preserve"> </w:t>
      </w:r>
      <w:r w:rsidRPr="00B302AB">
        <w:rPr>
          <w:rFonts w:cs="Arial"/>
          <w:i/>
          <w:iCs/>
          <w:noProof/>
        </w:rPr>
        <w:t>Chemical Engineering Transactions</w:t>
      </w:r>
      <w:r w:rsidRPr="00B302AB">
        <w:rPr>
          <w:rFonts w:cs="Arial"/>
          <w:noProof/>
        </w:rPr>
        <w:t>,</w:t>
      </w:r>
      <w:r w:rsidRPr="00105D81">
        <w:rPr>
          <w:rFonts w:cs="Arial"/>
          <w:noProof/>
        </w:rPr>
        <w:t xml:space="preserve"> 68,</w:t>
      </w:r>
      <w:r w:rsidRPr="00B302AB">
        <w:rPr>
          <w:rFonts w:cs="Arial"/>
          <w:noProof/>
        </w:rPr>
        <w:t xml:space="preserve"> 55</w:t>
      </w:r>
      <w:r w:rsidR="00105D81">
        <w:rPr>
          <w:rFonts w:cs="Arial"/>
          <w:noProof/>
        </w:rPr>
        <w:t>-</w:t>
      </w:r>
      <w:r w:rsidRPr="00B302AB">
        <w:rPr>
          <w:rFonts w:cs="Arial"/>
          <w:noProof/>
        </w:rPr>
        <w:t>60. https://doi.org/10.3303/CET1868010</w:t>
      </w:r>
    </w:p>
    <w:p w14:paraId="66FD2BF8" w14:textId="742AE802" w:rsidR="00B302AB" w:rsidRPr="00105D81" w:rsidRDefault="00BC6EB7" w:rsidP="00B302AB">
      <w:pPr>
        <w:widowControl w:val="0"/>
        <w:autoSpaceDE w:val="0"/>
        <w:autoSpaceDN w:val="0"/>
        <w:adjustRightInd w:val="0"/>
        <w:spacing w:line="240" w:lineRule="auto"/>
        <w:ind w:left="480" w:hanging="480"/>
        <w:rPr>
          <w:rFonts w:cs="Arial"/>
          <w:noProof/>
          <w:lang w:val="it-IT"/>
        </w:rPr>
      </w:pPr>
      <w:r w:rsidRPr="00BC6EB7">
        <w:rPr>
          <w:rFonts w:cs="Arial"/>
          <w:noProof/>
          <w:lang w:val="it-IT"/>
        </w:rPr>
        <w:t>MASE 2023. Indirizzi per l’applicazione dell’articolo 272-bis del dlgs 152/2006 in materia di emissioni odorigene di impianti e attività. 28/07/2023  https://www.mase.gov.it/pagina/indirizzi-lapplicazione-dellarticolo-272-bis-del-dlgs-1522006-materia-di-emissioni-odorigene</w:t>
      </w:r>
    </w:p>
    <w:p w14:paraId="198CBB4A" w14:textId="069A8C2D"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Pedersen J. M., Feilberg A., Kamp J. N., Hafner S., Nyord T.</w:t>
      </w:r>
      <w:r w:rsidR="00105D81">
        <w:rPr>
          <w:rFonts w:cs="Arial"/>
          <w:noProof/>
        </w:rPr>
        <w:t>,</w:t>
      </w:r>
      <w:r w:rsidRPr="00B302AB">
        <w:rPr>
          <w:rFonts w:cs="Arial"/>
          <w:noProof/>
        </w:rPr>
        <w:t xml:space="preserve"> 2020</w:t>
      </w:r>
      <w:r w:rsidR="00105D81">
        <w:rPr>
          <w:rFonts w:cs="Arial"/>
          <w:noProof/>
        </w:rPr>
        <w:t>,</w:t>
      </w:r>
      <w:r w:rsidRPr="00B302AB">
        <w:rPr>
          <w:rFonts w:cs="Arial"/>
          <w:noProof/>
        </w:rPr>
        <w:t xml:space="preserve"> Ammonia emission measurement with an online wind tunnel system for evaluation of manure application techniques</w:t>
      </w:r>
      <w:r w:rsidR="00105D81">
        <w:rPr>
          <w:rFonts w:cs="Arial"/>
          <w:noProof/>
        </w:rPr>
        <w:t>,</w:t>
      </w:r>
      <w:r w:rsidRPr="00B302AB">
        <w:rPr>
          <w:rFonts w:cs="Arial"/>
          <w:noProof/>
        </w:rPr>
        <w:t xml:space="preserve"> </w:t>
      </w:r>
      <w:r w:rsidRPr="00B302AB">
        <w:rPr>
          <w:rFonts w:cs="Arial"/>
          <w:i/>
          <w:iCs/>
          <w:noProof/>
        </w:rPr>
        <w:t>Atmospheric Environment</w:t>
      </w:r>
      <w:r w:rsidRPr="00B302AB">
        <w:rPr>
          <w:rFonts w:cs="Arial"/>
          <w:noProof/>
        </w:rPr>
        <w:t xml:space="preserve">, </w:t>
      </w:r>
      <w:r w:rsidRPr="00105D81">
        <w:rPr>
          <w:rFonts w:cs="Arial"/>
          <w:noProof/>
        </w:rPr>
        <w:t>230(</w:t>
      </w:r>
      <w:r w:rsidRPr="00B302AB">
        <w:rPr>
          <w:rFonts w:cs="Arial"/>
          <w:noProof/>
        </w:rPr>
        <w:t>December 2019), 117562</w:t>
      </w:r>
      <w:r w:rsidR="00105D81">
        <w:rPr>
          <w:rFonts w:cs="Arial"/>
          <w:noProof/>
        </w:rPr>
        <w:t>,</w:t>
      </w:r>
      <w:r w:rsidRPr="00B302AB">
        <w:rPr>
          <w:rFonts w:cs="Arial"/>
          <w:noProof/>
        </w:rPr>
        <w:t xml:space="preserve"> https://doi.org/10.1016/j.atmosenv.2020.117562</w:t>
      </w:r>
    </w:p>
    <w:p w14:paraId="46F9B277" w14:textId="114DBE8A"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Piccardo M. T., Geretto M., Pulliero A., Izzotti A.</w:t>
      </w:r>
      <w:r w:rsidR="009D36B4">
        <w:rPr>
          <w:rFonts w:cs="Arial"/>
          <w:noProof/>
        </w:rPr>
        <w:t>,</w:t>
      </w:r>
      <w:r w:rsidRPr="00B302AB">
        <w:rPr>
          <w:rFonts w:cs="Arial"/>
          <w:noProof/>
        </w:rPr>
        <w:t xml:space="preserve"> 2022</w:t>
      </w:r>
      <w:r w:rsidR="009D36B4">
        <w:rPr>
          <w:rFonts w:cs="Arial"/>
          <w:noProof/>
        </w:rPr>
        <w:t>,</w:t>
      </w:r>
      <w:r w:rsidRPr="00B302AB">
        <w:rPr>
          <w:rFonts w:cs="Arial"/>
          <w:noProof/>
        </w:rPr>
        <w:t xml:space="preserve"> Odor emissions: A public health concern for health risk perception. </w:t>
      </w:r>
      <w:r w:rsidRPr="00B302AB">
        <w:rPr>
          <w:rFonts w:cs="Arial"/>
          <w:i/>
          <w:iCs/>
          <w:noProof/>
        </w:rPr>
        <w:t>Environmental Research</w:t>
      </w:r>
      <w:r w:rsidRPr="00B302AB">
        <w:rPr>
          <w:rFonts w:cs="Arial"/>
          <w:noProof/>
        </w:rPr>
        <w:t xml:space="preserve">, </w:t>
      </w:r>
      <w:r w:rsidRPr="00B302AB">
        <w:rPr>
          <w:rFonts w:cs="Arial"/>
          <w:i/>
          <w:iCs/>
          <w:noProof/>
        </w:rPr>
        <w:t>204</w:t>
      </w:r>
      <w:r w:rsidRPr="00B302AB">
        <w:rPr>
          <w:rFonts w:cs="Arial"/>
          <w:noProof/>
        </w:rPr>
        <w:t>(PB), 112</w:t>
      </w:r>
      <w:r w:rsidR="009D36B4">
        <w:rPr>
          <w:rFonts w:cs="Arial"/>
          <w:noProof/>
        </w:rPr>
        <w:t>-</w:t>
      </w:r>
      <w:r w:rsidRPr="00B302AB">
        <w:rPr>
          <w:rFonts w:cs="Arial"/>
          <w:noProof/>
        </w:rPr>
        <w:t>121</w:t>
      </w:r>
      <w:r w:rsidR="009D36B4">
        <w:rPr>
          <w:rFonts w:cs="Arial"/>
          <w:noProof/>
        </w:rPr>
        <w:t>,</w:t>
      </w:r>
      <w:r w:rsidRPr="00B302AB">
        <w:rPr>
          <w:rFonts w:cs="Arial"/>
          <w:noProof/>
        </w:rPr>
        <w:t xml:space="preserve"> https://doi.org/10.1016/j.envres.2021.112121</w:t>
      </w:r>
    </w:p>
    <w:p w14:paraId="74405BFD" w14:textId="597A06B3"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Settimo G., Avino P.</w:t>
      </w:r>
      <w:r w:rsidR="009D36B4">
        <w:rPr>
          <w:rFonts w:cs="Arial"/>
          <w:noProof/>
        </w:rPr>
        <w:t>,</w:t>
      </w:r>
      <w:r w:rsidRPr="00B302AB">
        <w:rPr>
          <w:rFonts w:cs="Arial"/>
          <w:noProof/>
        </w:rPr>
        <w:t xml:space="preserve"> 2024</w:t>
      </w:r>
      <w:r w:rsidR="009D36B4">
        <w:rPr>
          <w:rFonts w:cs="Arial"/>
          <w:noProof/>
        </w:rPr>
        <w:t>,</w:t>
      </w:r>
      <w:r w:rsidRPr="00B302AB">
        <w:rPr>
          <w:rFonts w:cs="Arial"/>
          <w:noProof/>
        </w:rPr>
        <w:t xml:space="preserve"> State-of-art of the legislation on odour emissions with a focus on the Italian studies</w:t>
      </w:r>
      <w:r w:rsidR="009D36B4">
        <w:rPr>
          <w:rFonts w:cs="Arial"/>
          <w:noProof/>
        </w:rPr>
        <w:t>,</w:t>
      </w:r>
      <w:r w:rsidRPr="00B302AB">
        <w:rPr>
          <w:rFonts w:cs="Arial"/>
          <w:noProof/>
        </w:rPr>
        <w:t xml:space="preserve"> </w:t>
      </w:r>
      <w:r w:rsidRPr="00B302AB">
        <w:rPr>
          <w:rFonts w:cs="Arial"/>
          <w:i/>
          <w:iCs/>
          <w:noProof/>
        </w:rPr>
        <w:t>Environmental Pollution</w:t>
      </w:r>
      <w:r w:rsidRPr="00B302AB">
        <w:rPr>
          <w:rFonts w:cs="Arial"/>
          <w:noProof/>
        </w:rPr>
        <w:t>, 123525</w:t>
      </w:r>
      <w:r w:rsidR="009D36B4">
        <w:rPr>
          <w:rFonts w:cs="Arial"/>
          <w:noProof/>
        </w:rPr>
        <w:t>,</w:t>
      </w:r>
      <w:r w:rsidRPr="00B302AB">
        <w:rPr>
          <w:rFonts w:cs="Arial"/>
          <w:noProof/>
        </w:rPr>
        <w:t xml:space="preserve"> https://doi.org/10.1016/j.envpol.2024.123525</w:t>
      </w:r>
    </w:p>
    <w:p w14:paraId="6415F42A" w14:textId="68374128"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Tagliaferri F., Facagni L., Invernizzi M., Ferrer Hernández A. L., Hernández-Garces A., Sironi S.</w:t>
      </w:r>
      <w:r w:rsidR="009D36B4">
        <w:rPr>
          <w:rFonts w:cs="Arial"/>
          <w:noProof/>
        </w:rPr>
        <w:t xml:space="preserve">, </w:t>
      </w:r>
      <w:r w:rsidRPr="00B302AB">
        <w:rPr>
          <w:rFonts w:cs="Arial"/>
          <w:noProof/>
        </w:rPr>
        <w:t>2024</w:t>
      </w:r>
      <w:r w:rsidR="009D36B4">
        <w:rPr>
          <w:rFonts w:cs="Arial"/>
          <w:noProof/>
        </w:rPr>
        <w:t>,</w:t>
      </w:r>
      <w:r w:rsidRPr="00B302AB">
        <w:rPr>
          <w:rFonts w:cs="Arial"/>
          <w:noProof/>
        </w:rPr>
        <w:t xml:space="preserve"> Odor Impact Assessment via Dispersion Model: Comparison of Different Input Meteorological Datasets</w:t>
      </w:r>
      <w:r w:rsidR="009D36B4">
        <w:rPr>
          <w:rFonts w:cs="Arial"/>
          <w:noProof/>
        </w:rPr>
        <w:t>,</w:t>
      </w:r>
      <w:r w:rsidRPr="00B302AB">
        <w:rPr>
          <w:rFonts w:cs="Arial"/>
          <w:noProof/>
        </w:rPr>
        <w:t xml:space="preserve"> </w:t>
      </w:r>
      <w:r w:rsidRPr="00B302AB">
        <w:rPr>
          <w:rFonts w:cs="Arial"/>
          <w:i/>
          <w:iCs/>
          <w:noProof/>
        </w:rPr>
        <w:t>Applied Sciences</w:t>
      </w:r>
      <w:r w:rsidRPr="00B302AB">
        <w:rPr>
          <w:rFonts w:cs="Arial"/>
          <w:noProof/>
        </w:rPr>
        <w:t>,</w:t>
      </w:r>
      <w:r w:rsidRPr="009D36B4">
        <w:rPr>
          <w:rFonts w:cs="Arial"/>
          <w:noProof/>
        </w:rPr>
        <w:t xml:space="preserve"> 14,</w:t>
      </w:r>
      <w:r w:rsidRPr="00B302AB">
        <w:rPr>
          <w:rFonts w:cs="Arial"/>
          <w:noProof/>
        </w:rPr>
        <w:t xml:space="preserve"> 2457</w:t>
      </w:r>
      <w:r w:rsidR="009D36B4">
        <w:rPr>
          <w:rFonts w:cs="Arial"/>
          <w:noProof/>
        </w:rPr>
        <w:t>,</w:t>
      </w:r>
      <w:r w:rsidRPr="00B302AB">
        <w:rPr>
          <w:rFonts w:cs="Arial"/>
          <w:noProof/>
        </w:rPr>
        <w:t xml:space="preserve"> https://doi.org/10.3390/app14062457</w:t>
      </w:r>
    </w:p>
    <w:p w14:paraId="3944E7D1" w14:textId="14DD37AF"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Tagliaferri F., Invernizzi M., Sironi S.</w:t>
      </w:r>
      <w:r w:rsidR="009D36B4">
        <w:rPr>
          <w:rFonts w:cs="Arial"/>
          <w:noProof/>
        </w:rPr>
        <w:t>,</w:t>
      </w:r>
      <w:r w:rsidRPr="00B302AB">
        <w:rPr>
          <w:rFonts w:cs="Arial"/>
          <w:noProof/>
        </w:rPr>
        <w:t xml:space="preserve"> 2021</w:t>
      </w:r>
      <w:r w:rsidR="009D36B4">
        <w:rPr>
          <w:rFonts w:cs="Arial"/>
          <w:noProof/>
        </w:rPr>
        <w:t>,</w:t>
      </w:r>
      <w:r w:rsidRPr="00B302AB">
        <w:rPr>
          <w:rFonts w:cs="Arial"/>
          <w:noProof/>
        </w:rPr>
        <w:t xml:space="preserve"> Influence of wind velocity on the emission rate of acetone aqueous solution at different concentrations</w:t>
      </w:r>
      <w:r w:rsidR="009D36B4">
        <w:rPr>
          <w:rFonts w:cs="Arial"/>
          <w:noProof/>
        </w:rPr>
        <w:t>,</w:t>
      </w:r>
      <w:r w:rsidRPr="00B302AB">
        <w:rPr>
          <w:rFonts w:cs="Arial"/>
          <w:noProof/>
        </w:rPr>
        <w:t xml:space="preserve"> </w:t>
      </w:r>
      <w:r w:rsidRPr="00B302AB">
        <w:rPr>
          <w:rFonts w:cs="Arial"/>
          <w:i/>
          <w:iCs/>
          <w:noProof/>
        </w:rPr>
        <w:t>Chemical Engineering Transactions</w:t>
      </w:r>
      <w:r w:rsidRPr="009D36B4">
        <w:rPr>
          <w:rFonts w:cs="Arial"/>
          <w:noProof/>
        </w:rPr>
        <w:t>, 85</w:t>
      </w:r>
      <w:r w:rsidRPr="00B302AB">
        <w:rPr>
          <w:rFonts w:cs="Arial"/>
          <w:noProof/>
        </w:rPr>
        <w:t>(December 2020), 127</w:t>
      </w:r>
      <w:r w:rsidR="009D36B4">
        <w:rPr>
          <w:rFonts w:cs="Arial"/>
          <w:noProof/>
        </w:rPr>
        <w:t>-</w:t>
      </w:r>
      <w:r w:rsidRPr="00B302AB">
        <w:rPr>
          <w:rFonts w:cs="Arial"/>
          <w:noProof/>
        </w:rPr>
        <w:t>132</w:t>
      </w:r>
      <w:r w:rsidR="009D36B4">
        <w:rPr>
          <w:rFonts w:cs="Arial"/>
          <w:noProof/>
        </w:rPr>
        <w:t>,</w:t>
      </w:r>
      <w:r w:rsidRPr="00B302AB">
        <w:rPr>
          <w:rFonts w:cs="Arial"/>
          <w:noProof/>
        </w:rPr>
        <w:t xml:space="preserve"> https://doi.org/10.3303/CET2185022</w:t>
      </w:r>
    </w:p>
    <w:p w14:paraId="237E20BB" w14:textId="2E0D902B" w:rsidR="00B302AB" w:rsidRPr="00B302AB" w:rsidRDefault="00B302AB" w:rsidP="009D36B4">
      <w:pPr>
        <w:widowControl w:val="0"/>
        <w:autoSpaceDE w:val="0"/>
        <w:autoSpaceDN w:val="0"/>
        <w:adjustRightInd w:val="0"/>
        <w:spacing w:line="240" w:lineRule="auto"/>
        <w:ind w:left="480" w:hanging="480"/>
        <w:rPr>
          <w:rFonts w:cs="Arial"/>
          <w:noProof/>
        </w:rPr>
      </w:pPr>
      <w:r w:rsidRPr="00B302AB">
        <w:rPr>
          <w:rFonts w:cs="Arial"/>
          <w:noProof/>
        </w:rPr>
        <w:t>Tagliaferri F., Invernizzi M., Sironi S.</w:t>
      </w:r>
      <w:r w:rsidR="009D36B4">
        <w:rPr>
          <w:rFonts w:cs="Arial"/>
          <w:noProof/>
        </w:rPr>
        <w:t>,</w:t>
      </w:r>
      <w:r w:rsidRPr="00B302AB">
        <w:rPr>
          <w:rFonts w:cs="Arial"/>
          <w:noProof/>
        </w:rPr>
        <w:t xml:space="preserve"> 2023</w:t>
      </w:r>
      <w:r w:rsidR="009D36B4">
        <w:rPr>
          <w:rFonts w:cs="Arial"/>
          <w:noProof/>
        </w:rPr>
        <w:t>,</w:t>
      </w:r>
      <w:r w:rsidRPr="00B302AB">
        <w:rPr>
          <w:rFonts w:cs="Arial"/>
          <w:noProof/>
        </w:rPr>
        <w:t xml:space="preserve"> Experimental evaluation on liquid area sources: Influence of wind velocity and temperature on the wind tunnel sampling of VOCs emissions from wastewater treatment plants</w:t>
      </w:r>
      <w:r w:rsidR="009D36B4">
        <w:rPr>
          <w:rFonts w:cs="Arial"/>
          <w:noProof/>
        </w:rPr>
        <w:t>,</w:t>
      </w:r>
      <w:r w:rsidRPr="00B302AB">
        <w:rPr>
          <w:rFonts w:cs="Arial"/>
          <w:noProof/>
        </w:rPr>
        <w:t xml:space="preserve"> </w:t>
      </w:r>
      <w:r w:rsidRPr="00B302AB">
        <w:rPr>
          <w:rFonts w:cs="Arial"/>
          <w:i/>
          <w:iCs/>
          <w:noProof/>
        </w:rPr>
        <w:t>Chemosphere</w:t>
      </w:r>
      <w:r w:rsidRPr="00B302AB">
        <w:rPr>
          <w:rFonts w:cs="Arial"/>
          <w:noProof/>
        </w:rPr>
        <w:t>,</w:t>
      </w:r>
      <w:r w:rsidRPr="009D36B4">
        <w:rPr>
          <w:rFonts w:cs="Arial"/>
          <w:noProof/>
        </w:rPr>
        <w:t xml:space="preserve"> 312</w:t>
      </w:r>
      <w:r w:rsidRPr="00B302AB">
        <w:rPr>
          <w:rFonts w:cs="Arial"/>
          <w:noProof/>
        </w:rPr>
        <w:t>(November 2022)</w:t>
      </w:r>
      <w:r w:rsidR="009D36B4">
        <w:rPr>
          <w:rFonts w:cs="Arial"/>
          <w:noProof/>
        </w:rPr>
        <w:t>,</w:t>
      </w:r>
      <w:r w:rsidRPr="00B302AB">
        <w:rPr>
          <w:rFonts w:cs="Arial"/>
          <w:noProof/>
        </w:rPr>
        <w:t xml:space="preserve"> https://doi.org/10.1016/j.chemosphere.2022.137337</w:t>
      </w:r>
    </w:p>
    <w:p w14:paraId="38BA7DAD" w14:textId="4187160C" w:rsidR="00B302AB" w:rsidRPr="00B302AB" w:rsidRDefault="00B302AB" w:rsidP="00B302AB">
      <w:pPr>
        <w:widowControl w:val="0"/>
        <w:autoSpaceDE w:val="0"/>
        <w:autoSpaceDN w:val="0"/>
        <w:adjustRightInd w:val="0"/>
        <w:spacing w:line="240" w:lineRule="auto"/>
        <w:ind w:left="480" w:hanging="480"/>
        <w:rPr>
          <w:rFonts w:cs="Arial"/>
          <w:noProof/>
        </w:rPr>
      </w:pPr>
      <w:r w:rsidRPr="00B302AB">
        <w:rPr>
          <w:rFonts w:cs="Arial"/>
          <w:noProof/>
        </w:rPr>
        <w:t>VDI</w:t>
      </w:r>
      <w:r w:rsidR="009D36B4">
        <w:rPr>
          <w:rFonts w:cs="Arial"/>
          <w:noProof/>
        </w:rPr>
        <w:t>,</w:t>
      </w:r>
      <w:r w:rsidRPr="00B302AB">
        <w:rPr>
          <w:rFonts w:cs="Arial"/>
          <w:noProof/>
        </w:rPr>
        <w:t xml:space="preserve"> 2011</w:t>
      </w:r>
      <w:r w:rsidR="009D36B4">
        <w:rPr>
          <w:rFonts w:cs="Arial"/>
          <w:noProof/>
        </w:rPr>
        <w:t>,</w:t>
      </w:r>
      <w:r w:rsidRPr="00B302AB">
        <w:rPr>
          <w:rFonts w:cs="Arial"/>
          <w:noProof/>
        </w:rPr>
        <w:t xml:space="preserve"> </w:t>
      </w:r>
      <w:r w:rsidRPr="00B302AB">
        <w:rPr>
          <w:rFonts w:cs="Arial"/>
          <w:i/>
          <w:iCs/>
          <w:noProof/>
        </w:rPr>
        <w:t>VDI 3880. Olfactometry - Static sampling</w:t>
      </w:r>
      <w:r w:rsidR="009D36B4">
        <w:rPr>
          <w:rFonts w:cs="Arial"/>
          <w:noProof/>
        </w:rPr>
        <w:t>,</w:t>
      </w:r>
      <w:r w:rsidRPr="00B302AB">
        <w:rPr>
          <w:rFonts w:cs="Arial"/>
          <w:noProof/>
        </w:rPr>
        <w:t xml:space="preserve"> Vol. 31, Issue 0, pp. 0</w:t>
      </w:r>
      <w:r w:rsidR="009D36B4">
        <w:rPr>
          <w:rFonts w:cs="Arial"/>
          <w:noProof/>
        </w:rPr>
        <w:t>-</w:t>
      </w:r>
      <w:r w:rsidRPr="00B302AB">
        <w:rPr>
          <w:rFonts w:cs="Arial"/>
          <w:noProof/>
        </w:rPr>
        <w:t>25</w:t>
      </w:r>
    </w:p>
    <w:p w14:paraId="4ACF27E8" w14:textId="0F5838F5" w:rsidR="00C13F8D" w:rsidRPr="00D84B23" w:rsidRDefault="006A6DE5" w:rsidP="008263CB">
      <w:pPr>
        <w:pStyle w:val="CETReferencetext"/>
        <w:ind w:left="0" w:firstLine="0"/>
      </w:pPr>
      <w:r w:rsidRPr="00D84B23">
        <w:fldChar w:fldCharType="end"/>
      </w:r>
    </w:p>
    <w:sectPr w:rsidR="00C13F8D" w:rsidRPr="00D84B23" w:rsidSect="00977D6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884BA" w14:textId="77777777" w:rsidR="0070604B" w:rsidRDefault="0070604B" w:rsidP="004F5E36">
      <w:r>
        <w:separator/>
      </w:r>
    </w:p>
  </w:endnote>
  <w:endnote w:type="continuationSeparator" w:id="0">
    <w:p w14:paraId="319D110C" w14:textId="77777777" w:rsidR="0070604B" w:rsidRDefault="007060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06C2" w14:textId="77777777" w:rsidR="0070604B" w:rsidRDefault="0070604B" w:rsidP="004F5E36">
      <w:r>
        <w:separator/>
      </w:r>
    </w:p>
  </w:footnote>
  <w:footnote w:type="continuationSeparator" w:id="0">
    <w:p w14:paraId="4E49D2DE" w14:textId="77777777" w:rsidR="0070604B" w:rsidRDefault="0070604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05544F"/>
    <w:multiLevelType w:val="hybridMultilevel"/>
    <w:tmpl w:val="8EB40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6691A29"/>
    <w:multiLevelType w:val="hybridMultilevel"/>
    <w:tmpl w:val="9BEC5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907C1E"/>
    <w:multiLevelType w:val="hybridMultilevel"/>
    <w:tmpl w:val="D1984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209A19C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6925C28"/>
    <w:multiLevelType w:val="hybridMultilevel"/>
    <w:tmpl w:val="5D945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0E7799"/>
    <w:multiLevelType w:val="hybridMultilevel"/>
    <w:tmpl w:val="0D8E43A2"/>
    <w:lvl w:ilvl="0" w:tplc="86222724">
      <w:start w:val="1"/>
      <w:numFmt w:val="decimal"/>
      <w:pStyle w:val="Stile1"/>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5476E"/>
    <w:multiLevelType w:val="hybridMultilevel"/>
    <w:tmpl w:val="9F6450E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04C7005"/>
    <w:multiLevelType w:val="hybridMultilevel"/>
    <w:tmpl w:val="9912C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453241"/>
    <w:multiLevelType w:val="hybridMultilevel"/>
    <w:tmpl w:val="3BDA7D44"/>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2" w15:restartNumberingAfterBreak="0">
    <w:nsid w:val="4F21694A"/>
    <w:multiLevelType w:val="hybridMultilevel"/>
    <w:tmpl w:val="4D80BF1E"/>
    <w:lvl w:ilvl="0" w:tplc="B1F8F71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816156"/>
    <w:multiLevelType w:val="hybridMultilevel"/>
    <w:tmpl w:val="BEFA1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364361"/>
    <w:multiLevelType w:val="hybridMultilevel"/>
    <w:tmpl w:val="92AEB4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A80EA0"/>
    <w:multiLevelType w:val="hybridMultilevel"/>
    <w:tmpl w:val="E08040A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472682"/>
    <w:multiLevelType w:val="hybridMultilevel"/>
    <w:tmpl w:val="F2E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4671D4"/>
    <w:multiLevelType w:val="hybridMultilevel"/>
    <w:tmpl w:val="AFC0D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4641905">
    <w:abstractNumId w:val="13"/>
  </w:num>
  <w:num w:numId="2" w16cid:durableId="1959990314">
    <w:abstractNumId w:val="8"/>
  </w:num>
  <w:num w:numId="3" w16cid:durableId="1318147827">
    <w:abstractNumId w:val="3"/>
  </w:num>
  <w:num w:numId="4" w16cid:durableId="658853133">
    <w:abstractNumId w:val="2"/>
  </w:num>
  <w:num w:numId="5" w16cid:durableId="57896703">
    <w:abstractNumId w:val="1"/>
  </w:num>
  <w:num w:numId="6" w16cid:durableId="479078745">
    <w:abstractNumId w:val="0"/>
  </w:num>
  <w:num w:numId="7" w16cid:durableId="1588883588">
    <w:abstractNumId w:val="9"/>
  </w:num>
  <w:num w:numId="8" w16cid:durableId="495463913">
    <w:abstractNumId w:val="7"/>
  </w:num>
  <w:num w:numId="9" w16cid:durableId="2114548841">
    <w:abstractNumId w:val="6"/>
  </w:num>
  <w:num w:numId="10" w16cid:durableId="615868964">
    <w:abstractNumId w:val="5"/>
  </w:num>
  <w:num w:numId="11" w16cid:durableId="1879664671">
    <w:abstractNumId w:val="4"/>
  </w:num>
  <w:num w:numId="12" w16cid:durableId="325477767">
    <w:abstractNumId w:val="27"/>
  </w:num>
  <w:num w:numId="13" w16cid:durableId="1540699562">
    <w:abstractNumId w:val="17"/>
  </w:num>
  <w:num w:numId="14" w16cid:durableId="887955373">
    <w:abstractNumId w:val="28"/>
  </w:num>
  <w:num w:numId="15" w16cid:durableId="1354769881">
    <w:abstractNumId w:val="30"/>
  </w:num>
  <w:num w:numId="16" w16cid:durableId="1839005951">
    <w:abstractNumId w:val="29"/>
  </w:num>
  <w:num w:numId="17" w16cid:durableId="527378424">
    <w:abstractNumId w:val="16"/>
  </w:num>
  <w:num w:numId="18" w16cid:durableId="1841307125">
    <w:abstractNumId w:val="17"/>
    <w:lvlOverride w:ilvl="0">
      <w:startOverride w:val="1"/>
    </w:lvlOverride>
  </w:num>
  <w:num w:numId="19" w16cid:durableId="1178078815">
    <w:abstractNumId w:val="24"/>
  </w:num>
  <w:num w:numId="20" w16cid:durableId="1418794574">
    <w:abstractNumId w:val="23"/>
  </w:num>
  <w:num w:numId="21" w16cid:durableId="291639708">
    <w:abstractNumId w:val="19"/>
  </w:num>
  <w:num w:numId="22" w16cid:durableId="784497067">
    <w:abstractNumId w:val="20"/>
  </w:num>
  <w:num w:numId="23" w16cid:durableId="822240938">
    <w:abstractNumId w:val="32"/>
  </w:num>
  <w:num w:numId="24" w16cid:durableId="1568955977">
    <w:abstractNumId w:val="33"/>
  </w:num>
  <w:num w:numId="25" w16cid:durableId="675696869">
    <w:abstractNumId w:val="11"/>
  </w:num>
  <w:num w:numId="26" w16cid:durableId="1083181550">
    <w:abstractNumId w:val="15"/>
  </w:num>
  <w:num w:numId="27" w16cid:durableId="2141923588">
    <w:abstractNumId w:val="12"/>
  </w:num>
  <w:num w:numId="28" w16cid:durableId="215704540">
    <w:abstractNumId w:val="25"/>
  </w:num>
  <w:num w:numId="29" w16cid:durableId="315770815">
    <w:abstractNumId w:val="26"/>
  </w:num>
  <w:num w:numId="30" w16cid:durableId="691151127">
    <w:abstractNumId w:val="18"/>
  </w:num>
  <w:num w:numId="31" w16cid:durableId="377171247">
    <w:abstractNumId w:val="14"/>
  </w:num>
  <w:num w:numId="32" w16cid:durableId="695615757">
    <w:abstractNumId w:val="22"/>
  </w:num>
  <w:num w:numId="33" w16cid:durableId="1416514831">
    <w:abstractNumId w:val="31"/>
  </w:num>
  <w:num w:numId="34" w16cid:durableId="777483448">
    <w:abstractNumId w:val="10"/>
  </w:num>
  <w:num w:numId="35" w16cid:durableId="18287386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31F"/>
    <w:rsid w:val="00005268"/>
    <w:rsid w:val="000052FB"/>
    <w:rsid w:val="00010A07"/>
    <w:rsid w:val="000117CB"/>
    <w:rsid w:val="00012756"/>
    <w:rsid w:val="00015213"/>
    <w:rsid w:val="000157F0"/>
    <w:rsid w:val="000166F3"/>
    <w:rsid w:val="000200CF"/>
    <w:rsid w:val="000206F4"/>
    <w:rsid w:val="00022AE3"/>
    <w:rsid w:val="00022F68"/>
    <w:rsid w:val="0002351E"/>
    <w:rsid w:val="00023D39"/>
    <w:rsid w:val="00024B6C"/>
    <w:rsid w:val="00025CF4"/>
    <w:rsid w:val="00026DD3"/>
    <w:rsid w:val="00027536"/>
    <w:rsid w:val="00027594"/>
    <w:rsid w:val="000304C2"/>
    <w:rsid w:val="0003148D"/>
    <w:rsid w:val="000324DE"/>
    <w:rsid w:val="0003342F"/>
    <w:rsid w:val="00033AB6"/>
    <w:rsid w:val="00040ECE"/>
    <w:rsid w:val="00041FA8"/>
    <w:rsid w:val="000430E9"/>
    <w:rsid w:val="00044115"/>
    <w:rsid w:val="000459BE"/>
    <w:rsid w:val="00045B05"/>
    <w:rsid w:val="000469C2"/>
    <w:rsid w:val="00051566"/>
    <w:rsid w:val="00052017"/>
    <w:rsid w:val="00054986"/>
    <w:rsid w:val="00054FA5"/>
    <w:rsid w:val="00057DEA"/>
    <w:rsid w:val="00062385"/>
    <w:rsid w:val="00062A9A"/>
    <w:rsid w:val="00065058"/>
    <w:rsid w:val="00066198"/>
    <w:rsid w:val="000708F2"/>
    <w:rsid w:val="0007273F"/>
    <w:rsid w:val="000736D7"/>
    <w:rsid w:val="00073A82"/>
    <w:rsid w:val="00077426"/>
    <w:rsid w:val="000817AA"/>
    <w:rsid w:val="000830AE"/>
    <w:rsid w:val="000860FF"/>
    <w:rsid w:val="00086C39"/>
    <w:rsid w:val="00087381"/>
    <w:rsid w:val="00087CC0"/>
    <w:rsid w:val="000A03B2"/>
    <w:rsid w:val="000A12AE"/>
    <w:rsid w:val="000A1C5A"/>
    <w:rsid w:val="000A25F2"/>
    <w:rsid w:val="000A31B3"/>
    <w:rsid w:val="000A3680"/>
    <w:rsid w:val="000A3B5A"/>
    <w:rsid w:val="000A3DF2"/>
    <w:rsid w:val="000A7186"/>
    <w:rsid w:val="000B083A"/>
    <w:rsid w:val="000B10D3"/>
    <w:rsid w:val="000B43CF"/>
    <w:rsid w:val="000B5730"/>
    <w:rsid w:val="000B6F8A"/>
    <w:rsid w:val="000C2CD6"/>
    <w:rsid w:val="000C35AB"/>
    <w:rsid w:val="000C4B48"/>
    <w:rsid w:val="000D0457"/>
    <w:rsid w:val="000D34BE"/>
    <w:rsid w:val="000D523D"/>
    <w:rsid w:val="000D5848"/>
    <w:rsid w:val="000D5AC9"/>
    <w:rsid w:val="000D61A4"/>
    <w:rsid w:val="000D6D24"/>
    <w:rsid w:val="000D7005"/>
    <w:rsid w:val="000E102F"/>
    <w:rsid w:val="000E249F"/>
    <w:rsid w:val="000E36F1"/>
    <w:rsid w:val="000E384D"/>
    <w:rsid w:val="000E3A73"/>
    <w:rsid w:val="000E414A"/>
    <w:rsid w:val="000E5A41"/>
    <w:rsid w:val="000F093C"/>
    <w:rsid w:val="000F787B"/>
    <w:rsid w:val="0010528B"/>
    <w:rsid w:val="00105D81"/>
    <w:rsid w:val="00105F08"/>
    <w:rsid w:val="001071B5"/>
    <w:rsid w:val="00107533"/>
    <w:rsid w:val="00111F4F"/>
    <w:rsid w:val="00113E73"/>
    <w:rsid w:val="00116206"/>
    <w:rsid w:val="00116BEB"/>
    <w:rsid w:val="001172BC"/>
    <w:rsid w:val="0012091F"/>
    <w:rsid w:val="00126BC2"/>
    <w:rsid w:val="001308B6"/>
    <w:rsid w:val="0013121F"/>
    <w:rsid w:val="00131FE6"/>
    <w:rsid w:val="0013263F"/>
    <w:rsid w:val="00133AE7"/>
    <w:rsid w:val="00134606"/>
    <w:rsid w:val="00134DE4"/>
    <w:rsid w:val="00135175"/>
    <w:rsid w:val="00136860"/>
    <w:rsid w:val="00137F7C"/>
    <w:rsid w:val="00140070"/>
    <w:rsid w:val="0014034D"/>
    <w:rsid w:val="00140997"/>
    <w:rsid w:val="0014464F"/>
    <w:rsid w:val="00145A61"/>
    <w:rsid w:val="00145CE1"/>
    <w:rsid w:val="00150A40"/>
    <w:rsid w:val="00150E59"/>
    <w:rsid w:val="00151A8B"/>
    <w:rsid w:val="00152610"/>
    <w:rsid w:val="00152DE3"/>
    <w:rsid w:val="0015496E"/>
    <w:rsid w:val="0015587F"/>
    <w:rsid w:val="00157EA7"/>
    <w:rsid w:val="001616C6"/>
    <w:rsid w:val="00161A74"/>
    <w:rsid w:val="001620C0"/>
    <w:rsid w:val="00163050"/>
    <w:rsid w:val="00164CF9"/>
    <w:rsid w:val="00177532"/>
    <w:rsid w:val="00177C89"/>
    <w:rsid w:val="00180860"/>
    <w:rsid w:val="00182AE1"/>
    <w:rsid w:val="00184AD6"/>
    <w:rsid w:val="001904D1"/>
    <w:rsid w:val="0019370A"/>
    <w:rsid w:val="00193805"/>
    <w:rsid w:val="00195C1B"/>
    <w:rsid w:val="00195C43"/>
    <w:rsid w:val="0019749E"/>
    <w:rsid w:val="001A0811"/>
    <w:rsid w:val="001A09D1"/>
    <w:rsid w:val="001A0F96"/>
    <w:rsid w:val="001A2C90"/>
    <w:rsid w:val="001A4AA5"/>
    <w:rsid w:val="001A5B78"/>
    <w:rsid w:val="001B0349"/>
    <w:rsid w:val="001B3397"/>
    <w:rsid w:val="001B65C1"/>
    <w:rsid w:val="001C684B"/>
    <w:rsid w:val="001C7B1A"/>
    <w:rsid w:val="001D1ABC"/>
    <w:rsid w:val="001D3151"/>
    <w:rsid w:val="001D44B9"/>
    <w:rsid w:val="001D53FC"/>
    <w:rsid w:val="001E16FB"/>
    <w:rsid w:val="001E1C67"/>
    <w:rsid w:val="001E2503"/>
    <w:rsid w:val="001E3C97"/>
    <w:rsid w:val="001E6364"/>
    <w:rsid w:val="001E640C"/>
    <w:rsid w:val="001F084D"/>
    <w:rsid w:val="001F0943"/>
    <w:rsid w:val="001F1538"/>
    <w:rsid w:val="001F42A5"/>
    <w:rsid w:val="001F7B9D"/>
    <w:rsid w:val="00201951"/>
    <w:rsid w:val="002044C7"/>
    <w:rsid w:val="00205B18"/>
    <w:rsid w:val="00212DD9"/>
    <w:rsid w:val="002137FC"/>
    <w:rsid w:val="002146D8"/>
    <w:rsid w:val="00214853"/>
    <w:rsid w:val="00215917"/>
    <w:rsid w:val="00216BC5"/>
    <w:rsid w:val="002224B4"/>
    <w:rsid w:val="00223F0B"/>
    <w:rsid w:val="00224B56"/>
    <w:rsid w:val="00230C67"/>
    <w:rsid w:val="00232A95"/>
    <w:rsid w:val="00233E7E"/>
    <w:rsid w:val="002362FC"/>
    <w:rsid w:val="002369D2"/>
    <w:rsid w:val="00236A45"/>
    <w:rsid w:val="00237022"/>
    <w:rsid w:val="002440D5"/>
    <w:rsid w:val="002447EF"/>
    <w:rsid w:val="0024711F"/>
    <w:rsid w:val="00251550"/>
    <w:rsid w:val="0025319D"/>
    <w:rsid w:val="00256E6A"/>
    <w:rsid w:val="00263B05"/>
    <w:rsid w:val="0027221A"/>
    <w:rsid w:val="002733AB"/>
    <w:rsid w:val="00273A9F"/>
    <w:rsid w:val="00275867"/>
    <w:rsid w:val="00275B61"/>
    <w:rsid w:val="002769E2"/>
    <w:rsid w:val="00276AD3"/>
    <w:rsid w:val="0028120B"/>
    <w:rsid w:val="002812BC"/>
    <w:rsid w:val="00282656"/>
    <w:rsid w:val="00282F23"/>
    <w:rsid w:val="00285267"/>
    <w:rsid w:val="0028784A"/>
    <w:rsid w:val="00290B80"/>
    <w:rsid w:val="00291785"/>
    <w:rsid w:val="00296B83"/>
    <w:rsid w:val="002A31AB"/>
    <w:rsid w:val="002A33DB"/>
    <w:rsid w:val="002A3499"/>
    <w:rsid w:val="002A4ED2"/>
    <w:rsid w:val="002A5EB1"/>
    <w:rsid w:val="002A6285"/>
    <w:rsid w:val="002A72E5"/>
    <w:rsid w:val="002B1649"/>
    <w:rsid w:val="002B16CC"/>
    <w:rsid w:val="002B1908"/>
    <w:rsid w:val="002B31CE"/>
    <w:rsid w:val="002B3D4A"/>
    <w:rsid w:val="002B48FF"/>
    <w:rsid w:val="002B496B"/>
    <w:rsid w:val="002B6177"/>
    <w:rsid w:val="002B78CE"/>
    <w:rsid w:val="002C2FB6"/>
    <w:rsid w:val="002C3B69"/>
    <w:rsid w:val="002C5A78"/>
    <w:rsid w:val="002D2A44"/>
    <w:rsid w:val="002D3DB8"/>
    <w:rsid w:val="002D6873"/>
    <w:rsid w:val="002E02AF"/>
    <w:rsid w:val="002E0EAA"/>
    <w:rsid w:val="002E3053"/>
    <w:rsid w:val="002E40DC"/>
    <w:rsid w:val="002E5E26"/>
    <w:rsid w:val="002E6A19"/>
    <w:rsid w:val="002F2AF6"/>
    <w:rsid w:val="002F48DD"/>
    <w:rsid w:val="002F71F1"/>
    <w:rsid w:val="003009B7"/>
    <w:rsid w:val="00300D34"/>
    <w:rsid w:val="00300E56"/>
    <w:rsid w:val="00300F54"/>
    <w:rsid w:val="0030223B"/>
    <w:rsid w:val="0030469C"/>
    <w:rsid w:val="0030752F"/>
    <w:rsid w:val="00312D44"/>
    <w:rsid w:val="003136FD"/>
    <w:rsid w:val="00314D12"/>
    <w:rsid w:val="00317E98"/>
    <w:rsid w:val="0032052C"/>
    <w:rsid w:val="00321CA6"/>
    <w:rsid w:val="00321F81"/>
    <w:rsid w:val="003268CC"/>
    <w:rsid w:val="00330286"/>
    <w:rsid w:val="00330EE7"/>
    <w:rsid w:val="00333297"/>
    <w:rsid w:val="00334B63"/>
    <w:rsid w:val="00334C09"/>
    <w:rsid w:val="00335769"/>
    <w:rsid w:val="003360C8"/>
    <w:rsid w:val="0033709C"/>
    <w:rsid w:val="003377D3"/>
    <w:rsid w:val="00341F9A"/>
    <w:rsid w:val="00344084"/>
    <w:rsid w:val="00350891"/>
    <w:rsid w:val="00352B3C"/>
    <w:rsid w:val="00354271"/>
    <w:rsid w:val="00354E47"/>
    <w:rsid w:val="00357C1E"/>
    <w:rsid w:val="00363204"/>
    <w:rsid w:val="00365B41"/>
    <w:rsid w:val="003723D4"/>
    <w:rsid w:val="00374D44"/>
    <w:rsid w:val="003771C1"/>
    <w:rsid w:val="00382501"/>
    <w:rsid w:val="00383273"/>
    <w:rsid w:val="00383F4B"/>
    <w:rsid w:val="00384CC8"/>
    <w:rsid w:val="00385903"/>
    <w:rsid w:val="003869A4"/>
    <w:rsid w:val="003871FD"/>
    <w:rsid w:val="00393238"/>
    <w:rsid w:val="00396CC4"/>
    <w:rsid w:val="003A1E30"/>
    <w:rsid w:val="003A4EF6"/>
    <w:rsid w:val="003A690B"/>
    <w:rsid w:val="003A6C19"/>
    <w:rsid w:val="003A7D1C"/>
    <w:rsid w:val="003B0763"/>
    <w:rsid w:val="003B0D37"/>
    <w:rsid w:val="003B304B"/>
    <w:rsid w:val="003B3146"/>
    <w:rsid w:val="003B4326"/>
    <w:rsid w:val="003B4711"/>
    <w:rsid w:val="003B606C"/>
    <w:rsid w:val="003B6DFE"/>
    <w:rsid w:val="003C0987"/>
    <w:rsid w:val="003C2B44"/>
    <w:rsid w:val="003C30B2"/>
    <w:rsid w:val="003C61A6"/>
    <w:rsid w:val="003C7DFE"/>
    <w:rsid w:val="003D1861"/>
    <w:rsid w:val="003D188D"/>
    <w:rsid w:val="003D2BD4"/>
    <w:rsid w:val="003D2C3E"/>
    <w:rsid w:val="003D586B"/>
    <w:rsid w:val="003D7959"/>
    <w:rsid w:val="003D7D57"/>
    <w:rsid w:val="003E170F"/>
    <w:rsid w:val="003E3F1A"/>
    <w:rsid w:val="003E4A7C"/>
    <w:rsid w:val="003F015E"/>
    <w:rsid w:val="003F3BD2"/>
    <w:rsid w:val="003F3D15"/>
    <w:rsid w:val="003F54C2"/>
    <w:rsid w:val="00400414"/>
    <w:rsid w:val="00400F66"/>
    <w:rsid w:val="00402D5B"/>
    <w:rsid w:val="004047CB"/>
    <w:rsid w:val="00411B16"/>
    <w:rsid w:val="0041446B"/>
    <w:rsid w:val="004245BF"/>
    <w:rsid w:val="00425872"/>
    <w:rsid w:val="0042771F"/>
    <w:rsid w:val="00427F96"/>
    <w:rsid w:val="0043040C"/>
    <w:rsid w:val="00434FAE"/>
    <w:rsid w:val="00436DB7"/>
    <w:rsid w:val="004401B5"/>
    <w:rsid w:val="0044329C"/>
    <w:rsid w:val="00444DB5"/>
    <w:rsid w:val="00447D35"/>
    <w:rsid w:val="0045236A"/>
    <w:rsid w:val="004549DA"/>
    <w:rsid w:val="00455F12"/>
    <w:rsid w:val="004573F2"/>
    <w:rsid w:val="004577FE"/>
    <w:rsid w:val="00457B9C"/>
    <w:rsid w:val="00460D44"/>
    <w:rsid w:val="0046164A"/>
    <w:rsid w:val="004628D2"/>
    <w:rsid w:val="00462DCD"/>
    <w:rsid w:val="004635A3"/>
    <w:rsid w:val="004648AD"/>
    <w:rsid w:val="004703A9"/>
    <w:rsid w:val="00470F15"/>
    <w:rsid w:val="00471152"/>
    <w:rsid w:val="00471F12"/>
    <w:rsid w:val="004722FD"/>
    <w:rsid w:val="00472743"/>
    <w:rsid w:val="0047509A"/>
    <w:rsid w:val="00475478"/>
    <w:rsid w:val="00475D1B"/>
    <w:rsid w:val="004760DE"/>
    <w:rsid w:val="00480951"/>
    <w:rsid w:val="00484E5D"/>
    <w:rsid w:val="00486A12"/>
    <w:rsid w:val="004903C0"/>
    <w:rsid w:val="00494C28"/>
    <w:rsid w:val="004950BF"/>
    <w:rsid w:val="004967A4"/>
    <w:rsid w:val="004A004E"/>
    <w:rsid w:val="004A24CF"/>
    <w:rsid w:val="004A25C9"/>
    <w:rsid w:val="004A5D0C"/>
    <w:rsid w:val="004B0830"/>
    <w:rsid w:val="004B0987"/>
    <w:rsid w:val="004B16FF"/>
    <w:rsid w:val="004B230F"/>
    <w:rsid w:val="004B3F0E"/>
    <w:rsid w:val="004B4F1D"/>
    <w:rsid w:val="004B5FAC"/>
    <w:rsid w:val="004C20F2"/>
    <w:rsid w:val="004C24D1"/>
    <w:rsid w:val="004C3D1D"/>
    <w:rsid w:val="004C7913"/>
    <w:rsid w:val="004D0654"/>
    <w:rsid w:val="004D0A6A"/>
    <w:rsid w:val="004D3111"/>
    <w:rsid w:val="004D6989"/>
    <w:rsid w:val="004E4DD6"/>
    <w:rsid w:val="004F0F13"/>
    <w:rsid w:val="004F4929"/>
    <w:rsid w:val="004F5E36"/>
    <w:rsid w:val="004F5EA1"/>
    <w:rsid w:val="00503268"/>
    <w:rsid w:val="005036B8"/>
    <w:rsid w:val="0050492A"/>
    <w:rsid w:val="00504EB2"/>
    <w:rsid w:val="00507268"/>
    <w:rsid w:val="00507B47"/>
    <w:rsid w:val="00507CC9"/>
    <w:rsid w:val="005119A5"/>
    <w:rsid w:val="00511AA7"/>
    <w:rsid w:val="0051201B"/>
    <w:rsid w:val="00512FDC"/>
    <w:rsid w:val="0051393B"/>
    <w:rsid w:val="00516D93"/>
    <w:rsid w:val="00517EAD"/>
    <w:rsid w:val="005203E1"/>
    <w:rsid w:val="00524393"/>
    <w:rsid w:val="00524A37"/>
    <w:rsid w:val="005278B7"/>
    <w:rsid w:val="00530B12"/>
    <w:rsid w:val="00532016"/>
    <w:rsid w:val="005332D3"/>
    <w:rsid w:val="005346C8"/>
    <w:rsid w:val="005356FB"/>
    <w:rsid w:val="00536B35"/>
    <w:rsid w:val="00540BC0"/>
    <w:rsid w:val="00543E7D"/>
    <w:rsid w:val="00543F13"/>
    <w:rsid w:val="00543F9E"/>
    <w:rsid w:val="005440B9"/>
    <w:rsid w:val="005459B1"/>
    <w:rsid w:val="00547A68"/>
    <w:rsid w:val="005520DB"/>
    <w:rsid w:val="005531C9"/>
    <w:rsid w:val="005550CA"/>
    <w:rsid w:val="0055519C"/>
    <w:rsid w:val="00557E6C"/>
    <w:rsid w:val="00561A9C"/>
    <w:rsid w:val="00563A89"/>
    <w:rsid w:val="00565141"/>
    <w:rsid w:val="005674DB"/>
    <w:rsid w:val="00567CB9"/>
    <w:rsid w:val="00567FBC"/>
    <w:rsid w:val="00573440"/>
    <w:rsid w:val="00574C06"/>
    <w:rsid w:val="00576D74"/>
    <w:rsid w:val="00581925"/>
    <w:rsid w:val="00581F1C"/>
    <w:rsid w:val="00582824"/>
    <w:rsid w:val="00584CD8"/>
    <w:rsid w:val="0058561B"/>
    <w:rsid w:val="00585643"/>
    <w:rsid w:val="0058569A"/>
    <w:rsid w:val="00593DE6"/>
    <w:rsid w:val="0059437A"/>
    <w:rsid w:val="005A3D65"/>
    <w:rsid w:val="005A3E9C"/>
    <w:rsid w:val="005A4F1F"/>
    <w:rsid w:val="005A5C3B"/>
    <w:rsid w:val="005B2110"/>
    <w:rsid w:val="005B3F75"/>
    <w:rsid w:val="005B4923"/>
    <w:rsid w:val="005B61E6"/>
    <w:rsid w:val="005B624B"/>
    <w:rsid w:val="005B7344"/>
    <w:rsid w:val="005C1FE4"/>
    <w:rsid w:val="005C3284"/>
    <w:rsid w:val="005C37C9"/>
    <w:rsid w:val="005C3C83"/>
    <w:rsid w:val="005C58B4"/>
    <w:rsid w:val="005C6AC1"/>
    <w:rsid w:val="005C77E1"/>
    <w:rsid w:val="005D11B0"/>
    <w:rsid w:val="005D6047"/>
    <w:rsid w:val="005D6A2F"/>
    <w:rsid w:val="005E0BAB"/>
    <w:rsid w:val="005E1A82"/>
    <w:rsid w:val="005E3548"/>
    <w:rsid w:val="005E4C98"/>
    <w:rsid w:val="005E50D3"/>
    <w:rsid w:val="005E794C"/>
    <w:rsid w:val="005F0A28"/>
    <w:rsid w:val="005F0E5E"/>
    <w:rsid w:val="005F2CF5"/>
    <w:rsid w:val="005F615E"/>
    <w:rsid w:val="00600535"/>
    <w:rsid w:val="0060399F"/>
    <w:rsid w:val="00610CD6"/>
    <w:rsid w:val="00611EC7"/>
    <w:rsid w:val="00620C11"/>
    <w:rsid w:val="00620DEE"/>
    <w:rsid w:val="00621E04"/>
    <w:rsid w:val="00621F92"/>
    <w:rsid w:val="0062381D"/>
    <w:rsid w:val="006242B9"/>
    <w:rsid w:val="00625639"/>
    <w:rsid w:val="006263ED"/>
    <w:rsid w:val="0063183C"/>
    <w:rsid w:val="00631B33"/>
    <w:rsid w:val="0064184D"/>
    <w:rsid w:val="006422AD"/>
    <w:rsid w:val="00643059"/>
    <w:rsid w:val="006436CC"/>
    <w:rsid w:val="006440E5"/>
    <w:rsid w:val="00647DF9"/>
    <w:rsid w:val="00651015"/>
    <w:rsid w:val="0065185C"/>
    <w:rsid w:val="00652F68"/>
    <w:rsid w:val="006533F8"/>
    <w:rsid w:val="00655FE7"/>
    <w:rsid w:val="006562CE"/>
    <w:rsid w:val="00660DE0"/>
    <w:rsid w:val="00660E3E"/>
    <w:rsid w:val="00662E74"/>
    <w:rsid w:val="0066442A"/>
    <w:rsid w:val="006651E6"/>
    <w:rsid w:val="006652A6"/>
    <w:rsid w:val="00666033"/>
    <w:rsid w:val="00670389"/>
    <w:rsid w:val="00670509"/>
    <w:rsid w:val="006736EA"/>
    <w:rsid w:val="00676D5D"/>
    <w:rsid w:val="00680C23"/>
    <w:rsid w:val="0068401A"/>
    <w:rsid w:val="00693766"/>
    <w:rsid w:val="00696C46"/>
    <w:rsid w:val="006A04D8"/>
    <w:rsid w:val="006A3281"/>
    <w:rsid w:val="006A3A72"/>
    <w:rsid w:val="006A6559"/>
    <w:rsid w:val="006A6DE5"/>
    <w:rsid w:val="006B126A"/>
    <w:rsid w:val="006B4888"/>
    <w:rsid w:val="006B62A5"/>
    <w:rsid w:val="006B68E3"/>
    <w:rsid w:val="006C2E45"/>
    <w:rsid w:val="006C3260"/>
    <w:rsid w:val="006C359C"/>
    <w:rsid w:val="006C4C84"/>
    <w:rsid w:val="006C5579"/>
    <w:rsid w:val="006C652C"/>
    <w:rsid w:val="006D3DFE"/>
    <w:rsid w:val="006D4484"/>
    <w:rsid w:val="006D4B7E"/>
    <w:rsid w:val="006D606D"/>
    <w:rsid w:val="006E2420"/>
    <w:rsid w:val="006E2A49"/>
    <w:rsid w:val="006E737D"/>
    <w:rsid w:val="006E7D6A"/>
    <w:rsid w:val="006F0AE9"/>
    <w:rsid w:val="006F21C5"/>
    <w:rsid w:val="006F2B88"/>
    <w:rsid w:val="006F3907"/>
    <w:rsid w:val="006F5B7C"/>
    <w:rsid w:val="006F6952"/>
    <w:rsid w:val="007033C8"/>
    <w:rsid w:val="007037D9"/>
    <w:rsid w:val="00704203"/>
    <w:rsid w:val="00705A47"/>
    <w:rsid w:val="0070604B"/>
    <w:rsid w:val="007108E7"/>
    <w:rsid w:val="007111E7"/>
    <w:rsid w:val="007162B0"/>
    <w:rsid w:val="00720A24"/>
    <w:rsid w:val="00724A82"/>
    <w:rsid w:val="007250AB"/>
    <w:rsid w:val="00726BCC"/>
    <w:rsid w:val="00732386"/>
    <w:rsid w:val="0073239A"/>
    <w:rsid w:val="00735D74"/>
    <w:rsid w:val="00735DA0"/>
    <w:rsid w:val="00740E39"/>
    <w:rsid w:val="00744239"/>
    <w:rsid w:val="007447F3"/>
    <w:rsid w:val="007458B4"/>
    <w:rsid w:val="00750985"/>
    <w:rsid w:val="007513A1"/>
    <w:rsid w:val="0075499F"/>
    <w:rsid w:val="0075634D"/>
    <w:rsid w:val="00757388"/>
    <w:rsid w:val="007622DC"/>
    <w:rsid w:val="00764788"/>
    <w:rsid w:val="00764A83"/>
    <w:rsid w:val="00765738"/>
    <w:rsid w:val="007661C8"/>
    <w:rsid w:val="0077098D"/>
    <w:rsid w:val="00773317"/>
    <w:rsid w:val="0077406B"/>
    <w:rsid w:val="00776441"/>
    <w:rsid w:val="00776537"/>
    <w:rsid w:val="00777D87"/>
    <w:rsid w:val="00785846"/>
    <w:rsid w:val="00786B21"/>
    <w:rsid w:val="00787424"/>
    <w:rsid w:val="00787D07"/>
    <w:rsid w:val="007924C8"/>
    <w:rsid w:val="00796EB7"/>
    <w:rsid w:val="007A7BBA"/>
    <w:rsid w:val="007B0AEC"/>
    <w:rsid w:val="007B0C50"/>
    <w:rsid w:val="007B4C4E"/>
    <w:rsid w:val="007B7F40"/>
    <w:rsid w:val="007C1846"/>
    <w:rsid w:val="007C1A43"/>
    <w:rsid w:val="007C329C"/>
    <w:rsid w:val="007C374F"/>
    <w:rsid w:val="007D7002"/>
    <w:rsid w:val="007D723D"/>
    <w:rsid w:val="007E4E04"/>
    <w:rsid w:val="007F043A"/>
    <w:rsid w:val="007F257E"/>
    <w:rsid w:val="007F35CC"/>
    <w:rsid w:val="007F4AF2"/>
    <w:rsid w:val="007F52B0"/>
    <w:rsid w:val="0080006C"/>
    <w:rsid w:val="00801ED8"/>
    <w:rsid w:val="008044F5"/>
    <w:rsid w:val="0080521D"/>
    <w:rsid w:val="00805EE7"/>
    <w:rsid w:val="00807D52"/>
    <w:rsid w:val="00812410"/>
    <w:rsid w:val="00813209"/>
    <w:rsid w:val="00813288"/>
    <w:rsid w:val="00813E90"/>
    <w:rsid w:val="008140F6"/>
    <w:rsid w:val="0081452B"/>
    <w:rsid w:val="008168FC"/>
    <w:rsid w:val="00823B24"/>
    <w:rsid w:val="00823E54"/>
    <w:rsid w:val="00825EB2"/>
    <w:rsid w:val="008263CB"/>
    <w:rsid w:val="00827C84"/>
    <w:rsid w:val="00830996"/>
    <w:rsid w:val="00832BE6"/>
    <w:rsid w:val="00833F46"/>
    <w:rsid w:val="008345F1"/>
    <w:rsid w:val="0083474F"/>
    <w:rsid w:val="00834A59"/>
    <w:rsid w:val="00836BD2"/>
    <w:rsid w:val="008371EB"/>
    <w:rsid w:val="00837ECA"/>
    <w:rsid w:val="008417C2"/>
    <w:rsid w:val="0084537E"/>
    <w:rsid w:val="00846154"/>
    <w:rsid w:val="00854425"/>
    <w:rsid w:val="00856B86"/>
    <w:rsid w:val="00856C1E"/>
    <w:rsid w:val="008608A4"/>
    <w:rsid w:val="00865B07"/>
    <w:rsid w:val="00865DC8"/>
    <w:rsid w:val="008667EA"/>
    <w:rsid w:val="0086778E"/>
    <w:rsid w:val="0087049D"/>
    <w:rsid w:val="00871833"/>
    <w:rsid w:val="00871B04"/>
    <w:rsid w:val="008723C2"/>
    <w:rsid w:val="00873D28"/>
    <w:rsid w:val="00873D70"/>
    <w:rsid w:val="0087637F"/>
    <w:rsid w:val="0087738E"/>
    <w:rsid w:val="00890231"/>
    <w:rsid w:val="0089135A"/>
    <w:rsid w:val="00891828"/>
    <w:rsid w:val="00892649"/>
    <w:rsid w:val="00892AD5"/>
    <w:rsid w:val="008952D0"/>
    <w:rsid w:val="008A1512"/>
    <w:rsid w:val="008A29B3"/>
    <w:rsid w:val="008A2B60"/>
    <w:rsid w:val="008A3E30"/>
    <w:rsid w:val="008A7D39"/>
    <w:rsid w:val="008B0267"/>
    <w:rsid w:val="008B03DD"/>
    <w:rsid w:val="008B050A"/>
    <w:rsid w:val="008B086D"/>
    <w:rsid w:val="008B0E49"/>
    <w:rsid w:val="008B50F9"/>
    <w:rsid w:val="008B61CF"/>
    <w:rsid w:val="008C0635"/>
    <w:rsid w:val="008C0927"/>
    <w:rsid w:val="008C11CB"/>
    <w:rsid w:val="008C19E9"/>
    <w:rsid w:val="008C1D15"/>
    <w:rsid w:val="008C2054"/>
    <w:rsid w:val="008C5A07"/>
    <w:rsid w:val="008C78B6"/>
    <w:rsid w:val="008D0F4A"/>
    <w:rsid w:val="008D1466"/>
    <w:rsid w:val="008D2E48"/>
    <w:rsid w:val="008D433B"/>
    <w:rsid w:val="008D51D6"/>
    <w:rsid w:val="008D5B54"/>
    <w:rsid w:val="008D6D1F"/>
    <w:rsid w:val="008E2A14"/>
    <w:rsid w:val="008E566E"/>
    <w:rsid w:val="008F2B88"/>
    <w:rsid w:val="0090161A"/>
    <w:rsid w:val="00901EB6"/>
    <w:rsid w:val="009020B6"/>
    <w:rsid w:val="00904C62"/>
    <w:rsid w:val="00905EDA"/>
    <w:rsid w:val="00906BA3"/>
    <w:rsid w:val="009100FE"/>
    <w:rsid w:val="00911EC0"/>
    <w:rsid w:val="00913794"/>
    <w:rsid w:val="009148DB"/>
    <w:rsid w:val="00916FAB"/>
    <w:rsid w:val="00917480"/>
    <w:rsid w:val="00917927"/>
    <w:rsid w:val="00920631"/>
    <w:rsid w:val="0092184B"/>
    <w:rsid w:val="009249BE"/>
    <w:rsid w:val="00924DAC"/>
    <w:rsid w:val="00924FC0"/>
    <w:rsid w:val="00927058"/>
    <w:rsid w:val="0092770A"/>
    <w:rsid w:val="00934CC1"/>
    <w:rsid w:val="00937439"/>
    <w:rsid w:val="009418D7"/>
    <w:rsid w:val="009431F4"/>
    <w:rsid w:val="00944F9A"/>
    <w:rsid w:val="009450CE"/>
    <w:rsid w:val="00947179"/>
    <w:rsid w:val="0095164B"/>
    <w:rsid w:val="00954090"/>
    <w:rsid w:val="00954CE8"/>
    <w:rsid w:val="00955A6C"/>
    <w:rsid w:val="009573E7"/>
    <w:rsid w:val="0096044D"/>
    <w:rsid w:val="00960766"/>
    <w:rsid w:val="009624C3"/>
    <w:rsid w:val="0096314D"/>
    <w:rsid w:val="009632C3"/>
    <w:rsid w:val="0096366B"/>
    <w:rsid w:val="00963E05"/>
    <w:rsid w:val="0096488F"/>
    <w:rsid w:val="00967D54"/>
    <w:rsid w:val="00971529"/>
    <w:rsid w:val="009720B0"/>
    <w:rsid w:val="009721A5"/>
    <w:rsid w:val="0097406E"/>
    <w:rsid w:val="009765B0"/>
    <w:rsid w:val="00976811"/>
    <w:rsid w:val="00977704"/>
    <w:rsid w:val="00977D62"/>
    <w:rsid w:val="009829B8"/>
    <w:rsid w:val="00987BDC"/>
    <w:rsid w:val="00987E84"/>
    <w:rsid w:val="00991CFF"/>
    <w:rsid w:val="0099260E"/>
    <w:rsid w:val="0099348F"/>
    <w:rsid w:val="00996483"/>
    <w:rsid w:val="00996F5A"/>
    <w:rsid w:val="009974FF"/>
    <w:rsid w:val="00997736"/>
    <w:rsid w:val="00997878"/>
    <w:rsid w:val="009A07CA"/>
    <w:rsid w:val="009A1412"/>
    <w:rsid w:val="009A3A18"/>
    <w:rsid w:val="009A5B62"/>
    <w:rsid w:val="009B00C4"/>
    <w:rsid w:val="009B041A"/>
    <w:rsid w:val="009B2136"/>
    <w:rsid w:val="009B465C"/>
    <w:rsid w:val="009B4D4B"/>
    <w:rsid w:val="009C039F"/>
    <w:rsid w:val="009C0C34"/>
    <w:rsid w:val="009C21C3"/>
    <w:rsid w:val="009C572F"/>
    <w:rsid w:val="009C68F3"/>
    <w:rsid w:val="009C7469"/>
    <w:rsid w:val="009C7C86"/>
    <w:rsid w:val="009C7F65"/>
    <w:rsid w:val="009D2FF7"/>
    <w:rsid w:val="009D34F3"/>
    <w:rsid w:val="009D36B4"/>
    <w:rsid w:val="009D6D95"/>
    <w:rsid w:val="009E195D"/>
    <w:rsid w:val="009E3494"/>
    <w:rsid w:val="009E5602"/>
    <w:rsid w:val="009E76CE"/>
    <w:rsid w:val="009E784B"/>
    <w:rsid w:val="009E7884"/>
    <w:rsid w:val="009E788A"/>
    <w:rsid w:val="009F0E08"/>
    <w:rsid w:val="009F3110"/>
    <w:rsid w:val="009F3258"/>
    <w:rsid w:val="009F3975"/>
    <w:rsid w:val="009F3D87"/>
    <w:rsid w:val="009F7F64"/>
    <w:rsid w:val="00A018BC"/>
    <w:rsid w:val="00A06274"/>
    <w:rsid w:val="00A071A5"/>
    <w:rsid w:val="00A1187D"/>
    <w:rsid w:val="00A11C58"/>
    <w:rsid w:val="00A12BE5"/>
    <w:rsid w:val="00A13F15"/>
    <w:rsid w:val="00A15CCD"/>
    <w:rsid w:val="00A17370"/>
    <w:rsid w:val="00A1763D"/>
    <w:rsid w:val="00A17BDC"/>
    <w:rsid w:val="00A17CEC"/>
    <w:rsid w:val="00A22CAA"/>
    <w:rsid w:val="00A27EF0"/>
    <w:rsid w:val="00A34F0E"/>
    <w:rsid w:val="00A3533C"/>
    <w:rsid w:val="00A35D3C"/>
    <w:rsid w:val="00A416AB"/>
    <w:rsid w:val="00A423BF"/>
    <w:rsid w:val="00A425BD"/>
    <w:rsid w:val="00A435D1"/>
    <w:rsid w:val="00A43B4C"/>
    <w:rsid w:val="00A45323"/>
    <w:rsid w:val="00A50B20"/>
    <w:rsid w:val="00A51390"/>
    <w:rsid w:val="00A56025"/>
    <w:rsid w:val="00A561F9"/>
    <w:rsid w:val="00A60D13"/>
    <w:rsid w:val="00A6198C"/>
    <w:rsid w:val="00A61F4E"/>
    <w:rsid w:val="00A63D91"/>
    <w:rsid w:val="00A65FAA"/>
    <w:rsid w:val="00A663D5"/>
    <w:rsid w:val="00A7153C"/>
    <w:rsid w:val="00A72745"/>
    <w:rsid w:val="00A72792"/>
    <w:rsid w:val="00A73A34"/>
    <w:rsid w:val="00A743F3"/>
    <w:rsid w:val="00A76EFC"/>
    <w:rsid w:val="00A81CBB"/>
    <w:rsid w:val="00A82AEE"/>
    <w:rsid w:val="00A82C68"/>
    <w:rsid w:val="00A8353A"/>
    <w:rsid w:val="00A85E7E"/>
    <w:rsid w:val="00A86642"/>
    <w:rsid w:val="00A86857"/>
    <w:rsid w:val="00A90105"/>
    <w:rsid w:val="00A91010"/>
    <w:rsid w:val="00A92C92"/>
    <w:rsid w:val="00A92EAC"/>
    <w:rsid w:val="00A97190"/>
    <w:rsid w:val="00A97F29"/>
    <w:rsid w:val="00AA1851"/>
    <w:rsid w:val="00AA1DC8"/>
    <w:rsid w:val="00AA702E"/>
    <w:rsid w:val="00AB0964"/>
    <w:rsid w:val="00AB344F"/>
    <w:rsid w:val="00AB5011"/>
    <w:rsid w:val="00AC0D02"/>
    <w:rsid w:val="00AC1F5A"/>
    <w:rsid w:val="00AC320D"/>
    <w:rsid w:val="00AC325B"/>
    <w:rsid w:val="00AC4710"/>
    <w:rsid w:val="00AC627C"/>
    <w:rsid w:val="00AC7368"/>
    <w:rsid w:val="00AC7B3E"/>
    <w:rsid w:val="00AC7FE6"/>
    <w:rsid w:val="00AD0C46"/>
    <w:rsid w:val="00AD16B9"/>
    <w:rsid w:val="00AD1B49"/>
    <w:rsid w:val="00AD32F4"/>
    <w:rsid w:val="00AD3C3C"/>
    <w:rsid w:val="00AD4571"/>
    <w:rsid w:val="00AD523A"/>
    <w:rsid w:val="00AD7B0D"/>
    <w:rsid w:val="00AD7E51"/>
    <w:rsid w:val="00AD7EA2"/>
    <w:rsid w:val="00AE0144"/>
    <w:rsid w:val="00AE0E41"/>
    <w:rsid w:val="00AE377D"/>
    <w:rsid w:val="00AE3A2C"/>
    <w:rsid w:val="00AE584F"/>
    <w:rsid w:val="00AE6F02"/>
    <w:rsid w:val="00AE7730"/>
    <w:rsid w:val="00AE79F3"/>
    <w:rsid w:val="00AF192D"/>
    <w:rsid w:val="00AF3553"/>
    <w:rsid w:val="00AF538A"/>
    <w:rsid w:val="00AF6713"/>
    <w:rsid w:val="00B000A7"/>
    <w:rsid w:val="00B0291F"/>
    <w:rsid w:val="00B02E3F"/>
    <w:rsid w:val="00B05123"/>
    <w:rsid w:val="00B137DC"/>
    <w:rsid w:val="00B13BB0"/>
    <w:rsid w:val="00B15176"/>
    <w:rsid w:val="00B16029"/>
    <w:rsid w:val="00B17645"/>
    <w:rsid w:val="00B17FBD"/>
    <w:rsid w:val="00B22F6D"/>
    <w:rsid w:val="00B237C0"/>
    <w:rsid w:val="00B24A91"/>
    <w:rsid w:val="00B30083"/>
    <w:rsid w:val="00B302AB"/>
    <w:rsid w:val="00B3101B"/>
    <w:rsid w:val="00B315A6"/>
    <w:rsid w:val="00B31813"/>
    <w:rsid w:val="00B322DC"/>
    <w:rsid w:val="00B33365"/>
    <w:rsid w:val="00B33436"/>
    <w:rsid w:val="00B34D5F"/>
    <w:rsid w:val="00B351AB"/>
    <w:rsid w:val="00B35A63"/>
    <w:rsid w:val="00B36630"/>
    <w:rsid w:val="00B36F21"/>
    <w:rsid w:val="00B40D28"/>
    <w:rsid w:val="00B512E5"/>
    <w:rsid w:val="00B53F4E"/>
    <w:rsid w:val="00B55B1C"/>
    <w:rsid w:val="00B57B36"/>
    <w:rsid w:val="00B57C00"/>
    <w:rsid w:val="00B602A1"/>
    <w:rsid w:val="00B607EE"/>
    <w:rsid w:val="00B650DC"/>
    <w:rsid w:val="00B65502"/>
    <w:rsid w:val="00B72D44"/>
    <w:rsid w:val="00B74789"/>
    <w:rsid w:val="00B7485F"/>
    <w:rsid w:val="00B75D36"/>
    <w:rsid w:val="00B7764A"/>
    <w:rsid w:val="00B8058D"/>
    <w:rsid w:val="00B805AC"/>
    <w:rsid w:val="00B81068"/>
    <w:rsid w:val="00B83F58"/>
    <w:rsid w:val="00B84E04"/>
    <w:rsid w:val="00B858FF"/>
    <w:rsid w:val="00B8686D"/>
    <w:rsid w:val="00B86DCD"/>
    <w:rsid w:val="00B87502"/>
    <w:rsid w:val="00B90535"/>
    <w:rsid w:val="00B91E66"/>
    <w:rsid w:val="00B95286"/>
    <w:rsid w:val="00BA0D9B"/>
    <w:rsid w:val="00BA16C9"/>
    <w:rsid w:val="00BA2E78"/>
    <w:rsid w:val="00BA43DD"/>
    <w:rsid w:val="00BB1508"/>
    <w:rsid w:val="00BB2468"/>
    <w:rsid w:val="00BB3EEF"/>
    <w:rsid w:val="00BB6798"/>
    <w:rsid w:val="00BB6896"/>
    <w:rsid w:val="00BC2250"/>
    <w:rsid w:val="00BC2654"/>
    <w:rsid w:val="00BC2A82"/>
    <w:rsid w:val="00BC30C9"/>
    <w:rsid w:val="00BC6EB7"/>
    <w:rsid w:val="00BD04DA"/>
    <w:rsid w:val="00BD5ECB"/>
    <w:rsid w:val="00BD72AD"/>
    <w:rsid w:val="00BD7FFC"/>
    <w:rsid w:val="00BE15E9"/>
    <w:rsid w:val="00BE2B15"/>
    <w:rsid w:val="00BE2C5E"/>
    <w:rsid w:val="00BE2D31"/>
    <w:rsid w:val="00BE3908"/>
    <w:rsid w:val="00BE3E58"/>
    <w:rsid w:val="00BE48AD"/>
    <w:rsid w:val="00BE767B"/>
    <w:rsid w:val="00BF2CB0"/>
    <w:rsid w:val="00BF2E07"/>
    <w:rsid w:val="00BF66A6"/>
    <w:rsid w:val="00C00E97"/>
    <w:rsid w:val="00C01616"/>
    <w:rsid w:val="00C0162B"/>
    <w:rsid w:val="00C067FE"/>
    <w:rsid w:val="00C11727"/>
    <w:rsid w:val="00C13F8D"/>
    <w:rsid w:val="00C174C5"/>
    <w:rsid w:val="00C20DC0"/>
    <w:rsid w:val="00C214ED"/>
    <w:rsid w:val="00C21913"/>
    <w:rsid w:val="00C22765"/>
    <w:rsid w:val="00C2454D"/>
    <w:rsid w:val="00C262E8"/>
    <w:rsid w:val="00C26450"/>
    <w:rsid w:val="00C265DE"/>
    <w:rsid w:val="00C26FF9"/>
    <w:rsid w:val="00C30383"/>
    <w:rsid w:val="00C30FD4"/>
    <w:rsid w:val="00C310C2"/>
    <w:rsid w:val="00C31993"/>
    <w:rsid w:val="00C31BF8"/>
    <w:rsid w:val="00C32945"/>
    <w:rsid w:val="00C33893"/>
    <w:rsid w:val="00C345B1"/>
    <w:rsid w:val="00C34E1F"/>
    <w:rsid w:val="00C40142"/>
    <w:rsid w:val="00C40BD6"/>
    <w:rsid w:val="00C410D5"/>
    <w:rsid w:val="00C412B9"/>
    <w:rsid w:val="00C43217"/>
    <w:rsid w:val="00C4332E"/>
    <w:rsid w:val="00C44D7A"/>
    <w:rsid w:val="00C466E0"/>
    <w:rsid w:val="00C4753F"/>
    <w:rsid w:val="00C50055"/>
    <w:rsid w:val="00C50C74"/>
    <w:rsid w:val="00C56509"/>
    <w:rsid w:val="00C57182"/>
    <w:rsid w:val="00C57556"/>
    <w:rsid w:val="00C57863"/>
    <w:rsid w:val="00C617F1"/>
    <w:rsid w:val="00C63895"/>
    <w:rsid w:val="00C655FD"/>
    <w:rsid w:val="00C65807"/>
    <w:rsid w:val="00C66732"/>
    <w:rsid w:val="00C66F65"/>
    <w:rsid w:val="00C71FB5"/>
    <w:rsid w:val="00C7584A"/>
    <w:rsid w:val="00C8420B"/>
    <w:rsid w:val="00C84C64"/>
    <w:rsid w:val="00C84CB4"/>
    <w:rsid w:val="00C870A8"/>
    <w:rsid w:val="00C94434"/>
    <w:rsid w:val="00C954EA"/>
    <w:rsid w:val="00C96019"/>
    <w:rsid w:val="00C96178"/>
    <w:rsid w:val="00CA0D75"/>
    <w:rsid w:val="00CA12CD"/>
    <w:rsid w:val="00CA1C95"/>
    <w:rsid w:val="00CA1E5B"/>
    <w:rsid w:val="00CA5369"/>
    <w:rsid w:val="00CA5A9C"/>
    <w:rsid w:val="00CA5ADF"/>
    <w:rsid w:val="00CB02BC"/>
    <w:rsid w:val="00CB09A8"/>
    <w:rsid w:val="00CB4D98"/>
    <w:rsid w:val="00CC504A"/>
    <w:rsid w:val="00CD1EE8"/>
    <w:rsid w:val="00CD2926"/>
    <w:rsid w:val="00CD3998"/>
    <w:rsid w:val="00CD3B7E"/>
    <w:rsid w:val="00CD5BD3"/>
    <w:rsid w:val="00CD5FE2"/>
    <w:rsid w:val="00CD68B9"/>
    <w:rsid w:val="00CD7AC3"/>
    <w:rsid w:val="00CE2C89"/>
    <w:rsid w:val="00CE7C68"/>
    <w:rsid w:val="00CF27F0"/>
    <w:rsid w:val="00CF7557"/>
    <w:rsid w:val="00CF7D62"/>
    <w:rsid w:val="00D02B4C"/>
    <w:rsid w:val="00D03DB3"/>
    <w:rsid w:val="00D040C4"/>
    <w:rsid w:val="00D07AC9"/>
    <w:rsid w:val="00D1295C"/>
    <w:rsid w:val="00D13D1A"/>
    <w:rsid w:val="00D14294"/>
    <w:rsid w:val="00D14DF5"/>
    <w:rsid w:val="00D1530E"/>
    <w:rsid w:val="00D16CF4"/>
    <w:rsid w:val="00D17BE7"/>
    <w:rsid w:val="00D262F9"/>
    <w:rsid w:val="00D26A58"/>
    <w:rsid w:val="00D31C1C"/>
    <w:rsid w:val="00D31D41"/>
    <w:rsid w:val="00D328DB"/>
    <w:rsid w:val="00D3367A"/>
    <w:rsid w:val="00D3444E"/>
    <w:rsid w:val="00D34F09"/>
    <w:rsid w:val="00D366F0"/>
    <w:rsid w:val="00D44858"/>
    <w:rsid w:val="00D4495C"/>
    <w:rsid w:val="00D453A0"/>
    <w:rsid w:val="00D50CF0"/>
    <w:rsid w:val="00D514FF"/>
    <w:rsid w:val="00D524C3"/>
    <w:rsid w:val="00D5787A"/>
    <w:rsid w:val="00D57C84"/>
    <w:rsid w:val="00D57D4C"/>
    <w:rsid w:val="00D6057D"/>
    <w:rsid w:val="00D63249"/>
    <w:rsid w:val="00D645E7"/>
    <w:rsid w:val="00D64B19"/>
    <w:rsid w:val="00D65077"/>
    <w:rsid w:val="00D66A44"/>
    <w:rsid w:val="00D67FD8"/>
    <w:rsid w:val="00D7191E"/>
    <w:rsid w:val="00D72333"/>
    <w:rsid w:val="00D74997"/>
    <w:rsid w:val="00D7707F"/>
    <w:rsid w:val="00D8087D"/>
    <w:rsid w:val="00D82521"/>
    <w:rsid w:val="00D83B54"/>
    <w:rsid w:val="00D84576"/>
    <w:rsid w:val="00D84B23"/>
    <w:rsid w:val="00D8787F"/>
    <w:rsid w:val="00D91FA9"/>
    <w:rsid w:val="00D93A4C"/>
    <w:rsid w:val="00D93F6F"/>
    <w:rsid w:val="00D97348"/>
    <w:rsid w:val="00DA1399"/>
    <w:rsid w:val="00DA24C6"/>
    <w:rsid w:val="00DA2A79"/>
    <w:rsid w:val="00DA42A6"/>
    <w:rsid w:val="00DA47EB"/>
    <w:rsid w:val="00DA4C7C"/>
    <w:rsid w:val="00DA4D7B"/>
    <w:rsid w:val="00DA51F9"/>
    <w:rsid w:val="00DA65A9"/>
    <w:rsid w:val="00DA76A9"/>
    <w:rsid w:val="00DB13BE"/>
    <w:rsid w:val="00DC21AC"/>
    <w:rsid w:val="00DC28D5"/>
    <w:rsid w:val="00DC42F2"/>
    <w:rsid w:val="00DC4971"/>
    <w:rsid w:val="00DC5766"/>
    <w:rsid w:val="00DD0DBD"/>
    <w:rsid w:val="00DD59A4"/>
    <w:rsid w:val="00DD6680"/>
    <w:rsid w:val="00DD6797"/>
    <w:rsid w:val="00DE09F0"/>
    <w:rsid w:val="00DE264A"/>
    <w:rsid w:val="00DE3152"/>
    <w:rsid w:val="00DE4AAB"/>
    <w:rsid w:val="00DE4C48"/>
    <w:rsid w:val="00DF0950"/>
    <w:rsid w:val="00DF2693"/>
    <w:rsid w:val="00DF5328"/>
    <w:rsid w:val="00DF616F"/>
    <w:rsid w:val="00E00E99"/>
    <w:rsid w:val="00E02365"/>
    <w:rsid w:val="00E02D18"/>
    <w:rsid w:val="00E041CB"/>
    <w:rsid w:val="00E041E7"/>
    <w:rsid w:val="00E04340"/>
    <w:rsid w:val="00E044A2"/>
    <w:rsid w:val="00E0494D"/>
    <w:rsid w:val="00E0735D"/>
    <w:rsid w:val="00E1060B"/>
    <w:rsid w:val="00E11F66"/>
    <w:rsid w:val="00E14CA7"/>
    <w:rsid w:val="00E1541B"/>
    <w:rsid w:val="00E20A93"/>
    <w:rsid w:val="00E21FC4"/>
    <w:rsid w:val="00E22E5A"/>
    <w:rsid w:val="00E23CA1"/>
    <w:rsid w:val="00E2459B"/>
    <w:rsid w:val="00E25519"/>
    <w:rsid w:val="00E25630"/>
    <w:rsid w:val="00E27113"/>
    <w:rsid w:val="00E3213B"/>
    <w:rsid w:val="00E32496"/>
    <w:rsid w:val="00E34F89"/>
    <w:rsid w:val="00E36D65"/>
    <w:rsid w:val="00E40613"/>
    <w:rsid w:val="00E409A8"/>
    <w:rsid w:val="00E417BB"/>
    <w:rsid w:val="00E4279D"/>
    <w:rsid w:val="00E452AF"/>
    <w:rsid w:val="00E503D2"/>
    <w:rsid w:val="00E50C12"/>
    <w:rsid w:val="00E51039"/>
    <w:rsid w:val="00E516F0"/>
    <w:rsid w:val="00E520F7"/>
    <w:rsid w:val="00E52305"/>
    <w:rsid w:val="00E52EAB"/>
    <w:rsid w:val="00E54207"/>
    <w:rsid w:val="00E54FEA"/>
    <w:rsid w:val="00E56B7F"/>
    <w:rsid w:val="00E62B5B"/>
    <w:rsid w:val="00E64A17"/>
    <w:rsid w:val="00E6505A"/>
    <w:rsid w:val="00E65B91"/>
    <w:rsid w:val="00E65E9B"/>
    <w:rsid w:val="00E65FF7"/>
    <w:rsid w:val="00E66CE1"/>
    <w:rsid w:val="00E7209D"/>
    <w:rsid w:val="00E736CF"/>
    <w:rsid w:val="00E75F0C"/>
    <w:rsid w:val="00E77223"/>
    <w:rsid w:val="00E81B54"/>
    <w:rsid w:val="00E82E2F"/>
    <w:rsid w:val="00E83CC9"/>
    <w:rsid w:val="00E8516C"/>
    <w:rsid w:val="00E8528B"/>
    <w:rsid w:val="00E85911"/>
    <w:rsid w:val="00E85B94"/>
    <w:rsid w:val="00E906AA"/>
    <w:rsid w:val="00E924CA"/>
    <w:rsid w:val="00E92A25"/>
    <w:rsid w:val="00E94C06"/>
    <w:rsid w:val="00E97357"/>
    <w:rsid w:val="00E978D0"/>
    <w:rsid w:val="00EA2096"/>
    <w:rsid w:val="00EA24FE"/>
    <w:rsid w:val="00EA4613"/>
    <w:rsid w:val="00EA71B7"/>
    <w:rsid w:val="00EA7881"/>
    <w:rsid w:val="00EA7F91"/>
    <w:rsid w:val="00EB1523"/>
    <w:rsid w:val="00EB186E"/>
    <w:rsid w:val="00EB1898"/>
    <w:rsid w:val="00EB4730"/>
    <w:rsid w:val="00EB516E"/>
    <w:rsid w:val="00EB7111"/>
    <w:rsid w:val="00EB74A7"/>
    <w:rsid w:val="00EC0D38"/>
    <w:rsid w:val="00EC0E49"/>
    <w:rsid w:val="00EC16EB"/>
    <w:rsid w:val="00EC1EAC"/>
    <w:rsid w:val="00EC1ED2"/>
    <w:rsid w:val="00EC3BF7"/>
    <w:rsid w:val="00EC4E39"/>
    <w:rsid w:val="00EC6199"/>
    <w:rsid w:val="00EC664E"/>
    <w:rsid w:val="00EC7B89"/>
    <w:rsid w:val="00ED42BF"/>
    <w:rsid w:val="00ED5663"/>
    <w:rsid w:val="00ED5A2F"/>
    <w:rsid w:val="00ED6515"/>
    <w:rsid w:val="00ED7100"/>
    <w:rsid w:val="00EE0131"/>
    <w:rsid w:val="00EE1727"/>
    <w:rsid w:val="00EF10A9"/>
    <w:rsid w:val="00EF2394"/>
    <w:rsid w:val="00EF277E"/>
    <w:rsid w:val="00EF2F15"/>
    <w:rsid w:val="00EF3247"/>
    <w:rsid w:val="00F01211"/>
    <w:rsid w:val="00F07BDB"/>
    <w:rsid w:val="00F12579"/>
    <w:rsid w:val="00F14F1F"/>
    <w:rsid w:val="00F2432C"/>
    <w:rsid w:val="00F25954"/>
    <w:rsid w:val="00F30C64"/>
    <w:rsid w:val="00F32CDB"/>
    <w:rsid w:val="00F348B8"/>
    <w:rsid w:val="00F3517C"/>
    <w:rsid w:val="00F36B4D"/>
    <w:rsid w:val="00F4100C"/>
    <w:rsid w:val="00F44643"/>
    <w:rsid w:val="00F47811"/>
    <w:rsid w:val="00F522C3"/>
    <w:rsid w:val="00F618C2"/>
    <w:rsid w:val="00F63A70"/>
    <w:rsid w:val="00F708D3"/>
    <w:rsid w:val="00F71218"/>
    <w:rsid w:val="00F71947"/>
    <w:rsid w:val="00F747DC"/>
    <w:rsid w:val="00F806B9"/>
    <w:rsid w:val="00F8264E"/>
    <w:rsid w:val="00F83BBD"/>
    <w:rsid w:val="00F84402"/>
    <w:rsid w:val="00F84588"/>
    <w:rsid w:val="00F85710"/>
    <w:rsid w:val="00F863D3"/>
    <w:rsid w:val="00F94057"/>
    <w:rsid w:val="00FA03E3"/>
    <w:rsid w:val="00FA0D86"/>
    <w:rsid w:val="00FA21D0"/>
    <w:rsid w:val="00FA5F5F"/>
    <w:rsid w:val="00FA71E9"/>
    <w:rsid w:val="00FA7D4F"/>
    <w:rsid w:val="00FB25A6"/>
    <w:rsid w:val="00FB2868"/>
    <w:rsid w:val="00FB43FC"/>
    <w:rsid w:val="00FB730C"/>
    <w:rsid w:val="00FB78C2"/>
    <w:rsid w:val="00FB7BA1"/>
    <w:rsid w:val="00FC2695"/>
    <w:rsid w:val="00FC3558"/>
    <w:rsid w:val="00FC3E03"/>
    <w:rsid w:val="00FC3FC1"/>
    <w:rsid w:val="00FC4F13"/>
    <w:rsid w:val="00FD01FC"/>
    <w:rsid w:val="00FD2782"/>
    <w:rsid w:val="00FD4291"/>
    <w:rsid w:val="00FE0531"/>
    <w:rsid w:val="00FE0F93"/>
    <w:rsid w:val="00FE1046"/>
    <w:rsid w:val="00FE1D60"/>
    <w:rsid w:val="00FE2111"/>
    <w:rsid w:val="00FE345B"/>
    <w:rsid w:val="00FE480D"/>
    <w:rsid w:val="00FE58B5"/>
    <w:rsid w:val="00FE7AC3"/>
    <w:rsid w:val="00FE7E45"/>
    <w:rsid w:val="00FF1485"/>
    <w:rsid w:val="00FF350D"/>
    <w:rsid w:val="00FF360C"/>
    <w:rsid w:val="00FF458A"/>
    <w:rsid w:val="00FF68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4E82E8B0-245C-4303-BBCC-FABD8B7B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455F12"/>
    <w:pPr>
      <w:tabs>
        <w:tab w:val="right" w:pos="7100"/>
      </w:tabs>
      <w:spacing w:after="0" w:line="264" w:lineRule="auto"/>
      <w:jc w:val="both"/>
    </w:pPr>
    <w:rPr>
      <w:rFonts w:ascii="Arial" w:eastAsia="Times New Roman" w:hAnsi="Arial" w:cs="Times New Roman"/>
      <w:sz w:val="18"/>
      <w:szCs w:val="20"/>
      <w:lang w:val="en-GB"/>
    </w:rPr>
  </w:style>
  <w:style w:type="paragraph" w:customStyle="1" w:styleId="CETheadingx">
    <w:name w:val="CET headingx"/>
    <w:next w:val="CETBodytext"/>
    <w:link w:val="CETheadingxCarattere"/>
    <w:autoRedefine/>
    <w:qFormat/>
    <w:rsid w:val="00AA1DC8"/>
    <w:pPr>
      <w:keepNext/>
      <w:numPr>
        <w:ilvl w:val="2"/>
        <w:numId w:val="1"/>
      </w:numPr>
      <w:suppressAutoHyphens/>
      <w:spacing w:before="120" w:after="120" w:line="240" w:lineRule="auto"/>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455F12"/>
    <w:rPr>
      <w:rFonts w:ascii="Arial" w:eastAsia="Times New Roman" w:hAnsi="Arial" w:cs="Times New Roman"/>
      <w:sz w:val="18"/>
      <w:szCs w:val="20"/>
      <w:lang w:val="en-GB"/>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A1DC8"/>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C56509"/>
    <w:pPr>
      <w:tabs>
        <w:tab w:val="clear" w:pos="7100"/>
      </w:tabs>
      <w:spacing w:after="160" w:line="360" w:lineRule="auto"/>
      <w:contextualSpacing/>
    </w:pPr>
    <w:rPr>
      <w:rFonts w:ascii="Times New Roman" w:eastAsia="Calibri" w:hAnsi="Times New Roman"/>
      <w:sz w:val="24"/>
      <w:szCs w:val="24"/>
      <w:lang w:val="en-US"/>
    </w:rPr>
  </w:style>
  <w:style w:type="paragraph" w:styleId="Nessunaspaziatura">
    <w:name w:val="No Spacing"/>
    <w:uiPriority w:val="1"/>
    <w:qFormat/>
    <w:rsid w:val="00FE2111"/>
    <w:pPr>
      <w:tabs>
        <w:tab w:val="right" w:pos="7100"/>
      </w:tabs>
      <w:spacing w:after="0" w:line="240" w:lineRule="auto"/>
      <w:jc w:val="both"/>
    </w:pPr>
    <w:rPr>
      <w:rFonts w:ascii="Arial" w:eastAsia="Times New Roman" w:hAnsi="Arial" w:cs="Times New Roman"/>
      <w:sz w:val="18"/>
      <w:szCs w:val="20"/>
      <w:lang w:val="en-GB"/>
    </w:rPr>
  </w:style>
  <w:style w:type="paragraph" w:customStyle="1" w:styleId="Stile1">
    <w:name w:val="Stile1"/>
    <w:basedOn w:val="CETheadingx"/>
    <w:link w:val="Stile1Carattere"/>
    <w:rsid w:val="00C57556"/>
    <w:pPr>
      <w:numPr>
        <w:ilvl w:val="0"/>
        <w:numId w:val="26"/>
      </w:numPr>
    </w:pPr>
  </w:style>
  <w:style w:type="character" w:customStyle="1" w:styleId="Stile1Carattere">
    <w:name w:val="Stile1 Carattere"/>
    <w:basedOn w:val="CETheadingxCarattere"/>
    <w:link w:val="Stile1"/>
    <w:rsid w:val="00C57556"/>
    <w:rPr>
      <w:rFonts w:ascii="Arial" w:eastAsia="Times New Roman" w:hAnsi="Arial" w:cs="Times New Roman"/>
      <w:b/>
      <w:sz w:val="18"/>
      <w:szCs w:val="20"/>
      <w:lang w:val="en-GB"/>
    </w:rPr>
  </w:style>
  <w:style w:type="paragraph" w:customStyle="1" w:styleId="Stile2">
    <w:name w:val="Stile2"/>
    <w:basedOn w:val="CETheadingx"/>
    <w:link w:val="Stile2Carattere"/>
    <w:rsid w:val="00AA1DC8"/>
  </w:style>
  <w:style w:type="character" w:customStyle="1" w:styleId="Stile2Carattere">
    <w:name w:val="Stile2 Carattere"/>
    <w:basedOn w:val="CETheadingxCarattere"/>
    <w:link w:val="Stile2"/>
    <w:rsid w:val="00AA1DC8"/>
    <w:rPr>
      <w:rFonts w:ascii="Arial" w:eastAsia="Times New Roman" w:hAnsi="Arial" w:cs="Times New Roman"/>
      <w:b/>
      <w:sz w:val="18"/>
      <w:szCs w:val="20"/>
      <w:lang w:val="en-GB"/>
    </w:rPr>
  </w:style>
  <w:style w:type="paragraph" w:styleId="Revisione">
    <w:name w:val="Revision"/>
    <w:hidden/>
    <w:uiPriority w:val="99"/>
    <w:semiHidden/>
    <w:rsid w:val="00CA5ADF"/>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B3101B"/>
    <w:rPr>
      <w:color w:val="605E5C"/>
      <w:shd w:val="clear" w:color="auto" w:fill="E1DFDD"/>
    </w:rPr>
  </w:style>
  <w:style w:type="character" w:styleId="Testosegnaposto">
    <w:name w:val="Placeholder Text"/>
    <w:basedOn w:val="Carpredefinitoparagrafo"/>
    <w:uiPriority w:val="99"/>
    <w:semiHidden/>
    <w:rsid w:val="00341F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900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27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271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0576-EE85-410A-A3B6-1FA22416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14380</Words>
  <Characters>81970</Characters>
  <Application>Microsoft Office Word</Application>
  <DocSecurity>0</DocSecurity>
  <Lines>683</Lines>
  <Paragraphs>192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96158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Giacomo Domenico Scolieri</cp:lastModifiedBy>
  <cp:revision>6</cp:revision>
  <cp:lastPrinted>2015-05-12T18:31:00Z</cp:lastPrinted>
  <dcterms:created xsi:type="dcterms:W3CDTF">2024-05-27T09:18:00Z</dcterms:created>
  <dcterms:modified xsi:type="dcterms:W3CDTF">2024-07-09T12:48:00Z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b5eb034c-da89-33c7-a78c-da056ff3b402</vt:lpwstr>
  </property>
  <property fmtid="{D5CDD505-2E9C-101B-9397-08002B2CF9AE}" pid="27" name="GrammarlyDocumentId">
    <vt:lpwstr>98f27eaeb2f78017ce39bb420826c00490675ea8d99c78b46d93047fcd10a529</vt:lpwstr>
  </property>
</Properties>
</file>