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0D74A3" w14:paraId="2A131A54" w14:textId="77777777" w:rsidTr="00DE264A">
        <w:trPr>
          <w:trHeight w:val="852"/>
          <w:jc w:val="center"/>
        </w:trPr>
        <w:tc>
          <w:tcPr>
            <w:tcW w:w="6946" w:type="dxa"/>
            <w:vMerge w:val="restart"/>
            <w:tcBorders>
              <w:right w:val="single" w:sz="4" w:space="0" w:color="auto"/>
            </w:tcBorders>
          </w:tcPr>
          <w:p w14:paraId="38C3D2BA" w14:textId="679F956F" w:rsidR="000A03B2" w:rsidRPr="000D74A3" w:rsidRDefault="000A03B2" w:rsidP="00DE264A">
            <w:pPr>
              <w:tabs>
                <w:tab w:val="left" w:pos="-108"/>
              </w:tabs>
              <w:ind w:left="-108"/>
              <w:jc w:val="left"/>
              <w:rPr>
                <w:rFonts w:cs="Arial"/>
                <w:b/>
                <w:bCs/>
                <w:i/>
                <w:iCs/>
                <w:color w:val="000066"/>
                <w:sz w:val="12"/>
                <w:szCs w:val="12"/>
                <w:lang w:eastAsia="it-IT"/>
              </w:rPr>
            </w:pPr>
            <w:r w:rsidRPr="000D74A3">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0D74A3">
              <w:rPr>
                <w:rFonts w:ascii="AdvP6960" w:hAnsi="AdvP6960" w:cs="AdvP6960"/>
                <w:color w:val="241F20"/>
                <w:szCs w:val="18"/>
                <w:lang w:eastAsia="it-IT"/>
              </w:rPr>
              <w:t xml:space="preserve"> </w:t>
            </w:r>
            <w:r w:rsidRPr="000D74A3">
              <w:rPr>
                <w:rFonts w:cs="Arial"/>
                <w:b/>
                <w:bCs/>
                <w:i/>
                <w:iCs/>
                <w:color w:val="000066"/>
                <w:sz w:val="24"/>
                <w:szCs w:val="24"/>
                <w:lang w:eastAsia="it-IT"/>
              </w:rPr>
              <w:t>CHEMICAL ENGINEERING</w:t>
            </w:r>
            <w:r w:rsidRPr="000D74A3">
              <w:rPr>
                <w:rFonts w:cs="Arial"/>
                <w:b/>
                <w:bCs/>
                <w:i/>
                <w:iCs/>
                <w:color w:val="0033FF"/>
                <w:sz w:val="24"/>
                <w:szCs w:val="24"/>
                <w:lang w:eastAsia="it-IT"/>
              </w:rPr>
              <w:t xml:space="preserve"> </w:t>
            </w:r>
            <w:r w:rsidRPr="000D74A3">
              <w:rPr>
                <w:rFonts w:cs="Arial"/>
                <w:b/>
                <w:bCs/>
                <w:i/>
                <w:iCs/>
                <w:color w:val="666666"/>
                <w:sz w:val="24"/>
                <w:szCs w:val="24"/>
                <w:lang w:eastAsia="it-IT"/>
              </w:rPr>
              <w:t>TRANSACTIONS</w:t>
            </w:r>
            <w:r w:rsidRPr="000D74A3">
              <w:rPr>
                <w:color w:val="333333"/>
                <w:sz w:val="24"/>
                <w:szCs w:val="24"/>
                <w:lang w:eastAsia="it-IT"/>
              </w:rPr>
              <w:t xml:space="preserve"> </w:t>
            </w:r>
            <w:r w:rsidRPr="000D74A3">
              <w:rPr>
                <w:rFonts w:cs="Arial"/>
                <w:b/>
                <w:bCs/>
                <w:i/>
                <w:iCs/>
                <w:color w:val="000066"/>
                <w:sz w:val="27"/>
                <w:szCs w:val="27"/>
                <w:lang w:eastAsia="it-IT"/>
              </w:rPr>
              <w:br/>
            </w:r>
          </w:p>
          <w:p w14:paraId="4B780582" w14:textId="5F8359E8" w:rsidR="000A03B2" w:rsidRPr="000D74A3" w:rsidRDefault="00A76EFC" w:rsidP="00EC1D9F">
            <w:pPr>
              <w:tabs>
                <w:tab w:val="left" w:pos="-108"/>
              </w:tabs>
              <w:ind w:left="-108"/>
              <w:rPr>
                <w:rFonts w:cs="Arial"/>
                <w:b/>
                <w:bCs/>
                <w:i/>
                <w:iCs/>
                <w:color w:val="000066"/>
                <w:sz w:val="22"/>
                <w:szCs w:val="22"/>
                <w:lang w:eastAsia="it-IT"/>
              </w:rPr>
            </w:pPr>
            <w:r w:rsidRPr="000D74A3">
              <w:rPr>
                <w:rFonts w:cs="Arial"/>
                <w:b/>
                <w:bCs/>
                <w:i/>
                <w:iCs/>
                <w:color w:val="000066"/>
                <w:sz w:val="22"/>
                <w:szCs w:val="22"/>
                <w:lang w:eastAsia="it-IT"/>
              </w:rPr>
              <w:t xml:space="preserve">VOL. </w:t>
            </w:r>
            <w:r w:rsidR="009716C0" w:rsidRPr="000D74A3">
              <w:rPr>
                <w:rFonts w:cs="Arial"/>
                <w:b/>
                <w:bCs/>
                <w:i/>
                <w:iCs/>
                <w:color w:val="000066"/>
                <w:sz w:val="22"/>
                <w:szCs w:val="22"/>
                <w:lang w:eastAsia="it-IT"/>
              </w:rPr>
              <w:t>xxx</w:t>
            </w:r>
            <w:r w:rsidR="00FA5F5F" w:rsidRPr="000D74A3">
              <w:rPr>
                <w:rFonts w:cs="Arial"/>
                <w:b/>
                <w:bCs/>
                <w:i/>
                <w:iCs/>
                <w:color w:val="000066"/>
                <w:sz w:val="22"/>
                <w:szCs w:val="22"/>
                <w:lang w:eastAsia="it-IT"/>
              </w:rPr>
              <w:t>, 20</w:t>
            </w:r>
            <w:r w:rsidR="00DF5072" w:rsidRPr="000D74A3">
              <w:rPr>
                <w:rFonts w:cs="Arial"/>
                <w:b/>
                <w:bCs/>
                <w:i/>
                <w:iCs/>
                <w:color w:val="000066"/>
                <w:sz w:val="22"/>
                <w:szCs w:val="22"/>
                <w:lang w:eastAsia="it-IT"/>
              </w:rPr>
              <w:t>2</w:t>
            </w:r>
            <w:r w:rsidR="009716C0" w:rsidRPr="000D74A3">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0D74A3" w:rsidRDefault="000A03B2" w:rsidP="00CD5FE2">
            <w:pPr>
              <w:spacing w:line="140" w:lineRule="atLeast"/>
              <w:jc w:val="right"/>
              <w:rPr>
                <w:rFonts w:cs="Arial"/>
                <w:sz w:val="14"/>
                <w:szCs w:val="14"/>
              </w:rPr>
            </w:pPr>
            <w:r w:rsidRPr="000D74A3">
              <w:rPr>
                <w:rFonts w:cs="Arial"/>
                <w:sz w:val="14"/>
                <w:szCs w:val="14"/>
              </w:rPr>
              <w:t>A publication of</w:t>
            </w:r>
          </w:p>
          <w:p w14:paraId="599E5441" w14:textId="77777777" w:rsidR="000A03B2" w:rsidRPr="000D74A3" w:rsidRDefault="000A03B2" w:rsidP="00CD5FE2">
            <w:pPr>
              <w:jc w:val="right"/>
            </w:pPr>
            <w:r w:rsidRPr="000D74A3">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0D74A3" w14:paraId="380FA3CD" w14:textId="77777777" w:rsidTr="00DE264A">
        <w:trPr>
          <w:trHeight w:val="567"/>
          <w:jc w:val="center"/>
        </w:trPr>
        <w:tc>
          <w:tcPr>
            <w:tcW w:w="6946" w:type="dxa"/>
            <w:vMerge/>
            <w:tcBorders>
              <w:right w:val="single" w:sz="4" w:space="0" w:color="auto"/>
            </w:tcBorders>
          </w:tcPr>
          <w:p w14:paraId="39E5E4C1" w14:textId="77777777" w:rsidR="000A03B2" w:rsidRPr="000D74A3"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0D74A3" w:rsidRDefault="000A03B2" w:rsidP="00CD5FE2">
            <w:pPr>
              <w:spacing w:line="140" w:lineRule="atLeast"/>
              <w:jc w:val="right"/>
              <w:rPr>
                <w:rFonts w:cs="Arial"/>
                <w:sz w:val="14"/>
                <w:szCs w:val="14"/>
              </w:rPr>
            </w:pPr>
            <w:r w:rsidRPr="000D74A3">
              <w:rPr>
                <w:rFonts w:cs="Arial"/>
                <w:sz w:val="14"/>
                <w:szCs w:val="14"/>
              </w:rPr>
              <w:t>The Italian Association</w:t>
            </w:r>
          </w:p>
          <w:p w14:paraId="7522B1D2" w14:textId="77777777" w:rsidR="000A03B2" w:rsidRPr="000D74A3" w:rsidRDefault="000A03B2" w:rsidP="00CD5FE2">
            <w:pPr>
              <w:spacing w:line="140" w:lineRule="atLeast"/>
              <w:jc w:val="right"/>
              <w:rPr>
                <w:rFonts w:cs="Arial"/>
                <w:sz w:val="14"/>
                <w:szCs w:val="14"/>
              </w:rPr>
            </w:pPr>
            <w:r w:rsidRPr="000D74A3">
              <w:rPr>
                <w:rFonts w:cs="Arial"/>
                <w:sz w:val="14"/>
                <w:szCs w:val="14"/>
              </w:rPr>
              <w:t>of Chemical Engineering</w:t>
            </w:r>
          </w:p>
          <w:p w14:paraId="4F0CC5DE" w14:textId="47FDB2FC" w:rsidR="000A03B2" w:rsidRPr="000D74A3" w:rsidRDefault="000D0268" w:rsidP="00CD5FE2">
            <w:pPr>
              <w:spacing w:line="140" w:lineRule="atLeast"/>
              <w:jc w:val="right"/>
              <w:rPr>
                <w:rFonts w:cs="Arial"/>
                <w:sz w:val="13"/>
                <w:szCs w:val="13"/>
              </w:rPr>
            </w:pPr>
            <w:r w:rsidRPr="000D74A3">
              <w:rPr>
                <w:rFonts w:cs="Arial"/>
                <w:sz w:val="13"/>
                <w:szCs w:val="13"/>
              </w:rPr>
              <w:t>Online at www.cetjournal.it</w:t>
            </w:r>
          </w:p>
        </w:tc>
      </w:tr>
      <w:tr w:rsidR="000A03B2" w:rsidRPr="000D74A3" w14:paraId="2D1B7169" w14:textId="77777777" w:rsidTr="00DE264A">
        <w:trPr>
          <w:trHeight w:val="68"/>
          <w:jc w:val="center"/>
        </w:trPr>
        <w:tc>
          <w:tcPr>
            <w:tcW w:w="8789" w:type="dxa"/>
            <w:gridSpan w:val="2"/>
          </w:tcPr>
          <w:p w14:paraId="4B0BB442" w14:textId="2DAB152D" w:rsidR="00300E56" w:rsidRPr="00004774" w:rsidRDefault="00300E56" w:rsidP="007931FA">
            <w:pPr>
              <w:ind w:left="-107"/>
              <w:rPr>
                <w:rFonts w:ascii="Times New Roman" w:hAnsi="Times New Roman"/>
                <w:sz w:val="24"/>
                <w:szCs w:val="24"/>
                <w:lang w:val="it-IT" w:eastAsia="it-IT"/>
              </w:rPr>
            </w:pPr>
            <w:r w:rsidRPr="00004774">
              <w:rPr>
                <w:rFonts w:ascii="Tahoma" w:hAnsi="Tahoma" w:cs="Tahoma"/>
                <w:iCs/>
                <w:color w:val="333333"/>
                <w:sz w:val="14"/>
                <w:szCs w:val="14"/>
                <w:lang w:val="it-IT" w:eastAsia="it-IT"/>
              </w:rPr>
              <w:t>Guest Editors:</w:t>
            </w:r>
            <w:r w:rsidR="00904C62" w:rsidRPr="00004774">
              <w:rPr>
                <w:rFonts w:ascii="Tahoma" w:hAnsi="Tahoma" w:cs="Tahoma"/>
                <w:iCs/>
                <w:color w:val="333333"/>
                <w:sz w:val="14"/>
                <w:szCs w:val="14"/>
                <w:lang w:val="it-IT" w:eastAsia="it-IT"/>
              </w:rPr>
              <w:t xml:space="preserve"> </w:t>
            </w:r>
            <w:r w:rsidR="00EC1D9F" w:rsidRPr="00004774">
              <w:rPr>
                <w:rFonts w:ascii="Tahoma" w:hAnsi="Tahoma" w:cs="Tahoma"/>
                <w:iCs/>
                <w:color w:val="333333"/>
                <w:sz w:val="14"/>
                <w:szCs w:val="14"/>
                <w:lang w:val="it-IT" w:eastAsia="it-IT"/>
              </w:rPr>
              <w:t>Selena Sironi, Laura Capelli</w:t>
            </w:r>
          </w:p>
          <w:p w14:paraId="1B0F1814" w14:textId="300FE2D7" w:rsidR="000A03B2" w:rsidRPr="000D74A3" w:rsidRDefault="00FA5F5F" w:rsidP="00EC1D9F">
            <w:pPr>
              <w:tabs>
                <w:tab w:val="left" w:pos="-108"/>
              </w:tabs>
              <w:spacing w:line="140" w:lineRule="atLeast"/>
              <w:ind w:left="-107"/>
              <w:jc w:val="left"/>
            </w:pPr>
            <w:r w:rsidRPr="000D74A3">
              <w:rPr>
                <w:rFonts w:ascii="Tahoma" w:hAnsi="Tahoma" w:cs="Tahoma"/>
                <w:iCs/>
                <w:color w:val="333333"/>
                <w:sz w:val="14"/>
                <w:szCs w:val="14"/>
                <w:lang w:eastAsia="it-IT"/>
              </w:rPr>
              <w:t>Copyright © 20</w:t>
            </w:r>
            <w:r w:rsidR="00DF5072" w:rsidRPr="000D74A3">
              <w:rPr>
                <w:rFonts w:ascii="Tahoma" w:hAnsi="Tahoma" w:cs="Tahoma"/>
                <w:iCs/>
                <w:color w:val="333333"/>
                <w:sz w:val="14"/>
                <w:szCs w:val="14"/>
                <w:lang w:eastAsia="it-IT"/>
              </w:rPr>
              <w:t>2</w:t>
            </w:r>
            <w:r w:rsidR="009716C0" w:rsidRPr="000D74A3">
              <w:rPr>
                <w:rFonts w:ascii="Tahoma" w:hAnsi="Tahoma" w:cs="Tahoma"/>
                <w:iCs/>
                <w:color w:val="333333"/>
                <w:sz w:val="14"/>
                <w:szCs w:val="14"/>
                <w:lang w:eastAsia="it-IT"/>
              </w:rPr>
              <w:t>4</w:t>
            </w:r>
            <w:r w:rsidR="00904C62" w:rsidRPr="000D74A3">
              <w:rPr>
                <w:rFonts w:ascii="Tahoma" w:hAnsi="Tahoma" w:cs="Tahoma"/>
                <w:iCs/>
                <w:color w:val="333333"/>
                <w:sz w:val="14"/>
                <w:szCs w:val="14"/>
                <w:lang w:eastAsia="it-IT"/>
              </w:rPr>
              <w:t xml:space="preserve">, AIDIC </w:t>
            </w:r>
            <w:proofErr w:type="spellStart"/>
            <w:r w:rsidR="00904C62" w:rsidRPr="000D74A3">
              <w:rPr>
                <w:rFonts w:ascii="Tahoma" w:hAnsi="Tahoma" w:cs="Tahoma"/>
                <w:iCs/>
                <w:color w:val="333333"/>
                <w:sz w:val="14"/>
                <w:szCs w:val="14"/>
                <w:lang w:eastAsia="it-IT"/>
              </w:rPr>
              <w:t>Servizi</w:t>
            </w:r>
            <w:proofErr w:type="spellEnd"/>
            <w:r w:rsidR="00904C62" w:rsidRPr="000D74A3">
              <w:rPr>
                <w:rFonts w:ascii="Tahoma" w:hAnsi="Tahoma" w:cs="Tahoma"/>
                <w:iCs/>
                <w:color w:val="333333"/>
                <w:sz w:val="14"/>
                <w:szCs w:val="14"/>
                <w:lang w:eastAsia="it-IT"/>
              </w:rPr>
              <w:t xml:space="preserve"> </w:t>
            </w:r>
            <w:proofErr w:type="spellStart"/>
            <w:r w:rsidR="00904C62" w:rsidRPr="000D74A3">
              <w:rPr>
                <w:rFonts w:ascii="Tahoma" w:hAnsi="Tahoma" w:cs="Tahoma"/>
                <w:iCs/>
                <w:color w:val="333333"/>
                <w:sz w:val="14"/>
                <w:szCs w:val="14"/>
                <w:lang w:eastAsia="it-IT"/>
              </w:rPr>
              <w:t>S.r.l</w:t>
            </w:r>
            <w:proofErr w:type="spellEnd"/>
            <w:r w:rsidR="00904C62" w:rsidRPr="000D74A3">
              <w:rPr>
                <w:rFonts w:ascii="Tahoma" w:hAnsi="Tahoma" w:cs="Tahoma"/>
                <w:iCs/>
                <w:color w:val="333333"/>
                <w:sz w:val="14"/>
                <w:szCs w:val="14"/>
                <w:lang w:eastAsia="it-IT"/>
              </w:rPr>
              <w:t>.</w:t>
            </w:r>
            <w:r w:rsidR="00300E56" w:rsidRPr="000D74A3">
              <w:rPr>
                <w:rFonts w:ascii="Tahoma" w:hAnsi="Tahoma" w:cs="Tahoma"/>
                <w:iCs/>
                <w:color w:val="333333"/>
                <w:sz w:val="14"/>
                <w:szCs w:val="14"/>
                <w:lang w:eastAsia="it-IT"/>
              </w:rPr>
              <w:br/>
            </w:r>
            <w:r w:rsidR="00300E56" w:rsidRPr="000D74A3">
              <w:rPr>
                <w:rFonts w:ascii="Tahoma" w:hAnsi="Tahoma" w:cs="Tahoma"/>
                <w:b/>
                <w:iCs/>
                <w:color w:val="000000"/>
                <w:sz w:val="14"/>
                <w:szCs w:val="14"/>
                <w:lang w:eastAsia="it-IT"/>
              </w:rPr>
              <w:t>ISBN</w:t>
            </w:r>
            <w:r w:rsidR="00300E56" w:rsidRPr="000D74A3">
              <w:rPr>
                <w:rFonts w:ascii="Tahoma" w:hAnsi="Tahoma" w:cs="Tahoma"/>
                <w:iCs/>
                <w:color w:val="000000"/>
                <w:sz w:val="14"/>
                <w:szCs w:val="14"/>
                <w:lang w:eastAsia="it-IT"/>
              </w:rPr>
              <w:t xml:space="preserve"> </w:t>
            </w:r>
            <w:r w:rsidR="009716C0" w:rsidRPr="000D74A3">
              <w:rPr>
                <w:rFonts w:ascii="Tahoma" w:hAnsi="Tahoma" w:cs="Tahoma"/>
                <w:sz w:val="14"/>
                <w:szCs w:val="14"/>
              </w:rPr>
              <w:t>979-12-81206-13-7</w:t>
            </w:r>
            <w:r w:rsidR="00300E56" w:rsidRPr="000D74A3">
              <w:rPr>
                <w:rFonts w:ascii="Tahoma" w:hAnsi="Tahoma" w:cs="Tahoma"/>
                <w:iCs/>
                <w:color w:val="333333"/>
                <w:sz w:val="14"/>
                <w:szCs w:val="14"/>
                <w:lang w:eastAsia="it-IT"/>
              </w:rPr>
              <w:t xml:space="preserve">; </w:t>
            </w:r>
            <w:r w:rsidR="00300E56" w:rsidRPr="000D74A3">
              <w:rPr>
                <w:rFonts w:ascii="Tahoma" w:hAnsi="Tahoma" w:cs="Tahoma"/>
                <w:b/>
                <w:iCs/>
                <w:color w:val="333333"/>
                <w:sz w:val="14"/>
                <w:szCs w:val="14"/>
                <w:lang w:eastAsia="it-IT"/>
              </w:rPr>
              <w:t>ISSN</w:t>
            </w:r>
            <w:r w:rsidR="00300E56" w:rsidRPr="000D74A3">
              <w:rPr>
                <w:rFonts w:ascii="Tahoma" w:hAnsi="Tahoma" w:cs="Tahoma"/>
                <w:iCs/>
                <w:color w:val="333333"/>
                <w:sz w:val="14"/>
                <w:szCs w:val="14"/>
                <w:lang w:eastAsia="it-IT"/>
              </w:rPr>
              <w:t xml:space="preserve"> 2283-9216</w:t>
            </w:r>
          </w:p>
        </w:tc>
      </w:tr>
    </w:tbl>
    <w:p w14:paraId="10DAA130" w14:textId="77777777" w:rsidR="000A03B2" w:rsidRPr="000D74A3" w:rsidRDefault="000A03B2" w:rsidP="000A03B2">
      <w:pPr>
        <w:pStyle w:val="CETAuthors"/>
        <w:rPr>
          <w:noProof w:val="0"/>
        </w:rPr>
        <w:sectPr w:rsidR="000A03B2" w:rsidRPr="000D74A3" w:rsidSect="00233C11">
          <w:type w:val="continuous"/>
          <w:pgSz w:w="11906" w:h="16838" w:code="9"/>
          <w:pgMar w:top="1701" w:right="1418" w:bottom="1701" w:left="1701" w:header="1701" w:footer="0" w:gutter="0"/>
          <w:cols w:space="708"/>
          <w:titlePg/>
          <w:docGrid w:linePitch="360"/>
        </w:sectPr>
      </w:pPr>
    </w:p>
    <w:p w14:paraId="593B6DCA" w14:textId="023C7010" w:rsidR="00802D0B" w:rsidRPr="000D74A3" w:rsidRDefault="00F62CD0" w:rsidP="00802D0B">
      <w:pPr>
        <w:pStyle w:val="CETAuthors"/>
        <w:jc w:val="center"/>
        <w:rPr>
          <w:noProof w:val="0"/>
          <w:sz w:val="32"/>
        </w:rPr>
      </w:pPr>
      <w:r w:rsidRPr="00F62CD0">
        <w:rPr>
          <w:noProof w:val="0"/>
          <w:sz w:val="32"/>
        </w:rPr>
        <w:t>New guidelines in Italy for the regulation of odour emissions</w:t>
      </w:r>
      <w:r w:rsidR="00DD3BC1" w:rsidRPr="000D74A3">
        <w:rPr>
          <w:noProof w:val="0"/>
          <w:sz w:val="32"/>
        </w:rPr>
        <w:t xml:space="preserve"> </w:t>
      </w:r>
    </w:p>
    <w:p w14:paraId="70DDF6C2" w14:textId="1ADCDA28" w:rsidR="00DD3BC1" w:rsidRPr="00493DFA" w:rsidRDefault="00F62CD0" w:rsidP="00AB5011">
      <w:pPr>
        <w:pStyle w:val="CETAuthors"/>
        <w:rPr>
          <w:noProof w:val="0"/>
          <w:lang w:val="it-IT"/>
        </w:rPr>
      </w:pPr>
      <w:r w:rsidRPr="00493DFA">
        <w:rPr>
          <w:noProof w:val="0"/>
          <w:lang w:val="it-IT"/>
        </w:rPr>
        <w:t>Marina Zalin</w:t>
      </w:r>
      <w:r w:rsidR="00DD3BC1" w:rsidRPr="00493DFA">
        <w:rPr>
          <w:noProof w:val="0"/>
          <w:vertAlign w:val="superscript"/>
          <w:lang w:val="it-IT"/>
        </w:rPr>
        <w:t>a</w:t>
      </w:r>
      <w:r w:rsidR="00DD3BC1" w:rsidRPr="00493DFA">
        <w:rPr>
          <w:noProof w:val="0"/>
          <w:lang w:val="it-IT"/>
        </w:rPr>
        <w:t>, Selena Sironi</w:t>
      </w:r>
      <w:r w:rsidRPr="00493DFA">
        <w:rPr>
          <w:noProof w:val="0"/>
          <w:lang w:val="it-IT"/>
        </w:rPr>
        <w:t>*</w:t>
      </w:r>
      <w:r w:rsidRPr="00493DFA">
        <w:rPr>
          <w:noProof w:val="0"/>
          <w:vertAlign w:val="superscript"/>
          <w:lang w:val="it-IT"/>
        </w:rPr>
        <w:t>b</w:t>
      </w:r>
    </w:p>
    <w:p w14:paraId="1EDDDD01" w14:textId="40698A93" w:rsidR="00F62CD0" w:rsidRPr="00493DFA" w:rsidRDefault="00F62CD0" w:rsidP="00E978D0">
      <w:pPr>
        <w:pStyle w:val="CETAddress"/>
        <w:rPr>
          <w:noProof w:val="0"/>
          <w:vertAlign w:val="superscript"/>
          <w:lang w:val="it-IT"/>
        </w:rPr>
      </w:pPr>
      <w:r w:rsidRPr="00493DFA">
        <w:rPr>
          <w:noProof w:val="0"/>
          <w:vertAlign w:val="superscript"/>
          <w:lang w:val="it-IT"/>
        </w:rPr>
        <w:t xml:space="preserve">a </w:t>
      </w:r>
      <w:r w:rsidRPr="00493DFA">
        <w:rPr>
          <w:noProof w:val="0"/>
          <w:lang w:val="it-IT"/>
        </w:rPr>
        <w:t>Butti, Peres, Zalin and Partners – Law Firm</w:t>
      </w:r>
    </w:p>
    <w:p w14:paraId="5053C5A8" w14:textId="33171CD5" w:rsidR="00E978D0" w:rsidRPr="00493DFA" w:rsidRDefault="00F62CD0" w:rsidP="00E978D0">
      <w:pPr>
        <w:pStyle w:val="CETAddress"/>
        <w:rPr>
          <w:noProof w:val="0"/>
          <w:lang w:val="it-IT"/>
        </w:rPr>
      </w:pPr>
      <w:r w:rsidRPr="00493DFA">
        <w:rPr>
          <w:noProof w:val="0"/>
          <w:vertAlign w:val="superscript"/>
          <w:lang w:val="it-IT"/>
        </w:rPr>
        <w:t>b</w:t>
      </w:r>
      <w:r w:rsidR="005D6C53" w:rsidRPr="00493DFA">
        <w:rPr>
          <w:noProof w:val="0"/>
          <w:vertAlign w:val="superscript"/>
          <w:lang w:val="it-IT"/>
        </w:rPr>
        <w:t xml:space="preserve"> </w:t>
      </w:r>
      <w:r w:rsidR="00E269F8" w:rsidRPr="00493DFA">
        <w:rPr>
          <w:noProof w:val="0"/>
          <w:lang w:val="it-IT"/>
        </w:rPr>
        <w:t xml:space="preserve">Politecnico di Milano, Department of Chemistry, Materials and Chemical Engineering “Giulio Natta” - Piazza Leonardo da Vinci 32, 20133 Milano, Italy </w:t>
      </w:r>
    </w:p>
    <w:p w14:paraId="2641720F" w14:textId="25A9E9DA" w:rsidR="00653F1B" w:rsidRPr="00493DFA" w:rsidRDefault="00653F1B" w:rsidP="00E978D0">
      <w:pPr>
        <w:pStyle w:val="CETAddress"/>
        <w:rPr>
          <w:noProof w:val="0"/>
          <w:lang w:val="it-IT"/>
        </w:rPr>
      </w:pPr>
    </w:p>
    <w:p w14:paraId="0127A28D" w14:textId="57175FD8" w:rsidR="00E978D0" w:rsidRPr="000D74A3" w:rsidRDefault="002A358B" w:rsidP="00E978D0">
      <w:pPr>
        <w:pStyle w:val="CETemail"/>
        <w:rPr>
          <w:noProof w:val="0"/>
        </w:rPr>
      </w:pPr>
      <w:r w:rsidRPr="000D74A3">
        <w:rPr>
          <w:noProof w:val="0"/>
        </w:rPr>
        <w:t xml:space="preserve">* </w:t>
      </w:r>
      <w:r w:rsidR="00E269F8" w:rsidRPr="000D74A3">
        <w:rPr>
          <w:noProof w:val="0"/>
        </w:rPr>
        <w:t xml:space="preserve">Corresponding author: </w:t>
      </w:r>
      <w:r w:rsidR="00F62CD0">
        <w:rPr>
          <w:noProof w:val="0"/>
        </w:rPr>
        <w:t xml:space="preserve">Selena Sironi; </w:t>
      </w:r>
      <w:r w:rsidR="00F62CD0" w:rsidRPr="00F62CD0">
        <w:rPr>
          <w:noProof w:val="0"/>
        </w:rPr>
        <w:t>selena.sironi@polimi.it</w:t>
      </w:r>
      <w:r w:rsidR="00E269F8" w:rsidRPr="000D74A3">
        <w:rPr>
          <w:noProof w:val="0"/>
          <w:u w:val="single"/>
        </w:rPr>
        <w:t>;</w:t>
      </w:r>
      <w:r w:rsidR="00E269F8" w:rsidRPr="000D74A3">
        <w:rPr>
          <w:noProof w:val="0"/>
        </w:rPr>
        <w:t xml:space="preserve"> +39 02 2399 32</w:t>
      </w:r>
      <w:r w:rsidR="00F62CD0">
        <w:rPr>
          <w:noProof w:val="0"/>
        </w:rPr>
        <w:t>92</w:t>
      </w:r>
    </w:p>
    <w:p w14:paraId="585CD0CE" w14:textId="7112B158" w:rsidR="00F62CD0" w:rsidRPr="00F62CD0" w:rsidRDefault="00F62CD0" w:rsidP="00F62CD0">
      <w:pPr>
        <w:pStyle w:val="CETBodytext"/>
        <w:rPr>
          <w:rFonts w:cstheme="minorBidi"/>
          <w:lang w:val="en-GB"/>
        </w:rPr>
      </w:pPr>
      <w:r w:rsidRPr="00F62CD0">
        <w:rPr>
          <w:rFonts w:cstheme="minorBidi"/>
          <w:lang w:val="en-GB"/>
        </w:rPr>
        <w:t xml:space="preserve">An Executive Decree was published in Italy on 28 June 2023 by which the Ministry of the Environment and Energy Security </w:t>
      </w:r>
      <w:r>
        <w:rPr>
          <w:rFonts w:cstheme="minorBidi"/>
          <w:lang w:val="en-GB"/>
        </w:rPr>
        <w:t xml:space="preserve">(MASE) </w:t>
      </w:r>
      <w:r w:rsidRPr="00F62CD0">
        <w:rPr>
          <w:rFonts w:cstheme="minorBidi"/>
          <w:lang w:val="en-GB"/>
        </w:rPr>
        <w:t xml:space="preserve">adopted the guidelines for the management of odorous emissions from industrial plants and activities. The document provides a framework to be used in the investigation and decision-making procedures of the authorities responsible for environmental </w:t>
      </w:r>
      <w:r w:rsidR="00800C64">
        <w:rPr>
          <w:rFonts w:cstheme="minorBidi"/>
          <w:lang w:val="en-GB"/>
        </w:rPr>
        <w:t>authorisations</w:t>
      </w:r>
      <w:r w:rsidRPr="00F62CD0">
        <w:rPr>
          <w:rFonts w:cstheme="minorBidi"/>
          <w:lang w:val="en-GB"/>
        </w:rPr>
        <w:t xml:space="preserve"> and for the future development of regional and state legislation. </w:t>
      </w:r>
    </w:p>
    <w:p w14:paraId="05455934" w14:textId="664867DE" w:rsidR="00A010AB" w:rsidRPr="000D74A3" w:rsidRDefault="00F62CD0" w:rsidP="00F62CD0">
      <w:pPr>
        <w:pStyle w:val="CETBodytext"/>
        <w:rPr>
          <w:lang w:val="en-GB"/>
        </w:rPr>
      </w:pPr>
      <w:r w:rsidRPr="00F62CD0">
        <w:rPr>
          <w:rFonts w:cstheme="minorBidi"/>
          <w:lang w:val="en-GB"/>
        </w:rPr>
        <w:t>The guidelines contain criteria and detailed rules for the application of Article 272 bis of Legislative Decree 152/2006, the Italian Environmental Code. After a brief overview of the concept of channelled emissions, diffuse emissions and technically conveyable emissions, with a particular focus on odorous emissions, this paper aims to analyse, from a technical and legal point of view, the main contents of the</w:t>
      </w:r>
      <w:r>
        <w:rPr>
          <w:rFonts w:cstheme="minorBidi"/>
          <w:lang w:val="en-GB"/>
        </w:rPr>
        <w:t>se</w:t>
      </w:r>
      <w:r w:rsidRPr="00F62CD0">
        <w:rPr>
          <w:rFonts w:cstheme="minorBidi"/>
          <w:lang w:val="en-GB"/>
        </w:rPr>
        <w:t xml:space="preserve"> guidelines.</w:t>
      </w:r>
      <w:r>
        <w:rPr>
          <w:rFonts w:cstheme="minorBidi"/>
          <w:lang w:val="en-GB"/>
        </w:rPr>
        <w:t xml:space="preserve"> </w:t>
      </w:r>
    </w:p>
    <w:p w14:paraId="476B2F2E" w14:textId="553F500E" w:rsidR="00600535" w:rsidRPr="000D74A3" w:rsidRDefault="00600535" w:rsidP="00600535">
      <w:pPr>
        <w:pStyle w:val="CETHeading1"/>
        <w:rPr>
          <w:lang w:val="en-GB"/>
        </w:rPr>
      </w:pPr>
      <w:r w:rsidRPr="000D74A3">
        <w:rPr>
          <w:lang w:val="en-GB"/>
        </w:rPr>
        <w:t>Introduction</w:t>
      </w:r>
    </w:p>
    <w:p w14:paraId="753FBCA2" w14:textId="7904E633" w:rsidR="00F62CD0" w:rsidRDefault="00F62CD0" w:rsidP="00F62CD0">
      <w:r>
        <w:t>Odour is a pollutant that can have a significative negative impact on quality of life and economic activity, by, for instance, affecting property values or tourism revenues (</w:t>
      </w:r>
      <w:r w:rsidR="006440DC">
        <w:t xml:space="preserve">Invernizzi </w:t>
      </w:r>
      <w:r w:rsidR="009263DA">
        <w:t xml:space="preserve">et al. </w:t>
      </w:r>
      <w:r w:rsidR="006440DC">
        <w:t xml:space="preserve">2016; </w:t>
      </w:r>
      <w:proofErr w:type="spellStart"/>
      <w:r>
        <w:t>Bogalecka</w:t>
      </w:r>
      <w:proofErr w:type="spellEnd"/>
      <w:r>
        <w:t xml:space="preserve"> et al., 2023). </w:t>
      </w:r>
    </w:p>
    <w:p w14:paraId="29347888" w14:textId="77B87263" w:rsidR="00F62CD0" w:rsidRDefault="00F62CD0" w:rsidP="00F62CD0">
      <w:r>
        <w:t>For this reason, the regulation of industrial odour emissions has been an issue in industrialized nations for several decades, in particular since increasing population density in some regions resulted in either the building of new residential areas alongside existing industrial facility or, vice versa, new plants in already settled areas (Sironi et al., 201</w:t>
      </w:r>
      <w:r w:rsidR="009263DA">
        <w:t>2</w:t>
      </w:r>
      <w:r>
        <w:t>; Brancher et al., 2017).</w:t>
      </w:r>
    </w:p>
    <w:p w14:paraId="5D00BF9D" w14:textId="6DA758E0" w:rsidR="00F62CD0" w:rsidRDefault="00F62CD0" w:rsidP="00F62CD0">
      <w:pPr>
        <w:pStyle w:val="CETBodytext"/>
      </w:pPr>
      <w:r>
        <w:t xml:space="preserve">Nowadays </w:t>
      </w:r>
      <w:proofErr w:type="spellStart"/>
      <w:r>
        <w:t>odour</w:t>
      </w:r>
      <w:proofErr w:type="spellEnd"/>
      <w:r>
        <w:t xml:space="preserve"> issues are a major contributor to environmental annoyances around the globe and, in some nations, they regularly account for the majority of environmental complaints to regulatory authorities. Many countries have environmental legislation covering most types of common air pollutants. From having little to no specific mention in environmental legislation to extensive and rigid detailing in odour source testing, dispersion modeling, ambient </w:t>
      </w:r>
      <w:proofErr w:type="spellStart"/>
      <w:r>
        <w:t>odour</w:t>
      </w:r>
      <w:proofErr w:type="spellEnd"/>
      <w:r>
        <w:t xml:space="preserve"> monitoring, setback distances, process operations, and odour control procedures, odour legislation tends to be much more varied and varies across a wide spectrum. In other words, the </w:t>
      </w:r>
      <w:proofErr w:type="spellStart"/>
      <w:r>
        <w:t>odour</w:t>
      </w:r>
      <w:proofErr w:type="spellEnd"/>
      <w:r>
        <w:t xml:space="preserve"> legislation can be very different from one jurisdiction to another </w:t>
      </w:r>
      <w:r w:rsidR="00800C64">
        <w:t>(</w:t>
      </w:r>
      <w:proofErr w:type="spellStart"/>
      <w:r>
        <w:t>Boko</w:t>
      </w:r>
      <w:r w:rsidR="008113EE">
        <w:t>w</w:t>
      </w:r>
      <w:r>
        <w:t>a</w:t>
      </w:r>
      <w:proofErr w:type="spellEnd"/>
      <w:r>
        <w:t xml:space="preserve"> et al., 2021</w:t>
      </w:r>
      <w:r w:rsidR="00800C64">
        <w:t>)</w:t>
      </w:r>
      <w:r>
        <w:t>.</w:t>
      </w:r>
    </w:p>
    <w:p w14:paraId="00C3CB72" w14:textId="470C99DD" w:rsidR="00F62CD0" w:rsidRDefault="00F62CD0" w:rsidP="00F62CD0">
      <w:r>
        <w:t xml:space="preserve">In Italy, the legislation relating to odour emissions has been lacking for many years and, only recently, a series of new concepts relating to odour emissions have been included in Legislative Decree 152/06. The introduction of specific articles concerning conveyed or diffused emissions having effects of an odour nature has helped to fill that gap and give concrete and clear answers. More effective interventions for measures for the prevention and limitation of odour emissions can be achieved by updating these elements </w:t>
      </w:r>
      <w:r w:rsidR="00800C64">
        <w:t>(</w:t>
      </w:r>
      <w:r>
        <w:t>Settimo er al., 2024</w:t>
      </w:r>
      <w:r w:rsidR="00800C64">
        <w:t>)</w:t>
      </w:r>
      <w:r>
        <w:t>.</w:t>
      </w:r>
    </w:p>
    <w:p w14:paraId="72608CFB" w14:textId="46330273" w:rsidR="00F62CD0" w:rsidRDefault="00F62CD0" w:rsidP="00F62CD0">
      <w:pPr>
        <w:pStyle w:val="CETBodytext"/>
      </w:pPr>
      <w:r>
        <w:t xml:space="preserve">Odours were only introduced into Italian environmental legislation in 2017 </w:t>
      </w:r>
      <w:r w:rsidR="00800C64">
        <w:t>(</w:t>
      </w:r>
      <w:r>
        <w:t>Legislative Decree 183/2017</w:t>
      </w:r>
      <w:r w:rsidR="00800C64">
        <w:t>)</w:t>
      </w:r>
      <w:r>
        <w:t xml:space="preserve"> when a provision dedicated to odour emissions was introduced in the Environmental Code, which defines them as conveyed or diffuse emissions having </w:t>
      </w:r>
      <w:proofErr w:type="spellStart"/>
      <w:r>
        <w:t>odour</w:t>
      </w:r>
      <w:proofErr w:type="spellEnd"/>
      <w:r>
        <w:t xml:space="preserve"> effects</w:t>
      </w:r>
      <w:r w:rsidR="009263DA">
        <w:t xml:space="preserve"> (</w:t>
      </w:r>
      <w:r w:rsidR="008113EE">
        <w:t xml:space="preserve">Invernizzi et al. 2020; </w:t>
      </w:r>
      <w:proofErr w:type="spellStart"/>
      <w:r w:rsidR="009263DA">
        <w:t>Tagliaferri</w:t>
      </w:r>
      <w:proofErr w:type="spellEnd"/>
      <w:r w:rsidR="009263DA">
        <w:t xml:space="preserve"> et al. </w:t>
      </w:r>
      <w:r w:rsidR="004D726A">
        <w:t xml:space="preserve">2021, </w:t>
      </w:r>
      <w:r w:rsidR="009263DA">
        <w:t>2022)</w:t>
      </w:r>
      <w:r>
        <w:t>.</w:t>
      </w:r>
    </w:p>
    <w:p w14:paraId="7D0D7EB4" w14:textId="77777777" w:rsidR="00F62CD0" w:rsidRDefault="00F62CD0" w:rsidP="00F62CD0">
      <w:pPr>
        <w:pStyle w:val="CETBodytext"/>
      </w:pPr>
      <w:r>
        <w:t>Under Article 272 bis of Legislative Decree 152/2006, regional legislation or authorizations may provide for measures for the prevention and limitation of odour emissions from installations. Among the measures are:</w:t>
      </w:r>
    </w:p>
    <w:p w14:paraId="3EFB354D" w14:textId="77777777" w:rsidR="00123F09" w:rsidRDefault="00123F09" w:rsidP="00F62CD0">
      <w:pPr>
        <w:pStyle w:val="CETBodytext"/>
      </w:pPr>
    </w:p>
    <w:p w14:paraId="09C2BEFF" w14:textId="4F5896BC" w:rsidR="00F62CD0" w:rsidRDefault="00F62CD0" w:rsidP="00F62CD0">
      <w:pPr>
        <w:pStyle w:val="Paragrafoelenco"/>
        <w:numPr>
          <w:ilvl w:val="0"/>
          <w:numId w:val="28"/>
        </w:numPr>
      </w:pPr>
      <w:r>
        <w:t>emission limit values expressed in volumetric concentration for odorous substances (quantity over one mg/Nm³volume);</w:t>
      </w:r>
    </w:p>
    <w:p w14:paraId="0F25FD01" w14:textId="6A02F01C" w:rsidR="00F62CD0" w:rsidRDefault="00F62CD0" w:rsidP="00F62CD0">
      <w:pPr>
        <w:pStyle w:val="Paragrafoelenco"/>
        <w:numPr>
          <w:ilvl w:val="0"/>
          <w:numId w:val="28"/>
        </w:numPr>
      </w:pPr>
      <w:r>
        <w:lastRenderedPageBreak/>
        <w:t>plant and management requirements and location criteria for installations and activities with a potential odour impact, including the obligation to implement containment plans;</w:t>
      </w:r>
    </w:p>
    <w:p w14:paraId="3F67C3F7" w14:textId="1F76FCF1" w:rsidR="00F62CD0" w:rsidRDefault="00F62CD0" w:rsidP="00F62CD0">
      <w:pPr>
        <w:pStyle w:val="Paragrafoelenco"/>
        <w:numPr>
          <w:ilvl w:val="0"/>
          <w:numId w:val="28"/>
        </w:numPr>
      </w:pPr>
      <w:r>
        <w:t>procedures to define, as part of the authorization procedure, localization criteria according to the presence of sensitive receptors around the installation;</w:t>
      </w:r>
    </w:p>
    <w:p w14:paraId="0AD5A1D7" w14:textId="64EC36A2" w:rsidR="00F62CD0" w:rsidRDefault="00F62CD0" w:rsidP="00F62CD0">
      <w:pPr>
        <w:pStyle w:val="Paragrafoelenco"/>
        <w:numPr>
          <w:ilvl w:val="0"/>
          <w:numId w:val="28"/>
        </w:numPr>
      </w:pPr>
      <w:r>
        <w:t xml:space="preserve">criteria and procedures to define, as part of the authorization procedure, maximum flow rates or maximum concentrations of odorous emission expressed in </w:t>
      </w:r>
      <w:proofErr w:type="spellStart"/>
      <w:r>
        <w:t>odorimetric</w:t>
      </w:r>
      <w:proofErr w:type="spellEnd"/>
      <w:r>
        <w:t xml:space="preserve"> units (</w:t>
      </w:r>
      <w:proofErr w:type="spellStart"/>
      <w:r>
        <w:t>ou</w:t>
      </w:r>
      <w:r w:rsidRPr="00800C64">
        <w:rPr>
          <w:vertAlign w:val="subscript"/>
        </w:rPr>
        <w:t>E</w:t>
      </w:r>
      <w:proofErr w:type="spellEnd"/>
      <w:r>
        <w:t xml:space="preserve">/m³ or </w:t>
      </w:r>
      <w:proofErr w:type="spellStart"/>
      <w:r>
        <w:t>ou</w:t>
      </w:r>
      <w:r w:rsidRPr="00800C64">
        <w:rPr>
          <w:vertAlign w:val="subscript"/>
        </w:rPr>
        <w:t>E</w:t>
      </w:r>
      <w:proofErr w:type="spellEnd"/>
      <w:r>
        <w:t>/s) for the sources of odorous emissions of the plant;</w:t>
      </w:r>
    </w:p>
    <w:p w14:paraId="40AE770B" w14:textId="07F7C311" w:rsidR="00F62CD0" w:rsidRDefault="00F62CD0" w:rsidP="00F62CD0">
      <w:pPr>
        <w:pStyle w:val="Paragrafoelenco"/>
        <w:numPr>
          <w:ilvl w:val="0"/>
          <w:numId w:val="28"/>
        </w:numPr>
      </w:pPr>
      <w:r>
        <w:t xml:space="preserve">specific maximum flow rates (expressed as quantities over time </w:t>
      </w:r>
      <w:proofErr w:type="spellStart"/>
      <w:r>
        <w:t>ou</w:t>
      </w:r>
      <w:r w:rsidRPr="00800C64">
        <w:rPr>
          <w:vertAlign w:val="subscript"/>
        </w:rPr>
        <w:t>E</w:t>
      </w:r>
      <w:proofErr w:type="spellEnd"/>
      <w:r>
        <w:t xml:space="preserve">/s) or maximum concentrations of odour emission expressed in </w:t>
      </w:r>
      <w:proofErr w:type="spellStart"/>
      <w:r>
        <w:t>odorimetric</w:t>
      </w:r>
      <w:proofErr w:type="spellEnd"/>
      <w:r>
        <w:t xml:space="preserve"> units (</w:t>
      </w:r>
      <w:proofErr w:type="spellStart"/>
      <w:r>
        <w:t>ou</w:t>
      </w:r>
      <w:r w:rsidRPr="00800C64">
        <w:rPr>
          <w:vertAlign w:val="subscript"/>
        </w:rPr>
        <w:t>E</w:t>
      </w:r>
      <w:proofErr w:type="spellEnd"/>
      <w:r>
        <w:t>/m³) for the plant’s odorous emission sources.</w:t>
      </w:r>
    </w:p>
    <w:p w14:paraId="07CF5D74" w14:textId="77777777" w:rsidR="00123F09" w:rsidRDefault="00123F09" w:rsidP="00F62CD0"/>
    <w:p w14:paraId="0019B4D8" w14:textId="4638B047" w:rsidR="00F62CD0" w:rsidRDefault="00F62CD0" w:rsidP="00F62CD0">
      <w:r>
        <w:t xml:space="preserve">This rule introduces a specific power for regional legislation and for the competent authorities to provide for prevention and limitation measures specifically defined for odorous emissions. </w:t>
      </w:r>
    </w:p>
    <w:p w14:paraId="0A99FE7E" w14:textId="753B7FC2" w:rsidR="00F62CD0" w:rsidRDefault="00F62CD0" w:rsidP="00F62CD0">
      <w:r>
        <w:t>At the same time, article 272 bis paragraph 2 provides for the possibility of unifying the various regional regulations, entrusting this harmonization project to the Coordinating Body between the Ministry, Regions and Authorities responsible for air, established by the Ministry of the Environment. The role of the Coordination is to develop guidelines in relation to measures to prevent and limit odorous emissions.</w:t>
      </w:r>
    </w:p>
    <w:p w14:paraId="677EBFF0" w14:textId="51DAABDF" w:rsidR="00600535" w:rsidRDefault="00F62CD0" w:rsidP="00600535">
      <w:pPr>
        <w:pStyle w:val="CETHeading1"/>
        <w:tabs>
          <w:tab w:val="right" w:pos="7100"/>
        </w:tabs>
        <w:jc w:val="both"/>
        <w:rPr>
          <w:lang w:val="en-GB"/>
        </w:rPr>
      </w:pPr>
      <w:r w:rsidRPr="00F62CD0">
        <w:rPr>
          <w:lang w:val="en-GB"/>
        </w:rPr>
        <w:t>The guidelines of the Ministry: scope and legal basis</w:t>
      </w:r>
    </w:p>
    <w:p w14:paraId="2917F56D" w14:textId="1ED54834" w:rsidR="00F62CD0" w:rsidRPr="00F62CD0" w:rsidRDefault="00F62CD0" w:rsidP="00800C64">
      <w:pPr>
        <w:pStyle w:val="CETBodytext"/>
        <w:rPr>
          <w:lang w:val="en-GB"/>
        </w:rPr>
      </w:pPr>
      <w:r w:rsidRPr="00F62CD0">
        <w:rPr>
          <w:lang w:val="en-GB"/>
        </w:rPr>
        <w:t xml:space="preserve">Expected from 2017, the guidelines for the application of art. 272 bis of Legislative Decree 152/2006 in the field of odorous emissions of plants and activities were finally adopted in the Ministerial Decree of 28 June 2023 </w:t>
      </w:r>
      <w:r w:rsidR="00800C64" w:rsidRPr="00800C64">
        <w:rPr>
          <w:i/>
          <w:iCs/>
          <w:lang w:val="en-GB"/>
        </w:rPr>
        <w:t>“Guidelines for the application of article 272-bis of Legislative Decree 152/2006 on odorous emissions of plants and activities”</w:t>
      </w:r>
      <w:r w:rsidR="00800C64" w:rsidRPr="00800C64">
        <w:rPr>
          <w:lang w:val="en-GB"/>
        </w:rPr>
        <w:t xml:space="preserve"> </w:t>
      </w:r>
      <w:r>
        <w:rPr>
          <w:lang w:val="en-GB"/>
        </w:rPr>
        <w:t xml:space="preserve">(MASE, 2023). </w:t>
      </w:r>
    </w:p>
    <w:p w14:paraId="7EFF1FBC" w14:textId="400970AA" w:rsidR="00F62CD0" w:rsidRDefault="00F62CD0" w:rsidP="00F62CD0">
      <w:pPr>
        <w:pStyle w:val="CETBodytext"/>
        <w:rPr>
          <w:lang w:val="en-GB"/>
        </w:rPr>
      </w:pPr>
      <w:r w:rsidRPr="00F62CD0">
        <w:rPr>
          <w:lang w:val="en-GB"/>
        </w:rPr>
        <w:t>The Ministry clarifies that the guidelines will apply directly to the establishments covered by the fifth part of Legislative Decree 152/2006 (subject to a single environmental permit, emission permit or authorization schemes in derogation) and, indirectly, as a protection criterion to be used in the permit investigation, installations subject to integrated environmental authorization or other verification procedures and/or environmental authorizations that consider emissions into the atmosphere.</w:t>
      </w:r>
    </w:p>
    <w:p w14:paraId="4792CA74" w14:textId="60039423" w:rsidR="00F62CD0" w:rsidRPr="00F62CD0" w:rsidRDefault="00F62CD0" w:rsidP="00F62CD0">
      <w:pPr>
        <w:pStyle w:val="CETHeading1"/>
      </w:pPr>
      <w:r w:rsidRPr="00DF2AB7">
        <w:rPr>
          <w:rFonts w:cs="Arial"/>
          <w:bCs/>
          <w:color w:val="000000"/>
        </w:rPr>
        <w:t xml:space="preserve">The key principles: installations and activities with potential </w:t>
      </w:r>
      <w:proofErr w:type="spellStart"/>
      <w:r w:rsidRPr="00DF2AB7">
        <w:rPr>
          <w:rFonts w:cs="Arial"/>
          <w:bCs/>
          <w:color w:val="000000"/>
        </w:rPr>
        <w:t>odour</w:t>
      </w:r>
      <w:proofErr w:type="spellEnd"/>
      <w:r w:rsidRPr="00DF2AB7">
        <w:rPr>
          <w:rFonts w:cs="Arial"/>
          <w:bCs/>
          <w:color w:val="000000"/>
        </w:rPr>
        <w:t xml:space="preserve"> impacts and </w:t>
      </w:r>
      <w:r w:rsidR="00800C64">
        <w:rPr>
          <w:rFonts w:cs="Arial"/>
          <w:bCs/>
          <w:color w:val="000000"/>
        </w:rPr>
        <w:t>a</w:t>
      </w:r>
      <w:r w:rsidRPr="00DF2AB7">
        <w:rPr>
          <w:rFonts w:cs="Arial"/>
          <w:bCs/>
          <w:color w:val="000000"/>
        </w:rPr>
        <w:t>pplications for emission permits</w:t>
      </w:r>
    </w:p>
    <w:p w14:paraId="25A7D635" w14:textId="77777777" w:rsidR="00F62CD0" w:rsidRDefault="00F62CD0" w:rsidP="00F62CD0">
      <w:pPr>
        <w:pStyle w:val="CETBodytext"/>
        <w:rPr>
          <w:lang w:val="en-GB"/>
        </w:rPr>
      </w:pPr>
      <w:r w:rsidRPr="00F62CD0">
        <w:rPr>
          <w:lang w:val="en-GB"/>
        </w:rPr>
        <w:t>In the light of the legal basis of the guidelines and the concepts of emissions into the atmosphere and odour emissions, the authors of the document propose two fundamental principles:</w:t>
      </w:r>
    </w:p>
    <w:p w14:paraId="0616E2B1" w14:textId="77777777" w:rsidR="00123F09" w:rsidRPr="00F62CD0" w:rsidRDefault="00123F09" w:rsidP="00F62CD0">
      <w:pPr>
        <w:pStyle w:val="CETBodytext"/>
        <w:rPr>
          <w:lang w:val="en-GB"/>
        </w:rPr>
      </w:pPr>
    </w:p>
    <w:p w14:paraId="32D178C2" w14:textId="0CF9AE0C" w:rsidR="00F62CD0" w:rsidRPr="00F62CD0" w:rsidRDefault="00F62CD0" w:rsidP="00F62CD0">
      <w:pPr>
        <w:pStyle w:val="CETBodytext"/>
        <w:numPr>
          <w:ilvl w:val="0"/>
          <w:numId w:val="29"/>
        </w:numPr>
        <w:rPr>
          <w:lang w:val="en-GB"/>
        </w:rPr>
      </w:pPr>
      <w:r w:rsidRPr="00F62CD0">
        <w:rPr>
          <w:lang w:val="en-GB"/>
        </w:rPr>
        <w:t>the permit for emissions into the atmosphere and, consequently, the AUA (Unified Environmental Authorization), are entitled, in the case of installations and activities with a potential odour impact, to regulate odour emissions;</w:t>
      </w:r>
    </w:p>
    <w:p w14:paraId="29128B96" w14:textId="79A2295A" w:rsidR="00F62CD0" w:rsidRPr="00F62CD0" w:rsidRDefault="00F62CD0" w:rsidP="00F62CD0">
      <w:pPr>
        <w:pStyle w:val="CETBodytext"/>
        <w:numPr>
          <w:ilvl w:val="0"/>
          <w:numId w:val="29"/>
        </w:numPr>
        <w:rPr>
          <w:lang w:val="en-GB"/>
        </w:rPr>
      </w:pPr>
      <w:r w:rsidRPr="00F62CD0">
        <w:rPr>
          <w:lang w:val="en-GB"/>
        </w:rPr>
        <w:t>applications for air emissions permits and AUA applications for establishments with installations/activities having a potential odour impact must therefore contain a description and an assessment of the odour emissions.</w:t>
      </w:r>
    </w:p>
    <w:p w14:paraId="13534641" w14:textId="77777777" w:rsidR="00123F09" w:rsidRDefault="00123F09" w:rsidP="00F62CD0">
      <w:pPr>
        <w:pStyle w:val="CETBodytext"/>
        <w:rPr>
          <w:lang w:val="en-GB"/>
        </w:rPr>
      </w:pPr>
    </w:p>
    <w:p w14:paraId="35967CDA" w14:textId="370343F8" w:rsidR="00F62CD0" w:rsidRDefault="00F62CD0" w:rsidP="00F62CD0">
      <w:pPr>
        <w:pStyle w:val="CETBodytext"/>
        <w:rPr>
          <w:lang w:val="en-GB"/>
        </w:rPr>
      </w:pPr>
      <w:r w:rsidRPr="00F62CD0">
        <w:rPr>
          <w:lang w:val="en-GB"/>
        </w:rPr>
        <w:t xml:space="preserve">In the light of these principles, the document also contains: </w:t>
      </w:r>
    </w:p>
    <w:p w14:paraId="2BD03BB4" w14:textId="77777777" w:rsidR="00123F09" w:rsidRPr="00F62CD0" w:rsidRDefault="00123F09" w:rsidP="00F62CD0">
      <w:pPr>
        <w:pStyle w:val="CETBodytext"/>
        <w:rPr>
          <w:lang w:val="en-GB"/>
        </w:rPr>
      </w:pPr>
    </w:p>
    <w:p w14:paraId="1BD4BA2A" w14:textId="77777777" w:rsidR="00F62CD0" w:rsidRDefault="00F62CD0" w:rsidP="00F62CD0">
      <w:pPr>
        <w:pStyle w:val="CETBodytext"/>
        <w:numPr>
          <w:ilvl w:val="0"/>
          <w:numId w:val="30"/>
        </w:numPr>
        <w:rPr>
          <w:lang w:val="en-GB"/>
        </w:rPr>
      </w:pPr>
      <w:r w:rsidRPr="00F62CD0">
        <w:rPr>
          <w:lang w:val="en-GB"/>
        </w:rPr>
        <w:t>the identification of plants and activities with a potential odour impact;</w:t>
      </w:r>
    </w:p>
    <w:p w14:paraId="6B7949EA" w14:textId="600C7E35" w:rsidR="00F62CD0" w:rsidRPr="00F62CD0" w:rsidRDefault="00F62CD0" w:rsidP="00F62CD0">
      <w:pPr>
        <w:pStyle w:val="CETBodytext"/>
        <w:numPr>
          <w:ilvl w:val="0"/>
          <w:numId w:val="30"/>
        </w:numPr>
        <w:rPr>
          <w:lang w:val="en-GB"/>
        </w:rPr>
      </w:pPr>
      <w:r w:rsidRPr="00F62CD0">
        <w:rPr>
          <w:lang w:val="en-GB"/>
        </w:rPr>
        <w:t>the choice of the content of the investigation that must characterize the application for authorization and the authorization procedure.</w:t>
      </w:r>
    </w:p>
    <w:p w14:paraId="08F262DA" w14:textId="77777777" w:rsidR="00123F09" w:rsidRDefault="00123F09" w:rsidP="00F62CD0">
      <w:pPr>
        <w:pStyle w:val="CETBodytext"/>
        <w:rPr>
          <w:lang w:val="en-GB"/>
        </w:rPr>
      </w:pPr>
    </w:p>
    <w:p w14:paraId="27159324" w14:textId="6E8F4261" w:rsidR="00F62CD0" w:rsidRPr="00F62CD0" w:rsidRDefault="00F62CD0" w:rsidP="00F62CD0">
      <w:pPr>
        <w:pStyle w:val="CETBodytext"/>
        <w:rPr>
          <w:lang w:val="en-GB"/>
        </w:rPr>
      </w:pPr>
      <w:r w:rsidRPr="00F62CD0">
        <w:rPr>
          <w:lang w:val="en-GB"/>
        </w:rPr>
        <w:t>The acceptability values of the olfactory impact at the sensitive receptor are also included in the application for authorization.</w:t>
      </w:r>
    </w:p>
    <w:p w14:paraId="01BA8CBF" w14:textId="669CE3EB" w:rsidR="00F62CD0" w:rsidRPr="00F62CD0" w:rsidRDefault="00F62CD0" w:rsidP="00E944E3">
      <w:pPr>
        <w:pStyle w:val="CETBodytext"/>
        <w:rPr>
          <w:lang w:val="en-GB"/>
        </w:rPr>
      </w:pPr>
      <w:r w:rsidRPr="00F62CD0">
        <w:t>Here lies an important feature of the document produced by the definition of national acceptability thresholds (</w:t>
      </w:r>
      <w:r w:rsidR="00800C64">
        <w:t>refer to</w:t>
      </w:r>
      <w:r w:rsidR="00E944E3">
        <w:t xml:space="preserve"> </w:t>
      </w:r>
      <w:r w:rsidR="00E944E3">
        <w:fldChar w:fldCharType="begin"/>
      </w:r>
      <w:r w:rsidR="00E944E3">
        <w:instrText xml:space="preserve"> REF _Ref167528374 \h </w:instrText>
      </w:r>
      <w:r w:rsidR="00E944E3">
        <w:fldChar w:fldCharType="separate"/>
      </w:r>
      <w:r w:rsidR="00E944E3">
        <w:t xml:space="preserve">Table </w:t>
      </w:r>
      <w:r w:rsidR="00E944E3">
        <w:rPr>
          <w:noProof/>
        </w:rPr>
        <w:t>1</w:t>
      </w:r>
      <w:r w:rsidR="00E944E3">
        <w:fldChar w:fldCharType="end"/>
      </w:r>
      <w:r w:rsidR="00800C64">
        <w:rPr>
          <w:lang w:val="en-GB"/>
        </w:rPr>
        <w:t>, reporting</w:t>
      </w:r>
      <w:r w:rsidRPr="00F62CD0">
        <w:rPr>
          <w:lang w:val="en-GB"/>
        </w:rPr>
        <w:t xml:space="preserve"> Table 3 of the ministerial guidelines) defined based on receptor sensitivity classes based on homogeneous spatial zones defined by regional planning. </w:t>
      </w:r>
    </w:p>
    <w:p w14:paraId="7BB7B32A" w14:textId="141C95AE" w:rsidR="00F62CD0" w:rsidRPr="00800C64" w:rsidRDefault="00F62CD0" w:rsidP="00800C64">
      <w:pPr>
        <w:pStyle w:val="CETBodytext"/>
        <w:rPr>
          <w:lang w:val="en-GB"/>
        </w:rPr>
      </w:pPr>
      <w:r w:rsidRPr="00F62CD0">
        <w:rPr>
          <w:lang w:val="en-GB"/>
        </w:rPr>
        <w:t xml:space="preserve">These olfactory impact acceptability values at the sensitive receptor vary between 1 and 5 </w:t>
      </w:r>
      <w:proofErr w:type="spellStart"/>
      <w:r w:rsidRPr="00F62CD0">
        <w:rPr>
          <w:lang w:val="en-GB"/>
        </w:rPr>
        <w:t>ou</w:t>
      </w:r>
      <w:r w:rsidRPr="00F62CD0">
        <w:rPr>
          <w:vertAlign w:val="subscript"/>
          <w:lang w:val="en-GB"/>
        </w:rPr>
        <w:t>E</w:t>
      </w:r>
      <w:proofErr w:type="spellEnd"/>
      <w:r w:rsidRPr="00F62CD0">
        <w:rPr>
          <w:lang w:val="en-GB"/>
        </w:rPr>
        <w:t>/m</w:t>
      </w:r>
      <w:r w:rsidRPr="00F62CD0">
        <w:rPr>
          <w:vertAlign w:val="superscript"/>
          <w:lang w:val="en-GB"/>
        </w:rPr>
        <w:t>3</w:t>
      </w:r>
      <w:r w:rsidRPr="00F62CD0">
        <w:rPr>
          <w:lang w:val="en-GB"/>
        </w:rPr>
        <w:t>.</w:t>
      </w:r>
    </w:p>
    <w:p w14:paraId="4BF13F28" w14:textId="77777777" w:rsidR="00123F09" w:rsidRDefault="00123F09" w:rsidP="00800C64">
      <w:pPr>
        <w:pStyle w:val="CETCaption"/>
      </w:pPr>
      <w:bookmarkStart w:id="0" w:name="_Ref166152601"/>
    </w:p>
    <w:p w14:paraId="7C861F6F" w14:textId="77777777" w:rsidR="00123F09" w:rsidRDefault="00123F09" w:rsidP="00800C64">
      <w:pPr>
        <w:pStyle w:val="CETCaption"/>
      </w:pPr>
    </w:p>
    <w:p w14:paraId="45FB9CA2" w14:textId="4FA38510" w:rsidR="00800C64" w:rsidRDefault="00800C64" w:rsidP="00800C64">
      <w:pPr>
        <w:pStyle w:val="CETCaption"/>
      </w:pPr>
      <w:bookmarkStart w:id="1" w:name="_Ref167528374"/>
      <w:r>
        <w:lastRenderedPageBreak/>
        <w:t xml:space="preserve">Table </w:t>
      </w:r>
      <w:r>
        <w:fldChar w:fldCharType="begin"/>
      </w:r>
      <w:r>
        <w:instrText xml:space="preserve"> SEQ Table \* ARABIC </w:instrText>
      </w:r>
      <w:r>
        <w:fldChar w:fldCharType="separate"/>
      </w:r>
      <w:r w:rsidR="001F251E">
        <w:rPr>
          <w:noProof/>
        </w:rPr>
        <w:t>1</w:t>
      </w:r>
      <w:r>
        <w:fldChar w:fldCharType="end"/>
      </w:r>
      <w:bookmarkEnd w:id="0"/>
      <w:bookmarkEnd w:id="1"/>
      <w:r>
        <w:t xml:space="preserve">. </w:t>
      </w:r>
      <w:r w:rsidRPr="00800C64">
        <w:t>Table 3 of ministerial guidelines containing sensitivity classes and acceptability values at the sensitive receptor</w:t>
      </w:r>
    </w:p>
    <w:tbl>
      <w:tblPr>
        <w:tblW w:w="8690"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175"/>
        <w:gridCol w:w="6208"/>
        <w:gridCol w:w="23"/>
        <w:gridCol w:w="1284"/>
      </w:tblGrid>
      <w:tr w:rsidR="00F62CD0" w:rsidRPr="00DF2AB7" w14:paraId="55963CBC" w14:textId="77777777" w:rsidTr="00F62CD0">
        <w:trPr>
          <w:trHeight w:val="1288"/>
        </w:trPr>
        <w:tc>
          <w:tcPr>
            <w:tcW w:w="1175" w:type="dxa"/>
            <w:tcBorders>
              <w:top w:val="single" w:sz="12" w:space="0" w:color="008000"/>
              <w:bottom w:val="single" w:sz="6" w:space="0" w:color="008000"/>
            </w:tcBorders>
            <w:shd w:val="clear" w:color="auto" w:fill="FFFFFF"/>
          </w:tcPr>
          <w:p w14:paraId="1F79D59C" w14:textId="77777777" w:rsidR="00F62CD0" w:rsidRPr="00F62CD0" w:rsidRDefault="00F62CD0" w:rsidP="00F2542C">
            <w:pPr>
              <w:pStyle w:val="CETBodytext"/>
              <w:rPr>
                <w:b/>
                <w:bCs/>
                <w:lang w:val="en-GB"/>
              </w:rPr>
            </w:pPr>
            <w:r w:rsidRPr="00F62CD0">
              <w:rPr>
                <w:b/>
                <w:bCs/>
                <w:lang w:val="en-GB"/>
              </w:rPr>
              <w:t>Receptor sensitivity class</w:t>
            </w:r>
          </w:p>
        </w:tc>
        <w:tc>
          <w:tcPr>
            <w:tcW w:w="6208" w:type="dxa"/>
            <w:tcBorders>
              <w:top w:val="single" w:sz="12" w:space="0" w:color="008000"/>
              <w:bottom w:val="single" w:sz="6" w:space="0" w:color="008000"/>
            </w:tcBorders>
            <w:shd w:val="clear" w:color="auto" w:fill="FFFFFF"/>
          </w:tcPr>
          <w:p w14:paraId="20049572" w14:textId="77777777" w:rsidR="00F62CD0" w:rsidRPr="00F62CD0" w:rsidRDefault="00F62CD0" w:rsidP="00F2542C">
            <w:pPr>
              <w:pStyle w:val="CETBodytext"/>
              <w:rPr>
                <w:b/>
                <w:bCs/>
                <w:lang w:val="en-GB"/>
              </w:rPr>
            </w:pPr>
            <w:r w:rsidRPr="00F62CD0">
              <w:rPr>
                <w:b/>
                <w:bCs/>
                <w:lang w:val="en-GB"/>
              </w:rPr>
              <w:t xml:space="preserve">Description of sensitivity class </w:t>
            </w:r>
          </w:p>
        </w:tc>
        <w:tc>
          <w:tcPr>
            <w:tcW w:w="23" w:type="dxa"/>
            <w:tcBorders>
              <w:top w:val="single" w:sz="12" w:space="0" w:color="008000"/>
              <w:bottom w:val="single" w:sz="6" w:space="0" w:color="008000"/>
            </w:tcBorders>
            <w:shd w:val="clear" w:color="auto" w:fill="FFFFFF"/>
          </w:tcPr>
          <w:p w14:paraId="6AE5ECBC" w14:textId="77777777" w:rsidR="00F62CD0" w:rsidRPr="00F62CD0" w:rsidRDefault="00F62CD0" w:rsidP="00F2542C">
            <w:pPr>
              <w:pStyle w:val="CETBodytext"/>
              <w:rPr>
                <w:b/>
                <w:bCs/>
                <w:lang w:val="en-GB"/>
              </w:rPr>
            </w:pPr>
          </w:p>
        </w:tc>
        <w:tc>
          <w:tcPr>
            <w:tcW w:w="1284" w:type="dxa"/>
            <w:tcBorders>
              <w:top w:val="single" w:sz="12" w:space="0" w:color="008000"/>
              <w:bottom w:val="single" w:sz="6" w:space="0" w:color="008000"/>
            </w:tcBorders>
            <w:shd w:val="clear" w:color="auto" w:fill="FFFFFF"/>
          </w:tcPr>
          <w:p w14:paraId="11B7DC97" w14:textId="77777777" w:rsidR="00F62CD0" w:rsidRPr="00F62CD0" w:rsidRDefault="00F62CD0" w:rsidP="00F2542C">
            <w:pPr>
              <w:pStyle w:val="CETBodytext"/>
              <w:ind w:right="-1"/>
              <w:jc w:val="center"/>
              <w:rPr>
                <w:rFonts w:cs="Arial"/>
                <w:b/>
                <w:bCs/>
                <w:szCs w:val="18"/>
                <w:lang w:val="en-GB"/>
              </w:rPr>
            </w:pPr>
            <w:r w:rsidRPr="00F62CD0">
              <w:rPr>
                <w:b/>
                <w:bCs/>
              </w:rPr>
              <w:t xml:space="preserve">Acceptability value of the </w:t>
            </w:r>
            <w:proofErr w:type="spellStart"/>
            <w:r w:rsidRPr="00F62CD0">
              <w:rPr>
                <w:b/>
                <w:bCs/>
              </w:rPr>
              <w:t>odour</w:t>
            </w:r>
            <w:proofErr w:type="spellEnd"/>
            <w:r w:rsidRPr="00F62CD0">
              <w:rPr>
                <w:b/>
                <w:bCs/>
              </w:rPr>
              <w:t xml:space="preserve"> impact at the receptor</w:t>
            </w:r>
          </w:p>
        </w:tc>
      </w:tr>
      <w:tr w:rsidR="00F62CD0" w:rsidRPr="00DF2AB7" w14:paraId="67F2865A" w14:textId="77777777" w:rsidTr="00F62CD0">
        <w:trPr>
          <w:trHeight w:val="2844"/>
        </w:trPr>
        <w:tc>
          <w:tcPr>
            <w:tcW w:w="1175" w:type="dxa"/>
            <w:shd w:val="clear" w:color="auto" w:fill="FFFFFF"/>
          </w:tcPr>
          <w:p w14:paraId="7FA4D4C1" w14:textId="77777777" w:rsidR="00F62CD0" w:rsidRPr="00DF2AB7" w:rsidRDefault="00F62CD0" w:rsidP="00F2542C">
            <w:pPr>
              <w:pStyle w:val="CETBodytext"/>
              <w:rPr>
                <w:lang w:val="en-GB"/>
              </w:rPr>
            </w:pPr>
            <w:r w:rsidRPr="00DF2AB7">
              <w:rPr>
                <w:lang w:val="en-GB"/>
              </w:rPr>
              <w:t>First</w:t>
            </w:r>
          </w:p>
          <w:p w14:paraId="7182F5DC" w14:textId="77777777" w:rsidR="00F62CD0" w:rsidRPr="00DF2AB7" w:rsidRDefault="00F62CD0" w:rsidP="00F2542C">
            <w:pPr>
              <w:pStyle w:val="CETBodytext"/>
              <w:rPr>
                <w:lang w:val="en-GB"/>
              </w:rPr>
            </w:pPr>
          </w:p>
          <w:p w14:paraId="481EDB9A" w14:textId="77777777" w:rsidR="00F62CD0" w:rsidRPr="00DF2AB7" w:rsidRDefault="00F62CD0" w:rsidP="00F2542C">
            <w:pPr>
              <w:pStyle w:val="CETBodytext"/>
              <w:rPr>
                <w:lang w:val="en-GB"/>
              </w:rPr>
            </w:pPr>
          </w:p>
          <w:p w14:paraId="62DB8553" w14:textId="77777777" w:rsidR="00F62CD0" w:rsidRPr="00DF2AB7" w:rsidRDefault="00F62CD0" w:rsidP="00F2542C">
            <w:pPr>
              <w:pStyle w:val="CETBodytext"/>
              <w:rPr>
                <w:lang w:val="en-GB"/>
              </w:rPr>
            </w:pPr>
          </w:p>
          <w:p w14:paraId="1A96ADF3" w14:textId="77777777" w:rsidR="00F62CD0" w:rsidRPr="00DF2AB7" w:rsidRDefault="00F62CD0" w:rsidP="00F2542C">
            <w:pPr>
              <w:pStyle w:val="CETBodytext"/>
              <w:rPr>
                <w:lang w:val="en-GB"/>
              </w:rPr>
            </w:pPr>
          </w:p>
          <w:p w14:paraId="219C133A" w14:textId="77777777" w:rsidR="00F62CD0" w:rsidRPr="00DF2AB7" w:rsidRDefault="00F62CD0" w:rsidP="00F2542C">
            <w:pPr>
              <w:pStyle w:val="CETBodytext"/>
              <w:rPr>
                <w:lang w:val="en-GB"/>
              </w:rPr>
            </w:pPr>
            <w:r w:rsidRPr="00DF2AB7">
              <w:rPr>
                <w:lang w:val="en-GB"/>
              </w:rPr>
              <w:t>Second</w:t>
            </w:r>
          </w:p>
          <w:p w14:paraId="7B9A6AA3" w14:textId="77777777" w:rsidR="00F62CD0" w:rsidRPr="00DF2AB7" w:rsidRDefault="00F62CD0" w:rsidP="00F2542C">
            <w:pPr>
              <w:pStyle w:val="CETBodytext"/>
              <w:rPr>
                <w:lang w:val="en-GB"/>
              </w:rPr>
            </w:pPr>
          </w:p>
          <w:p w14:paraId="6DF9F5DC" w14:textId="77777777" w:rsidR="00F62CD0" w:rsidRPr="00DF2AB7" w:rsidRDefault="00F62CD0" w:rsidP="00F2542C">
            <w:pPr>
              <w:pStyle w:val="CETBodytext"/>
              <w:rPr>
                <w:lang w:val="en-GB"/>
              </w:rPr>
            </w:pPr>
          </w:p>
          <w:p w14:paraId="2959E27F" w14:textId="77777777" w:rsidR="00F62CD0" w:rsidRPr="00DF2AB7" w:rsidRDefault="00F62CD0" w:rsidP="00F2542C">
            <w:pPr>
              <w:pStyle w:val="CETBodytext"/>
              <w:rPr>
                <w:lang w:val="en-GB"/>
              </w:rPr>
            </w:pPr>
            <w:r w:rsidRPr="00DF2AB7">
              <w:rPr>
                <w:lang w:val="en-GB"/>
              </w:rPr>
              <w:t>Third</w:t>
            </w:r>
          </w:p>
          <w:p w14:paraId="7852F96D" w14:textId="77777777" w:rsidR="00F62CD0" w:rsidRPr="00DF2AB7" w:rsidRDefault="00F62CD0" w:rsidP="00F2542C">
            <w:pPr>
              <w:pStyle w:val="CETBodytext"/>
              <w:rPr>
                <w:lang w:val="en-GB"/>
              </w:rPr>
            </w:pPr>
          </w:p>
          <w:p w14:paraId="2237BBE4" w14:textId="77777777" w:rsidR="00F62CD0" w:rsidRPr="00DF2AB7" w:rsidRDefault="00F62CD0" w:rsidP="00F2542C">
            <w:pPr>
              <w:pStyle w:val="CETBodytext"/>
              <w:rPr>
                <w:lang w:val="en-GB"/>
              </w:rPr>
            </w:pPr>
          </w:p>
          <w:p w14:paraId="4F2FE5E1" w14:textId="77777777" w:rsidR="00F62CD0" w:rsidRPr="00DF2AB7" w:rsidRDefault="00F62CD0" w:rsidP="00F2542C">
            <w:pPr>
              <w:pStyle w:val="CETBodytext"/>
              <w:rPr>
                <w:lang w:val="en-GB"/>
              </w:rPr>
            </w:pPr>
            <w:r w:rsidRPr="00DF2AB7">
              <w:rPr>
                <w:lang w:val="en-GB"/>
              </w:rPr>
              <w:t>Fourth</w:t>
            </w:r>
          </w:p>
          <w:p w14:paraId="7B92D096" w14:textId="77777777" w:rsidR="00F62CD0" w:rsidRPr="00DF2AB7" w:rsidRDefault="00F62CD0" w:rsidP="00F2542C">
            <w:pPr>
              <w:pStyle w:val="CETBodytext"/>
              <w:rPr>
                <w:lang w:val="en-GB"/>
              </w:rPr>
            </w:pPr>
          </w:p>
          <w:p w14:paraId="4A590141" w14:textId="77777777" w:rsidR="00F62CD0" w:rsidRPr="00DF2AB7" w:rsidRDefault="00F62CD0" w:rsidP="00F2542C">
            <w:pPr>
              <w:pStyle w:val="CETBodytext"/>
              <w:rPr>
                <w:lang w:val="en-GB"/>
              </w:rPr>
            </w:pPr>
          </w:p>
          <w:p w14:paraId="5391F0B4" w14:textId="77777777" w:rsidR="00F62CD0" w:rsidRPr="00DF2AB7" w:rsidRDefault="00F62CD0" w:rsidP="00F2542C">
            <w:pPr>
              <w:pStyle w:val="CETBodytext"/>
              <w:rPr>
                <w:lang w:val="en-GB"/>
              </w:rPr>
            </w:pPr>
            <w:r w:rsidRPr="00DF2AB7">
              <w:rPr>
                <w:lang w:val="en-GB"/>
              </w:rPr>
              <w:t>Fifth</w:t>
            </w:r>
          </w:p>
        </w:tc>
        <w:tc>
          <w:tcPr>
            <w:tcW w:w="6208" w:type="dxa"/>
            <w:shd w:val="clear" w:color="auto" w:fill="FFFFFF"/>
          </w:tcPr>
          <w:p w14:paraId="20CC1E48" w14:textId="77777777" w:rsidR="00F62CD0" w:rsidRPr="00DF2AB7" w:rsidRDefault="00F62CD0" w:rsidP="00F2542C">
            <w:pPr>
              <w:pStyle w:val="CETBodytext"/>
              <w:ind w:right="-1"/>
              <w:rPr>
                <w:rStyle w:val="y2iqfc"/>
                <w:rFonts w:cs="Arial"/>
                <w:color w:val="1F1F1F"/>
                <w:szCs w:val="18"/>
                <w:lang w:val="en"/>
              </w:rPr>
            </w:pPr>
            <w:r w:rsidRPr="00DF2AB7">
              <w:rPr>
                <w:rFonts w:cs="Arial"/>
                <w:color w:val="1F1F1F"/>
                <w:szCs w:val="18"/>
                <w:lang w:eastAsia="it-IT"/>
              </w:rPr>
              <w:t xml:space="preserve">Areas in inhabited centers </w:t>
            </w:r>
            <w:r w:rsidRPr="00DF2AB7">
              <w:rPr>
                <w:rFonts w:cs="Arial"/>
                <w:szCs w:val="18"/>
                <w:lang w:val="en-GB"/>
              </w:rPr>
              <w:t xml:space="preserve">mainly </w:t>
            </w:r>
            <w:r w:rsidRPr="00DF2AB7">
              <w:rPr>
                <w:rFonts w:cs="Arial"/>
                <w:color w:val="1F1F1F"/>
                <w:szCs w:val="18"/>
                <w:lang w:eastAsia="it-IT"/>
              </w:rPr>
              <w:t xml:space="preserve">for residential use. Buildings in inhabited centers intended for collective use and with a high concentration of people. </w:t>
            </w:r>
            <w:r w:rsidRPr="00DF2AB7">
              <w:rPr>
                <w:rStyle w:val="y2iqfc"/>
                <w:rFonts w:cs="Arial"/>
                <w:color w:val="1F1F1F"/>
                <w:szCs w:val="18"/>
                <w:lang w:val="en"/>
              </w:rPr>
              <w:t>Excluding commercial and tertiary uses.</w:t>
            </w:r>
          </w:p>
          <w:p w14:paraId="51B2716B" w14:textId="77777777" w:rsidR="00F62CD0" w:rsidRPr="00DF2AB7" w:rsidRDefault="00F62CD0" w:rsidP="00F2542C">
            <w:pPr>
              <w:pStyle w:val="CETBodytext"/>
              <w:ind w:right="-1"/>
              <w:rPr>
                <w:lang w:val="en-GB"/>
              </w:rPr>
            </w:pPr>
          </w:p>
          <w:p w14:paraId="45B5F7BA" w14:textId="77777777" w:rsidR="00F62CD0" w:rsidRPr="00DF2AB7" w:rsidRDefault="00F62CD0" w:rsidP="00F2542C">
            <w:pPr>
              <w:pStyle w:val="CETBodytext"/>
              <w:ind w:right="-1"/>
              <w:rPr>
                <w:rStyle w:val="y2iqfc"/>
                <w:rFonts w:cs="Arial"/>
                <w:color w:val="1F1F1F"/>
                <w:szCs w:val="18"/>
                <w:lang w:val="en"/>
              </w:rPr>
            </w:pPr>
            <w:r w:rsidRPr="00DF2AB7">
              <w:rPr>
                <w:rStyle w:val="y2iqfc"/>
                <w:rFonts w:cs="Arial"/>
                <w:color w:val="1F1F1F"/>
                <w:szCs w:val="18"/>
                <w:lang w:val="en"/>
              </w:rPr>
              <w:t>Buildings or open spaces in inhabited centers intended for continuous collective, commercial, tertiary or tourist use.</w:t>
            </w:r>
          </w:p>
          <w:p w14:paraId="70ED7CF3" w14:textId="77777777" w:rsidR="00F62CD0" w:rsidRPr="00DF2AB7" w:rsidRDefault="00F62CD0" w:rsidP="00F2542C">
            <w:pPr>
              <w:pStyle w:val="CETBodytext"/>
              <w:ind w:right="-1"/>
              <w:rPr>
                <w:rStyle w:val="y2iqfc"/>
                <w:rFonts w:cs="Arial"/>
                <w:color w:val="1F1F1F"/>
                <w:szCs w:val="18"/>
                <w:lang w:val="en"/>
              </w:rPr>
            </w:pPr>
          </w:p>
          <w:p w14:paraId="61DF6312" w14:textId="77777777" w:rsidR="00F62CD0" w:rsidRPr="00DF2AB7" w:rsidRDefault="00F62CD0" w:rsidP="00F2542C">
            <w:pPr>
              <w:pStyle w:val="CETBodytext"/>
              <w:ind w:right="-1"/>
              <w:rPr>
                <w:rStyle w:val="y2iqfc"/>
                <w:rFonts w:cs="Arial"/>
                <w:color w:val="1F1F1F"/>
                <w:szCs w:val="18"/>
                <w:lang w:val="en"/>
              </w:rPr>
            </w:pPr>
            <w:r w:rsidRPr="00DF2AB7">
              <w:rPr>
                <w:rStyle w:val="y2iqfc"/>
                <w:rFonts w:cs="Arial"/>
                <w:color w:val="1F1F1F"/>
                <w:szCs w:val="18"/>
                <w:lang w:val="en"/>
              </w:rPr>
              <w:t xml:space="preserve">Buildings or open spaces in inhabited centers intended for non-continuous collective, scattered houses. </w:t>
            </w:r>
          </w:p>
          <w:p w14:paraId="51E89FDA" w14:textId="77777777" w:rsidR="00F62CD0" w:rsidRPr="00DF2AB7" w:rsidRDefault="00F62CD0" w:rsidP="00F2542C">
            <w:pPr>
              <w:pStyle w:val="CETBodytext"/>
              <w:ind w:right="-1"/>
              <w:rPr>
                <w:lang w:val="en-GB"/>
              </w:rPr>
            </w:pPr>
          </w:p>
          <w:p w14:paraId="644940C4" w14:textId="77777777" w:rsidR="00F62CD0" w:rsidRPr="00DF2AB7" w:rsidRDefault="00F62CD0" w:rsidP="00F2542C">
            <w:pPr>
              <w:pStyle w:val="CETBodytext"/>
              <w:ind w:right="-1"/>
              <w:rPr>
                <w:lang w:val="en-GB"/>
              </w:rPr>
            </w:pPr>
            <w:r w:rsidRPr="00DF2AB7">
              <w:rPr>
                <w:lang w:val="en-GB"/>
              </w:rPr>
              <w:t>Areas predominantly used for agriculture, industrial, artisanal and livestock farming.</w:t>
            </w:r>
          </w:p>
          <w:p w14:paraId="69467F7C" w14:textId="77777777" w:rsidR="00F62CD0" w:rsidRPr="00DF2AB7" w:rsidRDefault="00F62CD0" w:rsidP="00F2542C">
            <w:pPr>
              <w:pStyle w:val="CETBodytext"/>
              <w:ind w:right="-1"/>
              <w:rPr>
                <w:lang w:val="en-GB"/>
              </w:rPr>
            </w:pPr>
          </w:p>
          <w:p w14:paraId="5095A18C" w14:textId="77777777" w:rsidR="00F62CD0" w:rsidRPr="00DF2AB7" w:rsidRDefault="00F62CD0" w:rsidP="00F2542C">
            <w:pPr>
              <w:pStyle w:val="CETBodytext"/>
              <w:ind w:right="-1"/>
              <w:rPr>
                <w:lang w:val="en-GB"/>
              </w:rPr>
            </w:pPr>
            <w:r w:rsidRPr="00DF2AB7">
              <w:rPr>
                <w:lang w:val="en-GB"/>
              </w:rPr>
              <w:t>Areas where the presence of people is not expected (agricultural land, uninhabited areas).</w:t>
            </w:r>
          </w:p>
        </w:tc>
        <w:tc>
          <w:tcPr>
            <w:tcW w:w="23" w:type="dxa"/>
            <w:shd w:val="clear" w:color="auto" w:fill="FFFFFF"/>
          </w:tcPr>
          <w:p w14:paraId="1763481C" w14:textId="77777777" w:rsidR="00F62CD0" w:rsidRPr="00DF2AB7" w:rsidRDefault="00F62CD0" w:rsidP="00F2542C">
            <w:pPr>
              <w:pStyle w:val="CETBodytext"/>
              <w:rPr>
                <w:lang w:val="en-GB"/>
              </w:rPr>
            </w:pPr>
            <w:r w:rsidRPr="00DF2AB7">
              <w:rPr>
                <w:lang w:val="en-GB"/>
              </w:rPr>
              <w:t xml:space="preserve"> </w:t>
            </w:r>
          </w:p>
        </w:tc>
        <w:tc>
          <w:tcPr>
            <w:tcW w:w="1284" w:type="dxa"/>
            <w:shd w:val="clear" w:color="auto" w:fill="FFFFFF"/>
          </w:tcPr>
          <w:p w14:paraId="56D22240" w14:textId="4AA2CB7B" w:rsidR="00F62CD0" w:rsidRPr="00DF2AB7" w:rsidRDefault="00F62CD0" w:rsidP="00F2542C">
            <w:pPr>
              <w:pStyle w:val="CETBodytext"/>
              <w:ind w:right="-1"/>
              <w:jc w:val="center"/>
              <w:rPr>
                <w:rFonts w:cs="Arial"/>
                <w:color w:val="000000" w:themeColor="text1"/>
                <w:szCs w:val="18"/>
                <w:vertAlign w:val="superscript"/>
              </w:rPr>
            </w:pPr>
            <w:r w:rsidRPr="00DF2AB7">
              <w:rPr>
                <w:rFonts w:cs="Arial"/>
                <w:color w:val="000000" w:themeColor="text1"/>
                <w:szCs w:val="18"/>
              </w:rPr>
              <w:t xml:space="preserve">1 </w:t>
            </w:r>
            <w:proofErr w:type="spellStart"/>
            <w:r w:rsidRPr="00DF2AB7">
              <w:rPr>
                <w:rFonts w:cs="Arial"/>
                <w:color w:val="000000" w:themeColor="text1"/>
                <w:szCs w:val="18"/>
              </w:rPr>
              <w:t>ou</w:t>
            </w:r>
            <w:r w:rsidRPr="00DF2AB7">
              <w:rPr>
                <w:rFonts w:cs="Arial"/>
                <w:color w:val="000000" w:themeColor="text1"/>
                <w:szCs w:val="18"/>
                <w:vertAlign w:val="subscript"/>
              </w:rPr>
              <w:t>E</w:t>
            </w:r>
            <w:proofErr w:type="spellEnd"/>
            <w:r w:rsidRPr="00DF2AB7">
              <w:rPr>
                <w:rFonts w:cs="Arial"/>
                <w:color w:val="000000" w:themeColor="text1"/>
                <w:szCs w:val="18"/>
              </w:rPr>
              <w:t>/m</w:t>
            </w:r>
            <w:r w:rsidRPr="00DF2AB7">
              <w:rPr>
                <w:rFonts w:cs="Arial"/>
                <w:color w:val="000000" w:themeColor="text1"/>
                <w:szCs w:val="18"/>
                <w:vertAlign w:val="superscript"/>
              </w:rPr>
              <w:t>3</w:t>
            </w:r>
          </w:p>
          <w:p w14:paraId="5678E769" w14:textId="77777777" w:rsidR="00F62CD0" w:rsidRPr="00DF2AB7" w:rsidRDefault="00F62CD0" w:rsidP="00F2542C">
            <w:pPr>
              <w:pStyle w:val="CETBodytext"/>
              <w:ind w:right="-1"/>
              <w:jc w:val="center"/>
              <w:rPr>
                <w:rFonts w:cs="Arial"/>
                <w:color w:val="000000" w:themeColor="text1"/>
                <w:szCs w:val="18"/>
              </w:rPr>
            </w:pPr>
          </w:p>
          <w:p w14:paraId="77529224" w14:textId="77777777" w:rsidR="00F62CD0" w:rsidRPr="00DF2AB7" w:rsidRDefault="00F62CD0" w:rsidP="00F2542C">
            <w:pPr>
              <w:pStyle w:val="CETBodytext"/>
              <w:ind w:right="-1"/>
              <w:jc w:val="center"/>
              <w:rPr>
                <w:rFonts w:cs="Arial"/>
                <w:color w:val="000000" w:themeColor="text1"/>
                <w:szCs w:val="18"/>
              </w:rPr>
            </w:pPr>
          </w:p>
          <w:p w14:paraId="35BD579B" w14:textId="77777777" w:rsidR="00F62CD0" w:rsidRPr="00DF2AB7" w:rsidRDefault="00F62CD0" w:rsidP="00F2542C">
            <w:pPr>
              <w:pStyle w:val="CETBodytext"/>
              <w:ind w:right="-1"/>
              <w:jc w:val="center"/>
              <w:rPr>
                <w:rFonts w:cs="Arial"/>
                <w:color w:val="000000" w:themeColor="text1"/>
                <w:szCs w:val="18"/>
              </w:rPr>
            </w:pPr>
          </w:p>
          <w:p w14:paraId="3BD697C5" w14:textId="77777777" w:rsidR="00F62CD0" w:rsidRPr="00DF2AB7" w:rsidRDefault="00F62CD0" w:rsidP="00F2542C">
            <w:pPr>
              <w:pStyle w:val="CETBodytext"/>
              <w:ind w:right="-1"/>
              <w:jc w:val="center"/>
              <w:rPr>
                <w:rFonts w:cs="Arial"/>
                <w:color w:val="000000" w:themeColor="text1"/>
                <w:szCs w:val="18"/>
              </w:rPr>
            </w:pPr>
          </w:p>
          <w:p w14:paraId="32893ED4" w14:textId="58C49284" w:rsidR="00F62CD0" w:rsidRPr="00DF2AB7" w:rsidRDefault="00F62CD0" w:rsidP="00F2542C">
            <w:pPr>
              <w:pStyle w:val="CETBodytext"/>
              <w:ind w:right="-1"/>
              <w:jc w:val="center"/>
              <w:rPr>
                <w:rFonts w:cs="Arial"/>
                <w:color w:val="000000" w:themeColor="text1"/>
                <w:szCs w:val="18"/>
                <w:vertAlign w:val="superscript"/>
              </w:rPr>
            </w:pPr>
            <w:r w:rsidRPr="00DF2AB7">
              <w:rPr>
                <w:rFonts w:cs="Arial"/>
                <w:color w:val="000000" w:themeColor="text1"/>
                <w:szCs w:val="18"/>
              </w:rPr>
              <w:t xml:space="preserve">2 </w:t>
            </w:r>
            <w:proofErr w:type="spellStart"/>
            <w:r w:rsidRPr="00DF2AB7">
              <w:rPr>
                <w:rFonts w:cs="Arial"/>
                <w:color w:val="000000" w:themeColor="text1"/>
                <w:szCs w:val="18"/>
              </w:rPr>
              <w:t>ou</w:t>
            </w:r>
            <w:r w:rsidRPr="00DF2AB7">
              <w:rPr>
                <w:rFonts w:cs="Arial"/>
                <w:color w:val="000000" w:themeColor="text1"/>
                <w:szCs w:val="18"/>
                <w:vertAlign w:val="subscript"/>
              </w:rPr>
              <w:t>E</w:t>
            </w:r>
            <w:proofErr w:type="spellEnd"/>
            <w:r w:rsidRPr="00DF2AB7">
              <w:rPr>
                <w:rFonts w:cs="Arial"/>
                <w:color w:val="000000" w:themeColor="text1"/>
                <w:szCs w:val="18"/>
              </w:rPr>
              <w:t>/m</w:t>
            </w:r>
            <w:r w:rsidRPr="00DF2AB7">
              <w:rPr>
                <w:rFonts w:cs="Arial"/>
                <w:color w:val="000000" w:themeColor="text1"/>
                <w:szCs w:val="18"/>
                <w:vertAlign w:val="superscript"/>
              </w:rPr>
              <w:t>3</w:t>
            </w:r>
          </w:p>
          <w:p w14:paraId="563C11D2" w14:textId="77777777" w:rsidR="00F62CD0" w:rsidRPr="00DF2AB7" w:rsidRDefault="00F62CD0" w:rsidP="00F2542C">
            <w:pPr>
              <w:pStyle w:val="CETBodytext"/>
              <w:ind w:right="-1"/>
              <w:jc w:val="center"/>
              <w:rPr>
                <w:rFonts w:cs="Arial"/>
                <w:color w:val="000000" w:themeColor="text1"/>
                <w:szCs w:val="18"/>
              </w:rPr>
            </w:pPr>
          </w:p>
          <w:p w14:paraId="59849814" w14:textId="77777777" w:rsidR="00F62CD0" w:rsidRPr="00DF2AB7" w:rsidRDefault="00F62CD0" w:rsidP="00F2542C">
            <w:pPr>
              <w:pStyle w:val="CETBodytext"/>
              <w:ind w:right="-1"/>
              <w:jc w:val="center"/>
              <w:rPr>
                <w:rFonts w:cs="Arial"/>
                <w:color w:val="000000" w:themeColor="text1"/>
                <w:szCs w:val="18"/>
              </w:rPr>
            </w:pPr>
          </w:p>
          <w:p w14:paraId="4ECB1B98" w14:textId="0DCA3F65" w:rsidR="00F62CD0" w:rsidRPr="00DF2AB7" w:rsidRDefault="00F62CD0" w:rsidP="00F2542C">
            <w:pPr>
              <w:pStyle w:val="CETBodytext"/>
              <w:ind w:right="-1"/>
              <w:jc w:val="center"/>
              <w:rPr>
                <w:rFonts w:cs="Arial"/>
                <w:color w:val="000000" w:themeColor="text1"/>
                <w:szCs w:val="18"/>
                <w:vertAlign w:val="superscript"/>
              </w:rPr>
            </w:pPr>
            <w:r w:rsidRPr="00DF2AB7">
              <w:rPr>
                <w:rFonts w:cs="Arial"/>
                <w:color w:val="000000" w:themeColor="text1"/>
                <w:szCs w:val="18"/>
              </w:rPr>
              <w:t xml:space="preserve">3 </w:t>
            </w:r>
            <w:proofErr w:type="spellStart"/>
            <w:r w:rsidRPr="00DF2AB7">
              <w:rPr>
                <w:rFonts w:cs="Arial"/>
                <w:color w:val="000000" w:themeColor="text1"/>
                <w:szCs w:val="18"/>
              </w:rPr>
              <w:t>ou</w:t>
            </w:r>
            <w:r w:rsidRPr="00DF2AB7">
              <w:rPr>
                <w:rFonts w:cs="Arial"/>
                <w:color w:val="000000" w:themeColor="text1"/>
                <w:szCs w:val="18"/>
                <w:vertAlign w:val="subscript"/>
              </w:rPr>
              <w:t>E</w:t>
            </w:r>
            <w:proofErr w:type="spellEnd"/>
            <w:r w:rsidRPr="00DF2AB7">
              <w:rPr>
                <w:rFonts w:cs="Arial"/>
                <w:color w:val="000000" w:themeColor="text1"/>
                <w:szCs w:val="18"/>
              </w:rPr>
              <w:t>/m</w:t>
            </w:r>
            <w:r w:rsidRPr="00DF2AB7">
              <w:rPr>
                <w:rFonts w:cs="Arial"/>
                <w:color w:val="000000" w:themeColor="text1"/>
                <w:szCs w:val="18"/>
                <w:vertAlign w:val="superscript"/>
              </w:rPr>
              <w:t>3</w:t>
            </w:r>
          </w:p>
          <w:p w14:paraId="60EE7860" w14:textId="77777777" w:rsidR="00F62CD0" w:rsidRPr="00DF2AB7" w:rsidRDefault="00F62CD0" w:rsidP="00F2542C">
            <w:pPr>
              <w:pStyle w:val="CETBodytext"/>
              <w:ind w:right="-1"/>
              <w:jc w:val="center"/>
              <w:rPr>
                <w:rFonts w:cs="Arial"/>
                <w:color w:val="000000" w:themeColor="text1"/>
                <w:szCs w:val="18"/>
              </w:rPr>
            </w:pPr>
          </w:p>
          <w:p w14:paraId="378CD2C4" w14:textId="77777777" w:rsidR="00F62CD0" w:rsidRPr="00DF2AB7" w:rsidRDefault="00F62CD0" w:rsidP="00F2542C">
            <w:pPr>
              <w:pStyle w:val="CETBodytext"/>
              <w:ind w:right="-1"/>
              <w:jc w:val="center"/>
              <w:rPr>
                <w:rFonts w:cs="Arial"/>
                <w:color w:val="000000" w:themeColor="text1"/>
                <w:szCs w:val="18"/>
              </w:rPr>
            </w:pPr>
          </w:p>
          <w:p w14:paraId="307E8584" w14:textId="3DE5F9E7" w:rsidR="00F62CD0" w:rsidRPr="00DF2AB7" w:rsidRDefault="00F62CD0" w:rsidP="00F2542C">
            <w:pPr>
              <w:pStyle w:val="CETBodytext"/>
              <w:ind w:right="-1"/>
              <w:jc w:val="center"/>
              <w:rPr>
                <w:rFonts w:cs="Arial"/>
                <w:color w:val="000000" w:themeColor="text1"/>
                <w:szCs w:val="18"/>
                <w:vertAlign w:val="superscript"/>
              </w:rPr>
            </w:pPr>
            <w:r w:rsidRPr="00DF2AB7">
              <w:rPr>
                <w:rFonts w:cs="Arial"/>
                <w:color w:val="000000" w:themeColor="text1"/>
                <w:szCs w:val="18"/>
              </w:rPr>
              <w:t xml:space="preserve">4 </w:t>
            </w:r>
            <w:proofErr w:type="spellStart"/>
            <w:r w:rsidRPr="00DF2AB7">
              <w:rPr>
                <w:rFonts w:cs="Arial"/>
                <w:color w:val="000000" w:themeColor="text1"/>
                <w:szCs w:val="18"/>
              </w:rPr>
              <w:t>ou</w:t>
            </w:r>
            <w:r w:rsidRPr="00DF2AB7">
              <w:rPr>
                <w:rFonts w:cs="Arial"/>
                <w:color w:val="000000" w:themeColor="text1"/>
                <w:szCs w:val="18"/>
                <w:vertAlign w:val="subscript"/>
              </w:rPr>
              <w:t>E</w:t>
            </w:r>
            <w:proofErr w:type="spellEnd"/>
            <w:r w:rsidRPr="00DF2AB7">
              <w:rPr>
                <w:rFonts w:cs="Arial"/>
                <w:color w:val="000000" w:themeColor="text1"/>
                <w:szCs w:val="18"/>
              </w:rPr>
              <w:t>/m</w:t>
            </w:r>
            <w:r w:rsidRPr="00DF2AB7">
              <w:rPr>
                <w:rFonts w:cs="Arial"/>
                <w:color w:val="000000" w:themeColor="text1"/>
                <w:szCs w:val="18"/>
                <w:vertAlign w:val="superscript"/>
              </w:rPr>
              <w:t>3</w:t>
            </w:r>
          </w:p>
          <w:p w14:paraId="00D4EA68" w14:textId="77777777" w:rsidR="00F62CD0" w:rsidRPr="00DF2AB7" w:rsidRDefault="00F62CD0" w:rsidP="00F2542C">
            <w:pPr>
              <w:pStyle w:val="CETBodytext"/>
              <w:ind w:right="-1"/>
              <w:jc w:val="center"/>
              <w:rPr>
                <w:rFonts w:cs="Arial"/>
                <w:color w:val="000000" w:themeColor="text1"/>
                <w:szCs w:val="18"/>
              </w:rPr>
            </w:pPr>
          </w:p>
          <w:p w14:paraId="033135E8" w14:textId="77777777" w:rsidR="00F62CD0" w:rsidRPr="00DF2AB7" w:rsidRDefault="00F62CD0" w:rsidP="00F2542C">
            <w:pPr>
              <w:pStyle w:val="CETBodytext"/>
              <w:ind w:right="-1"/>
              <w:jc w:val="center"/>
              <w:rPr>
                <w:rFonts w:cs="Arial"/>
                <w:color w:val="000000" w:themeColor="text1"/>
                <w:szCs w:val="18"/>
              </w:rPr>
            </w:pPr>
          </w:p>
          <w:p w14:paraId="11EDB983" w14:textId="407260D4" w:rsidR="00F62CD0" w:rsidRPr="00DF2AB7" w:rsidRDefault="00F62CD0" w:rsidP="00F2542C">
            <w:pPr>
              <w:pStyle w:val="CETBodytext"/>
              <w:ind w:right="-1"/>
              <w:jc w:val="center"/>
              <w:rPr>
                <w:rFonts w:cs="Arial"/>
                <w:szCs w:val="18"/>
                <w:lang w:val="en-GB"/>
              </w:rPr>
            </w:pPr>
            <w:r w:rsidRPr="00DF2AB7">
              <w:rPr>
                <w:rFonts w:cs="Arial"/>
                <w:color w:val="000000" w:themeColor="text1"/>
                <w:szCs w:val="18"/>
              </w:rPr>
              <w:t xml:space="preserve">5 </w:t>
            </w:r>
            <w:proofErr w:type="spellStart"/>
            <w:r w:rsidRPr="00DF2AB7">
              <w:rPr>
                <w:rFonts w:cs="Arial"/>
                <w:color w:val="000000" w:themeColor="text1"/>
                <w:szCs w:val="18"/>
              </w:rPr>
              <w:t>o</w:t>
            </w:r>
            <w:r>
              <w:rPr>
                <w:rFonts w:cs="Arial"/>
                <w:color w:val="000000" w:themeColor="text1"/>
                <w:szCs w:val="18"/>
              </w:rPr>
              <w:t>u</w:t>
            </w:r>
            <w:r w:rsidRPr="00DF2AB7">
              <w:rPr>
                <w:rFonts w:cs="Arial"/>
                <w:color w:val="000000" w:themeColor="text1"/>
                <w:szCs w:val="18"/>
                <w:vertAlign w:val="subscript"/>
              </w:rPr>
              <w:t>E</w:t>
            </w:r>
            <w:proofErr w:type="spellEnd"/>
            <w:r w:rsidRPr="00DF2AB7">
              <w:rPr>
                <w:rFonts w:cs="Arial"/>
                <w:color w:val="000000" w:themeColor="text1"/>
                <w:szCs w:val="18"/>
              </w:rPr>
              <w:t>/m</w:t>
            </w:r>
            <w:r w:rsidRPr="00DF2AB7">
              <w:rPr>
                <w:rFonts w:cs="Arial"/>
                <w:color w:val="000000" w:themeColor="text1"/>
                <w:szCs w:val="18"/>
                <w:vertAlign w:val="superscript"/>
              </w:rPr>
              <w:t>3</w:t>
            </w:r>
          </w:p>
        </w:tc>
      </w:tr>
      <w:tr w:rsidR="00F62CD0" w:rsidRPr="00DF2AB7" w14:paraId="2A89E47E" w14:textId="77777777" w:rsidTr="00F62CD0">
        <w:trPr>
          <w:trHeight w:val="288"/>
        </w:trPr>
        <w:tc>
          <w:tcPr>
            <w:tcW w:w="1175" w:type="dxa"/>
            <w:shd w:val="clear" w:color="auto" w:fill="FFFFFF"/>
          </w:tcPr>
          <w:p w14:paraId="5E191F3F" w14:textId="77777777" w:rsidR="00F62CD0" w:rsidRPr="00DF2AB7" w:rsidRDefault="00F62CD0" w:rsidP="00F2542C">
            <w:pPr>
              <w:pStyle w:val="CETBodytext"/>
              <w:ind w:right="-1"/>
              <w:rPr>
                <w:rFonts w:cs="Arial"/>
                <w:szCs w:val="18"/>
                <w:lang w:val="en-GB"/>
              </w:rPr>
            </w:pPr>
          </w:p>
        </w:tc>
        <w:tc>
          <w:tcPr>
            <w:tcW w:w="6208" w:type="dxa"/>
            <w:shd w:val="clear" w:color="auto" w:fill="FFFFFF"/>
          </w:tcPr>
          <w:p w14:paraId="04D08F4E" w14:textId="77777777" w:rsidR="00F62CD0" w:rsidRPr="00DF2AB7" w:rsidRDefault="00F62CD0" w:rsidP="00F2542C">
            <w:pPr>
              <w:pStyle w:val="CETBodytext"/>
              <w:ind w:right="-1"/>
              <w:rPr>
                <w:rFonts w:cs="Arial"/>
                <w:szCs w:val="18"/>
                <w:lang w:val="en-GB"/>
              </w:rPr>
            </w:pPr>
          </w:p>
        </w:tc>
        <w:tc>
          <w:tcPr>
            <w:tcW w:w="23" w:type="dxa"/>
            <w:shd w:val="clear" w:color="auto" w:fill="FFFFFF"/>
          </w:tcPr>
          <w:p w14:paraId="50164787" w14:textId="77777777" w:rsidR="00F62CD0" w:rsidRPr="00DF2AB7" w:rsidRDefault="00F62CD0" w:rsidP="00F2542C">
            <w:pPr>
              <w:pStyle w:val="CETBodytext"/>
              <w:ind w:right="-1"/>
              <w:rPr>
                <w:rFonts w:cs="Arial"/>
                <w:szCs w:val="18"/>
                <w:lang w:val="en-GB"/>
              </w:rPr>
            </w:pPr>
          </w:p>
        </w:tc>
        <w:tc>
          <w:tcPr>
            <w:tcW w:w="1284" w:type="dxa"/>
            <w:shd w:val="clear" w:color="auto" w:fill="FFFFFF"/>
          </w:tcPr>
          <w:p w14:paraId="01C2D59F" w14:textId="77777777" w:rsidR="00F62CD0" w:rsidRPr="00DF2AB7" w:rsidRDefault="00F62CD0" w:rsidP="00F2542C">
            <w:pPr>
              <w:pStyle w:val="CETBodytext"/>
              <w:ind w:right="-1"/>
              <w:rPr>
                <w:rFonts w:cs="Arial"/>
                <w:szCs w:val="18"/>
                <w:lang w:val="en-GB"/>
              </w:rPr>
            </w:pPr>
          </w:p>
        </w:tc>
      </w:tr>
    </w:tbl>
    <w:p w14:paraId="070F844E" w14:textId="77777777" w:rsidR="00F62CD0" w:rsidRPr="00DF2AB7" w:rsidRDefault="00F62CD0" w:rsidP="00F62CD0">
      <w:pPr>
        <w:rPr>
          <w:rFonts w:cs="Arial"/>
          <w:b/>
          <w:szCs w:val="18"/>
        </w:rPr>
      </w:pPr>
    </w:p>
    <w:p w14:paraId="7953563C" w14:textId="0D4B83D5" w:rsidR="00F62CD0" w:rsidRPr="00DF2AB7" w:rsidRDefault="00F62CD0" w:rsidP="00F62CD0">
      <w:pPr>
        <w:pStyle w:val="CETBodytext"/>
      </w:pPr>
      <w:r w:rsidRPr="00DF2AB7">
        <w:t>The main technical characteristics of the authorization procedures for new and existing plants considered critical from an olfactory impact point of view are discussed in the following paragraph</w:t>
      </w:r>
      <w:r w:rsidR="00123F09">
        <w:t>s</w:t>
      </w:r>
      <w:r w:rsidRPr="00DF2AB7">
        <w:t xml:space="preserve">. </w:t>
      </w:r>
    </w:p>
    <w:p w14:paraId="4A4DAF5E" w14:textId="357FF521" w:rsidR="00F62CD0" w:rsidRPr="00DF2AB7" w:rsidRDefault="00F62CD0" w:rsidP="00F62CD0">
      <w:pPr>
        <w:pStyle w:val="CETheadingx"/>
      </w:pPr>
      <w:r w:rsidRPr="00DF2AB7">
        <w:t>Authorization procedure for new installations</w:t>
      </w:r>
    </w:p>
    <w:p w14:paraId="214D7C05" w14:textId="77777777" w:rsidR="00F62CD0" w:rsidRDefault="00F62CD0" w:rsidP="00F62CD0">
      <w:pPr>
        <w:pStyle w:val="CETBodytext"/>
      </w:pPr>
      <w:r w:rsidRPr="00DF2AB7">
        <w:t xml:space="preserve">In the case of an extended authorization procedure, the application for authorization for the evaluation of </w:t>
      </w:r>
      <w:proofErr w:type="spellStart"/>
      <w:r w:rsidRPr="00DF2AB7">
        <w:t>odour</w:t>
      </w:r>
      <w:proofErr w:type="spellEnd"/>
      <w:r w:rsidRPr="00DF2AB7">
        <w:t xml:space="preserve"> emissions shall contain:</w:t>
      </w:r>
    </w:p>
    <w:p w14:paraId="7DCFA6A6" w14:textId="77777777" w:rsidR="00123F09" w:rsidRPr="00DF2AB7" w:rsidRDefault="00123F09" w:rsidP="00F62CD0">
      <w:pPr>
        <w:pStyle w:val="CETBodytext"/>
      </w:pPr>
    </w:p>
    <w:p w14:paraId="349BA19C" w14:textId="77777777" w:rsidR="00F62CD0" w:rsidRPr="00DF2AB7" w:rsidRDefault="00F62CD0" w:rsidP="00F62CD0">
      <w:pPr>
        <w:pStyle w:val="CETBodytext"/>
        <w:numPr>
          <w:ilvl w:val="0"/>
          <w:numId w:val="33"/>
        </w:numPr>
      </w:pPr>
      <w:r w:rsidRPr="00DF2AB7">
        <w:t>a description of the production cycle;</w:t>
      </w:r>
    </w:p>
    <w:p w14:paraId="5193B6B0" w14:textId="1FFD5D48" w:rsidR="00F62CD0" w:rsidRPr="00DF2AB7" w:rsidRDefault="00F62CD0" w:rsidP="00F62CD0">
      <w:pPr>
        <w:pStyle w:val="CETBodytext"/>
        <w:numPr>
          <w:ilvl w:val="0"/>
          <w:numId w:val="33"/>
        </w:numPr>
      </w:pPr>
      <w:r w:rsidRPr="00DF2AB7">
        <w:t xml:space="preserve">the classification of the territory on which the establishment insists that defines the "sensitivity" of the receptors. </w:t>
      </w:r>
      <w:proofErr w:type="gramStart"/>
      <w:r w:rsidR="00123F09">
        <w:t>These information</w:t>
      </w:r>
      <w:proofErr w:type="gramEnd"/>
      <w:r w:rsidR="00123F09">
        <w:t xml:space="preserve"> are u</w:t>
      </w:r>
      <w:r w:rsidRPr="00DF2AB7">
        <w:t>seful to define the characteristics of the territory are the official classification of the localities, the use of the area and the index of territorial manufacturability, the land use map, the urban use of the area;</w:t>
      </w:r>
    </w:p>
    <w:p w14:paraId="2AD44FB0" w14:textId="77777777" w:rsidR="00F62CD0" w:rsidRPr="00DF2AB7" w:rsidRDefault="00F62CD0" w:rsidP="00F62CD0">
      <w:pPr>
        <w:pStyle w:val="CETBodytext"/>
        <w:numPr>
          <w:ilvl w:val="0"/>
          <w:numId w:val="33"/>
        </w:numPr>
      </w:pPr>
      <w:r w:rsidRPr="00DF2AB7">
        <w:t>the identification of specific sources of odorous emissions (conveyed, diffuse and fugitive) including time and duration of operation;</w:t>
      </w:r>
    </w:p>
    <w:p w14:paraId="2E01CCEF" w14:textId="79F842B5" w:rsidR="00F62CD0" w:rsidRPr="00DF2AB7" w:rsidRDefault="00F62CD0" w:rsidP="00F62CD0">
      <w:pPr>
        <w:pStyle w:val="CETBodytext"/>
        <w:numPr>
          <w:ilvl w:val="0"/>
          <w:numId w:val="33"/>
        </w:numPr>
      </w:pPr>
      <w:r w:rsidRPr="00DF2AB7">
        <w:t xml:space="preserve">the chemical and/or olfactory characterization of odorous emissions to associate to these sources a value expressed in </w:t>
      </w:r>
      <w:proofErr w:type="spellStart"/>
      <w:r>
        <w:t>odour</w:t>
      </w:r>
      <w:proofErr w:type="spellEnd"/>
      <w:r>
        <w:t xml:space="preserve"> </w:t>
      </w:r>
      <w:r w:rsidRPr="00DF2AB7">
        <w:t>concentration (</w:t>
      </w:r>
      <w:proofErr w:type="spellStart"/>
      <w:r w:rsidR="00800C64">
        <w:t>ou</w:t>
      </w:r>
      <w:r w:rsidRPr="00DF2AB7">
        <w:rPr>
          <w:vertAlign w:val="subscript"/>
        </w:rPr>
        <w:t>E</w:t>
      </w:r>
      <w:proofErr w:type="spellEnd"/>
      <w:r w:rsidRPr="00DF2AB7">
        <w:t>/m</w:t>
      </w:r>
      <w:r w:rsidRPr="00DF2AB7">
        <w:rPr>
          <w:vertAlign w:val="superscript"/>
        </w:rPr>
        <w:t>3</w:t>
      </w:r>
      <w:r w:rsidRPr="00DF2AB7">
        <w:t xml:space="preserve">) and </w:t>
      </w:r>
      <w:proofErr w:type="spellStart"/>
      <w:r>
        <w:t>odour</w:t>
      </w:r>
      <w:proofErr w:type="spellEnd"/>
      <w:r>
        <w:t xml:space="preserve"> </w:t>
      </w:r>
      <w:r w:rsidRPr="00DF2AB7">
        <w:t>flow (</w:t>
      </w:r>
      <w:proofErr w:type="spellStart"/>
      <w:r w:rsidR="00800C64">
        <w:t>ou</w:t>
      </w:r>
      <w:r w:rsidRPr="00DF2AB7">
        <w:rPr>
          <w:vertAlign w:val="subscript"/>
        </w:rPr>
        <w:t>E</w:t>
      </w:r>
      <w:proofErr w:type="spellEnd"/>
      <w:r w:rsidRPr="00DF2AB7">
        <w:t xml:space="preserve"> /s) according to UNI EN 13725. The chemical characterization (described in Annex </w:t>
      </w:r>
      <w:r w:rsidR="00A65AA0">
        <w:t>A.</w:t>
      </w:r>
      <w:r w:rsidRPr="00DF2AB7">
        <w:t xml:space="preserve">4 to the ministerial guidelines) is aimed at detecting </w:t>
      </w:r>
      <w:proofErr w:type="spellStart"/>
      <w:r>
        <w:t>odour</w:t>
      </w:r>
      <w:proofErr w:type="spellEnd"/>
      <w:r>
        <w:t xml:space="preserve"> </w:t>
      </w:r>
      <w:r w:rsidRPr="00DF2AB7">
        <w:t xml:space="preserve">tracers. Sources with an </w:t>
      </w:r>
      <w:proofErr w:type="spellStart"/>
      <w:r>
        <w:t>odour</w:t>
      </w:r>
      <w:proofErr w:type="spellEnd"/>
      <w:r>
        <w:t xml:space="preserve"> </w:t>
      </w:r>
      <w:r w:rsidRPr="00DF2AB7">
        <w:t xml:space="preserve">flow of more than 500 </w:t>
      </w:r>
      <w:proofErr w:type="spellStart"/>
      <w:r w:rsidR="00800C64">
        <w:t>ou</w:t>
      </w:r>
      <w:r w:rsidRPr="00DF2AB7">
        <w:rPr>
          <w:vertAlign w:val="subscript"/>
        </w:rPr>
        <w:t>E</w:t>
      </w:r>
      <w:proofErr w:type="spellEnd"/>
      <w:r w:rsidRPr="00DF2AB7">
        <w:t xml:space="preserve"> /s are considered significant, with the exception of sources with a concentration below 80 </w:t>
      </w:r>
      <w:proofErr w:type="spellStart"/>
      <w:r w:rsidR="00800C64">
        <w:t>ou</w:t>
      </w:r>
      <w:r w:rsidRPr="00DF2AB7">
        <w:rPr>
          <w:vertAlign w:val="subscript"/>
        </w:rPr>
        <w:t>E</w:t>
      </w:r>
      <w:proofErr w:type="spellEnd"/>
      <w:r w:rsidRPr="00DF2AB7">
        <w:t>/m</w:t>
      </w:r>
      <w:r w:rsidRPr="00DF2AB7">
        <w:rPr>
          <w:vertAlign w:val="superscript"/>
        </w:rPr>
        <w:t>3</w:t>
      </w:r>
      <w:r w:rsidRPr="00DF2AB7">
        <w:t xml:space="preserve">. The exclusion of such "non-significant" sources from the modelling calculation can be implemented only if the set of non-significant sources can be considered negligible or has an emission rate of less than 10% of the total </w:t>
      </w:r>
      <w:proofErr w:type="spellStart"/>
      <w:r>
        <w:t>odour</w:t>
      </w:r>
      <w:proofErr w:type="spellEnd"/>
      <w:r>
        <w:t xml:space="preserve"> </w:t>
      </w:r>
      <w:r w:rsidRPr="00DF2AB7">
        <w:t>of the plant. In any case, the possibility of the competent authority to request the inclusion in the modelling of sources below the threshold of significance remains unchanged;</w:t>
      </w:r>
    </w:p>
    <w:p w14:paraId="161FB6EE" w14:textId="23036FB1" w:rsidR="00F62CD0" w:rsidRPr="00DF2AB7" w:rsidRDefault="00F62CD0" w:rsidP="00F62CD0">
      <w:pPr>
        <w:pStyle w:val="CETBodytext"/>
        <w:numPr>
          <w:ilvl w:val="0"/>
          <w:numId w:val="33"/>
        </w:numPr>
      </w:pPr>
      <w:r w:rsidRPr="00DF2AB7">
        <w:t>the assessment of impacts by means of a dispersion model, the specific requirements of which are set out in Annex A.1. to the ministerial guidelines</w:t>
      </w:r>
      <w:r w:rsidR="000439BD">
        <w:t xml:space="preserve"> (</w:t>
      </w:r>
      <w:proofErr w:type="spellStart"/>
      <w:r w:rsidR="000439BD">
        <w:t>Tagliaferri</w:t>
      </w:r>
      <w:proofErr w:type="spellEnd"/>
      <w:r w:rsidR="000439BD">
        <w:t xml:space="preserve"> et al. 2022)</w:t>
      </w:r>
      <w:r w:rsidRPr="00DF2AB7">
        <w:t>;</w:t>
      </w:r>
    </w:p>
    <w:p w14:paraId="59B99496" w14:textId="77777777" w:rsidR="00F62CD0" w:rsidRDefault="00F62CD0" w:rsidP="00F62CD0">
      <w:pPr>
        <w:pStyle w:val="CETBodytext"/>
        <w:numPr>
          <w:ilvl w:val="0"/>
          <w:numId w:val="33"/>
        </w:numPr>
      </w:pPr>
      <w:r w:rsidRPr="00DF2AB7">
        <w:t>the identification of the necessary actions on the sources of odorous emissions (containment, treatment) in order to comply with the acceptable values.</w:t>
      </w:r>
    </w:p>
    <w:p w14:paraId="3F862D50" w14:textId="77777777" w:rsidR="00F62CD0" w:rsidRPr="00DF2AB7" w:rsidRDefault="00F62CD0" w:rsidP="00F62CD0">
      <w:pPr>
        <w:pStyle w:val="Paragrafoelenco"/>
        <w:rPr>
          <w:rFonts w:cs="Arial"/>
          <w:color w:val="000000" w:themeColor="text1"/>
          <w:szCs w:val="18"/>
        </w:rPr>
      </w:pPr>
    </w:p>
    <w:p w14:paraId="19852258" w14:textId="0E1C6E53" w:rsidR="00F62CD0" w:rsidRPr="00DF2AB7" w:rsidRDefault="00F62CD0" w:rsidP="00F62CD0">
      <w:pPr>
        <w:pStyle w:val="CETheadingx"/>
      </w:pPr>
      <w:r w:rsidRPr="00DF2AB7">
        <w:t>Procedure for existing "critical" plants (resulting from reports, inspections, etc.)</w:t>
      </w:r>
    </w:p>
    <w:p w14:paraId="23833A00" w14:textId="77777777" w:rsidR="00F62CD0" w:rsidRPr="00DF2AB7" w:rsidRDefault="00F62CD0" w:rsidP="00F62CD0">
      <w:pPr>
        <w:pStyle w:val="CETBodytext"/>
      </w:pPr>
      <w:r w:rsidRPr="00DF2AB7">
        <w:t xml:space="preserve">In relation to existing installations for which critical issues related to the olfactory impact emerge, a special investigation procedure is envisaged, in which local and territorial bodies and the authorities and technical </w:t>
      </w:r>
      <w:r w:rsidRPr="00DF2AB7">
        <w:lastRenderedPageBreak/>
        <w:t>agencies competent in environmental and health matters also participate, called upon to evaluate the need to activate the review or update of the authorization.</w:t>
      </w:r>
    </w:p>
    <w:p w14:paraId="7C54D608" w14:textId="77777777" w:rsidR="00F62CD0" w:rsidRDefault="00F62CD0" w:rsidP="00F62CD0">
      <w:pPr>
        <w:rPr>
          <w:rFonts w:cs="Arial"/>
          <w:color w:val="000000" w:themeColor="text1"/>
          <w:szCs w:val="18"/>
        </w:rPr>
      </w:pPr>
      <w:r w:rsidRPr="00DF2AB7">
        <w:rPr>
          <w:rFonts w:cs="Arial"/>
          <w:color w:val="000000" w:themeColor="text1"/>
          <w:szCs w:val="18"/>
        </w:rPr>
        <w:t>The guidelines identify the following phases of the procedure:</w:t>
      </w:r>
    </w:p>
    <w:p w14:paraId="0746DC91" w14:textId="77777777" w:rsidR="00123F09" w:rsidRPr="00DF2AB7" w:rsidRDefault="00123F09" w:rsidP="00F62CD0">
      <w:pPr>
        <w:rPr>
          <w:rFonts w:cs="Arial"/>
          <w:color w:val="000000" w:themeColor="text1"/>
          <w:szCs w:val="18"/>
        </w:rPr>
      </w:pPr>
    </w:p>
    <w:p w14:paraId="5DA3EE69" w14:textId="6FDB40CD" w:rsidR="00F62CD0" w:rsidRPr="00DF2AB7" w:rsidRDefault="00F62CD0" w:rsidP="00F62CD0">
      <w:pPr>
        <w:pStyle w:val="CETBodytext"/>
        <w:numPr>
          <w:ilvl w:val="0"/>
          <w:numId w:val="34"/>
        </w:numPr>
      </w:pPr>
      <w:r w:rsidRPr="00DF2AB7">
        <w:t xml:space="preserve">Phase A: phase of approach to the critical situation. If the olfactory disturbance is not caused by exceptional events or contingent technical anomalies, the guidelines provide for the organization of systematic monitoring of the perception of the disturbance among the resident population with the methods set out in Annex A.3. If the hours of </w:t>
      </w:r>
      <w:proofErr w:type="spellStart"/>
      <w:r>
        <w:t>odour</w:t>
      </w:r>
      <w:proofErr w:type="spellEnd"/>
      <w:r>
        <w:t xml:space="preserve"> </w:t>
      </w:r>
      <w:r w:rsidRPr="00DF2AB7">
        <w:t>perception validated in the area are greater than 2% of the entire monitoring period, it will be necessary to continue with phase B. The alternative envisaged is the direct start of the authorization review/update process.</w:t>
      </w:r>
    </w:p>
    <w:p w14:paraId="74FE1592" w14:textId="64A1C5ED" w:rsidR="00F62CD0" w:rsidRPr="00DF2AB7" w:rsidRDefault="00F62CD0" w:rsidP="00F62CD0">
      <w:pPr>
        <w:pStyle w:val="CETBodytext"/>
        <w:numPr>
          <w:ilvl w:val="0"/>
          <w:numId w:val="34"/>
        </w:numPr>
      </w:pPr>
      <w:r w:rsidRPr="00DF2AB7">
        <w:t xml:space="preserve">Phase B: phase of verifying the olfactory impact. This verification involves the olfactometric characterization of the </w:t>
      </w:r>
      <w:proofErr w:type="spellStart"/>
      <w:r>
        <w:t>odour</w:t>
      </w:r>
      <w:proofErr w:type="spellEnd"/>
      <w:r>
        <w:t xml:space="preserve"> </w:t>
      </w:r>
      <w:r w:rsidRPr="00DF2AB7">
        <w:t>sources (Annex A.2), the analytical determination of the chemical species (Annex A.4) and the application of modeling (Annex A.1). Other methodologies for the detection of odors may be used "on completion" (Annex A.3 and Annex A.5). If, following the outcome of the verification, the acceptability limits for the receptors in Table 3 of the ministerial document are respected, the competent authority will update the authorization by prescribing the plant-management solutions that have proven to ensure compliance limits of acceptability. Otherwise, it will activate the authorization review process.</w:t>
      </w:r>
    </w:p>
    <w:p w14:paraId="528E83AA" w14:textId="67E168C6" w:rsidR="00F62CD0" w:rsidRPr="00DF2AB7" w:rsidRDefault="00F62CD0" w:rsidP="00F62CD0">
      <w:pPr>
        <w:pStyle w:val="CETBodytext"/>
        <w:numPr>
          <w:ilvl w:val="0"/>
          <w:numId w:val="34"/>
        </w:numPr>
      </w:pPr>
      <w:r w:rsidRPr="00DF2AB7">
        <w:t xml:space="preserve">Phase C: authorization review phase. The review will take place on the basis of the preliminary material collected in the preceding phases and of an </w:t>
      </w:r>
      <w:proofErr w:type="spellStart"/>
      <w:r>
        <w:t>odour</w:t>
      </w:r>
      <w:proofErr w:type="spellEnd"/>
      <w:r>
        <w:t xml:space="preserve"> </w:t>
      </w:r>
      <w:r w:rsidRPr="00DF2AB7">
        <w:t xml:space="preserve">management plan containing the mitigation interventions, the times and methods of adapting the </w:t>
      </w:r>
      <w:proofErr w:type="spellStart"/>
      <w:r>
        <w:t>odour</w:t>
      </w:r>
      <w:proofErr w:type="spellEnd"/>
      <w:r>
        <w:t xml:space="preserve"> </w:t>
      </w:r>
      <w:r w:rsidRPr="00DF2AB7">
        <w:t>sources.</w:t>
      </w:r>
    </w:p>
    <w:p w14:paraId="405DF3E3" w14:textId="77777777" w:rsidR="00F62CD0" w:rsidRDefault="00F62CD0" w:rsidP="00F62CD0">
      <w:pPr>
        <w:pStyle w:val="CETBodytext"/>
        <w:numPr>
          <w:ilvl w:val="0"/>
          <w:numId w:val="34"/>
        </w:numPr>
      </w:pPr>
      <w:r w:rsidRPr="00DF2AB7">
        <w:t>Phase D: phase following the adaptation for the continuous improvement of performance.</w:t>
      </w:r>
    </w:p>
    <w:p w14:paraId="26238586" w14:textId="77777777" w:rsidR="006636AB" w:rsidRDefault="006636AB" w:rsidP="006636AB">
      <w:pPr>
        <w:pStyle w:val="CETBodytext"/>
      </w:pPr>
    </w:p>
    <w:p w14:paraId="19C6E28D" w14:textId="03F72B00" w:rsidR="006636AB" w:rsidRDefault="006636AB" w:rsidP="006636AB">
      <w:pPr>
        <w:pStyle w:val="CETBodytext"/>
      </w:pPr>
      <w:r>
        <w:t xml:space="preserve">Through the above procedure setting, the legislature sets a tolerance margin to the citizen (2% </w:t>
      </w:r>
      <w:r w:rsidRPr="00DF2AB7">
        <w:t>of the entire monitoring period</w:t>
      </w:r>
      <w:r>
        <w:t xml:space="preserve">). Only if the tolerance margin is exceeded, is the plant required to proceed with olfactometric characterization, odor flux estimation, and olfactory impact assessment. Finally, only if the limits are exceeded is the plant required to adopt emission containment procedures and new characterization and modeling of impacts. </w:t>
      </w:r>
    </w:p>
    <w:p w14:paraId="2506FE72" w14:textId="5F927CE5" w:rsidR="00F62CD0" w:rsidRPr="00DF2AB7" w:rsidRDefault="00F62CD0" w:rsidP="00F62CD0">
      <w:pPr>
        <w:pStyle w:val="CETHeading1"/>
      </w:pPr>
      <w:proofErr w:type="spellStart"/>
      <w:r>
        <w:t>Odour</w:t>
      </w:r>
      <w:proofErr w:type="spellEnd"/>
      <w:r>
        <w:t xml:space="preserve"> </w:t>
      </w:r>
      <w:r w:rsidRPr="00DF2AB7">
        <w:t>concentration values and emission limit values: sanctioning prospects</w:t>
      </w:r>
    </w:p>
    <w:p w14:paraId="185C31CF" w14:textId="5A2FFB2B" w:rsidR="00F62CD0" w:rsidRPr="00DF2AB7" w:rsidRDefault="00F62CD0" w:rsidP="00F62CD0">
      <w:pPr>
        <w:pStyle w:val="CETBodytext"/>
      </w:pPr>
      <w:r w:rsidRPr="00DF2AB7">
        <w:t xml:space="preserve">In light of the procedures identified above, the ministerial document specifies that during the monitoring period following the authorization application, a provisional authorization is issued. In this transitional phase, the </w:t>
      </w:r>
      <w:proofErr w:type="spellStart"/>
      <w:r>
        <w:t>odour</w:t>
      </w:r>
      <w:proofErr w:type="spellEnd"/>
      <w:r>
        <w:t xml:space="preserve"> </w:t>
      </w:r>
      <w:r w:rsidRPr="00DF2AB7">
        <w:t>concentration values (</w:t>
      </w:r>
      <w:proofErr w:type="spellStart"/>
      <w:r w:rsidRPr="00DF2AB7">
        <w:t>ou</w:t>
      </w:r>
      <w:r w:rsidRPr="00DF2AB7">
        <w:rPr>
          <w:vertAlign w:val="subscript"/>
        </w:rPr>
        <w:t>E</w:t>
      </w:r>
      <w:proofErr w:type="spellEnd"/>
      <w:r w:rsidRPr="00DF2AB7">
        <w:rPr>
          <w:vertAlign w:val="subscript"/>
        </w:rPr>
        <w:t xml:space="preserve"> </w:t>
      </w:r>
      <w:r w:rsidRPr="00DF2AB7">
        <w:t>/m</w:t>
      </w:r>
      <w:r w:rsidRPr="00DF2AB7">
        <w:rPr>
          <w:vertAlign w:val="superscript"/>
        </w:rPr>
        <w:t>3</w:t>
      </w:r>
      <w:r w:rsidRPr="00DF2AB7">
        <w:t xml:space="preserve">) and </w:t>
      </w:r>
      <w:proofErr w:type="spellStart"/>
      <w:r>
        <w:t>odour</w:t>
      </w:r>
      <w:proofErr w:type="spellEnd"/>
      <w:r>
        <w:t xml:space="preserve"> </w:t>
      </w:r>
      <w:r w:rsidRPr="00DF2AB7">
        <w:t>flow rate (</w:t>
      </w:r>
      <w:proofErr w:type="spellStart"/>
      <w:r w:rsidRPr="00DF2AB7">
        <w:t>ou</w:t>
      </w:r>
      <w:r w:rsidRPr="00DF2AB7">
        <w:rPr>
          <w:vertAlign w:val="subscript"/>
        </w:rPr>
        <w:t>E</w:t>
      </w:r>
      <w:proofErr w:type="spellEnd"/>
      <w:r w:rsidRPr="00DF2AB7">
        <w:t>/s) are only functional references for the identification of interventions and monitoring: their exceeding is therefore a prerequisite for modifying the interventions, without being subject to sanctions under the law.</w:t>
      </w:r>
    </w:p>
    <w:p w14:paraId="23EF963C" w14:textId="45BEA7BE" w:rsidR="00F62CD0" w:rsidRPr="00DF2AB7" w:rsidRDefault="00F62CD0" w:rsidP="00F62CD0">
      <w:pPr>
        <w:pStyle w:val="CETBodytext"/>
        <w:rPr>
          <w:rFonts w:cs="Arial"/>
          <w:color w:val="000000"/>
          <w:szCs w:val="18"/>
        </w:rPr>
      </w:pPr>
      <w:r w:rsidRPr="00DF2AB7">
        <w:rPr>
          <w:rFonts w:cs="Arial"/>
          <w:color w:val="000000"/>
          <w:szCs w:val="18"/>
        </w:rPr>
        <w:t xml:space="preserve">At the end of the monitoring period, the Authority updates, if necessary, the contents of the authorization. The </w:t>
      </w:r>
      <w:proofErr w:type="spellStart"/>
      <w:r>
        <w:rPr>
          <w:rFonts w:cs="Arial"/>
          <w:color w:val="000000"/>
          <w:szCs w:val="18"/>
        </w:rPr>
        <w:t>odour</w:t>
      </w:r>
      <w:proofErr w:type="spellEnd"/>
      <w:r>
        <w:rPr>
          <w:rFonts w:cs="Arial"/>
          <w:color w:val="000000"/>
          <w:szCs w:val="18"/>
        </w:rPr>
        <w:t xml:space="preserve"> </w:t>
      </w:r>
      <w:r w:rsidRPr="00DF2AB7">
        <w:rPr>
          <w:rFonts w:cs="Arial"/>
          <w:color w:val="000000"/>
          <w:szCs w:val="18"/>
        </w:rPr>
        <w:t>concentration (</w:t>
      </w:r>
      <w:proofErr w:type="spellStart"/>
      <w:r w:rsidRPr="00DF2AB7">
        <w:rPr>
          <w:rFonts w:cs="Arial"/>
          <w:color w:val="000000"/>
          <w:szCs w:val="18"/>
        </w:rPr>
        <w:t>ou</w:t>
      </w:r>
      <w:r w:rsidRPr="00DF2AB7">
        <w:rPr>
          <w:rFonts w:cs="Arial"/>
          <w:color w:val="000000"/>
          <w:szCs w:val="18"/>
          <w:vertAlign w:val="subscript"/>
        </w:rPr>
        <w:t>E</w:t>
      </w:r>
      <w:proofErr w:type="spellEnd"/>
      <w:r w:rsidRPr="00DF2AB7">
        <w:rPr>
          <w:rFonts w:cs="Arial"/>
          <w:color w:val="000000"/>
          <w:szCs w:val="18"/>
        </w:rPr>
        <w:t>/m</w:t>
      </w:r>
      <w:r w:rsidRPr="00DF2AB7">
        <w:rPr>
          <w:rFonts w:cs="Arial"/>
          <w:color w:val="000000"/>
          <w:szCs w:val="18"/>
          <w:vertAlign w:val="superscript"/>
        </w:rPr>
        <w:t>3</w:t>
      </w:r>
      <w:r w:rsidRPr="00DF2AB7">
        <w:rPr>
          <w:rFonts w:cs="Arial"/>
          <w:color w:val="000000"/>
          <w:szCs w:val="18"/>
        </w:rPr>
        <w:t xml:space="preserve">) and </w:t>
      </w:r>
      <w:proofErr w:type="spellStart"/>
      <w:r>
        <w:rPr>
          <w:rFonts w:cs="Arial"/>
          <w:color w:val="000000"/>
          <w:szCs w:val="18"/>
        </w:rPr>
        <w:t>odour</w:t>
      </w:r>
      <w:proofErr w:type="spellEnd"/>
      <w:r>
        <w:rPr>
          <w:rFonts w:cs="Arial"/>
          <w:color w:val="000000"/>
          <w:szCs w:val="18"/>
        </w:rPr>
        <w:t xml:space="preserve"> </w:t>
      </w:r>
      <w:r w:rsidRPr="00DF2AB7">
        <w:rPr>
          <w:rFonts w:cs="Arial"/>
          <w:color w:val="000000"/>
          <w:szCs w:val="18"/>
        </w:rPr>
        <w:t>flow (</w:t>
      </w:r>
      <w:proofErr w:type="spellStart"/>
      <w:r w:rsidRPr="00DF2AB7">
        <w:rPr>
          <w:rFonts w:cs="Arial"/>
          <w:color w:val="000000"/>
          <w:szCs w:val="18"/>
        </w:rPr>
        <w:t>ou</w:t>
      </w:r>
      <w:r w:rsidRPr="00DF2AB7">
        <w:rPr>
          <w:rFonts w:cs="Arial"/>
          <w:color w:val="000000"/>
          <w:szCs w:val="18"/>
          <w:vertAlign w:val="subscript"/>
        </w:rPr>
        <w:t>E</w:t>
      </w:r>
      <w:proofErr w:type="spellEnd"/>
      <w:r w:rsidRPr="00DF2AB7">
        <w:rPr>
          <w:rFonts w:cs="Arial"/>
          <w:color w:val="000000"/>
          <w:szCs w:val="18"/>
        </w:rPr>
        <w:t xml:space="preserve">/s) values thus modified or confirmed become prescriptive for the installation and their exceeding is therefore subject to a sanction. Specifically, this is the administrative sanction provided for by </w:t>
      </w:r>
      <w:r w:rsidR="00A65AA0">
        <w:rPr>
          <w:rFonts w:cs="Arial"/>
          <w:color w:val="000000"/>
          <w:szCs w:val="18"/>
        </w:rPr>
        <w:t>A</w:t>
      </w:r>
      <w:r w:rsidRPr="00DF2AB7">
        <w:rPr>
          <w:rFonts w:cs="Arial"/>
          <w:color w:val="000000"/>
          <w:szCs w:val="18"/>
        </w:rPr>
        <w:t xml:space="preserve">rticle 279, paragraph 2 </w:t>
      </w:r>
      <w:r w:rsidRPr="00DF2AB7">
        <w:rPr>
          <w:rFonts w:cs="Arial"/>
          <w:i/>
          <w:iCs/>
          <w:color w:val="000000"/>
          <w:szCs w:val="18"/>
        </w:rPr>
        <w:t>bis</w:t>
      </w:r>
      <w:r w:rsidRPr="00DF2AB7">
        <w:rPr>
          <w:rFonts w:cs="Arial"/>
          <w:color w:val="000000"/>
          <w:szCs w:val="18"/>
        </w:rPr>
        <w:t>, of Legislative Decree 152/2006 provided for the violation of the authorization provisions</w:t>
      </w:r>
      <w:r w:rsidRPr="00DF2AB7">
        <w:rPr>
          <w:lang w:val="en-GB"/>
        </w:rPr>
        <w:t xml:space="preserve"> </w:t>
      </w:r>
      <w:r w:rsidR="00A65AA0">
        <w:rPr>
          <w:lang w:val="en-GB"/>
        </w:rPr>
        <w:t>(</w:t>
      </w:r>
      <w:r w:rsidRPr="00DF2AB7">
        <w:rPr>
          <w:rFonts w:cs="Arial"/>
          <w:color w:val="000000"/>
          <w:szCs w:val="18"/>
        </w:rPr>
        <w:t>Art. 279, bis</w:t>
      </w:r>
      <w:r w:rsidR="00A65AA0">
        <w:rPr>
          <w:rFonts w:cs="Arial"/>
          <w:color w:val="000000"/>
          <w:szCs w:val="18"/>
        </w:rPr>
        <w:t>)</w:t>
      </w:r>
      <w:r w:rsidRPr="00DF2AB7">
        <w:rPr>
          <w:rFonts w:cs="Arial"/>
          <w:color w:val="000000"/>
          <w:szCs w:val="18"/>
        </w:rPr>
        <w:t xml:space="preserve">. </w:t>
      </w:r>
    </w:p>
    <w:p w14:paraId="396352F0" w14:textId="77777777" w:rsidR="00F62CD0" w:rsidRPr="00DF2AB7" w:rsidRDefault="00F62CD0" w:rsidP="00F62CD0">
      <w:pPr>
        <w:pStyle w:val="CETBodytext"/>
        <w:rPr>
          <w:rFonts w:cs="Arial"/>
          <w:color w:val="000000"/>
          <w:szCs w:val="18"/>
        </w:rPr>
      </w:pPr>
      <w:r w:rsidRPr="00DF2AB7">
        <w:rPr>
          <w:rFonts w:cs="Arial"/>
          <w:color w:val="000000"/>
          <w:szCs w:val="18"/>
        </w:rPr>
        <w:t>According to the now prevailing opinion, criminal consequences are not excluded if the emissions and consequent harassment are produced in the performance of an authorized activity. That is, odorous emissions constitute a crime even when they come from an industry whose activity has been authorized since the existence of an administrative authorization is sufficient to remove a limit to the entrepreneur's activity, but does not exempt the latter from the duty to adopt all measures recommended by experience and technique suitable for avoiding harm to public health.</w:t>
      </w:r>
    </w:p>
    <w:p w14:paraId="3271A48B" w14:textId="1559B36A" w:rsidR="00F62CD0" w:rsidRDefault="00F62CD0" w:rsidP="00F62CD0">
      <w:pPr>
        <w:pStyle w:val="CETBodytext"/>
        <w:rPr>
          <w:rFonts w:cs="Arial"/>
          <w:color w:val="000000"/>
          <w:szCs w:val="18"/>
        </w:rPr>
      </w:pPr>
      <w:r w:rsidRPr="00DF2AB7">
        <w:rPr>
          <w:rFonts w:cs="Arial"/>
          <w:color w:val="000000"/>
          <w:szCs w:val="18"/>
        </w:rPr>
        <w:t xml:space="preserve">This orientation distinguishes two hypotheses </w:t>
      </w:r>
      <w:r>
        <w:rPr>
          <w:rFonts w:cs="Arial"/>
          <w:color w:val="000000"/>
          <w:szCs w:val="18"/>
        </w:rPr>
        <w:t>(</w:t>
      </w:r>
      <w:r w:rsidRPr="00DF2AB7">
        <w:rPr>
          <w:rFonts w:cs="Arial"/>
          <w:szCs w:val="18"/>
          <w:lang w:val="en-GB"/>
        </w:rPr>
        <w:t xml:space="preserve">Cass. </w:t>
      </w:r>
      <w:proofErr w:type="gramStart"/>
      <w:r w:rsidRPr="00DF2AB7">
        <w:rPr>
          <w:rFonts w:cs="Arial"/>
          <w:szCs w:val="18"/>
          <w:lang w:val="en-GB"/>
        </w:rPr>
        <w:t>pen .</w:t>
      </w:r>
      <w:proofErr w:type="gramEnd"/>
      <w:r w:rsidRPr="00DF2AB7">
        <w:rPr>
          <w:rFonts w:cs="Arial"/>
          <w:szCs w:val="18"/>
          <w:lang w:val="en-GB"/>
        </w:rPr>
        <w:t>, Sec. III, 2018</w:t>
      </w:r>
      <w:r>
        <w:rPr>
          <w:rFonts w:cs="Arial"/>
          <w:color w:val="000000"/>
          <w:szCs w:val="18"/>
        </w:rPr>
        <w:t>)</w:t>
      </w:r>
      <w:r w:rsidRPr="00DF2AB7">
        <w:rPr>
          <w:rFonts w:cs="Arial"/>
          <w:color w:val="000000"/>
          <w:szCs w:val="18"/>
        </w:rPr>
        <w:t xml:space="preserve">: </w:t>
      </w:r>
    </w:p>
    <w:p w14:paraId="3C620E13" w14:textId="77777777" w:rsidR="00123F09" w:rsidRPr="00DF2AB7" w:rsidRDefault="00123F09" w:rsidP="00F62CD0">
      <w:pPr>
        <w:pStyle w:val="CETBodytext"/>
        <w:rPr>
          <w:rFonts w:cs="Arial"/>
          <w:color w:val="000000"/>
          <w:szCs w:val="18"/>
        </w:rPr>
      </w:pPr>
    </w:p>
    <w:p w14:paraId="4CC23CCA" w14:textId="28D3F69A" w:rsidR="00F62CD0" w:rsidRPr="00DF2AB7" w:rsidRDefault="00F62CD0" w:rsidP="00F62CD0">
      <w:pPr>
        <w:pStyle w:val="CETBodytext"/>
        <w:numPr>
          <w:ilvl w:val="0"/>
          <w:numId w:val="35"/>
        </w:numPr>
        <w:rPr>
          <w:rFonts w:cs="Arial"/>
          <w:color w:val="000000"/>
          <w:szCs w:val="18"/>
        </w:rPr>
      </w:pPr>
      <w:r w:rsidRPr="00DF2AB7">
        <w:rPr>
          <w:rFonts w:cs="Arial"/>
          <w:color w:val="000000"/>
          <w:szCs w:val="18"/>
        </w:rPr>
        <w:t>if the authorization is missing, the criminal relevance of the odorous emissions must be assessed on the basis of "strict tolerability”;</w:t>
      </w:r>
    </w:p>
    <w:p w14:paraId="52A2F87C" w14:textId="3E35EB48" w:rsidR="00F62CD0" w:rsidRDefault="00F62CD0" w:rsidP="00F62CD0">
      <w:pPr>
        <w:pStyle w:val="CETBodytext"/>
        <w:numPr>
          <w:ilvl w:val="0"/>
          <w:numId w:val="35"/>
        </w:numPr>
        <w:rPr>
          <w:rFonts w:cs="Arial"/>
          <w:color w:val="000000"/>
          <w:szCs w:val="18"/>
        </w:rPr>
      </w:pPr>
      <w:r w:rsidRPr="00DF2AB7">
        <w:rPr>
          <w:rFonts w:cs="Arial"/>
          <w:color w:val="000000"/>
          <w:szCs w:val="18"/>
        </w:rPr>
        <w:t xml:space="preserve">if the authorization has been granted, the impact of such emissions, in the absence of a state law that sets the limits, must be assessed in the same way as "normal tolerability": the crime is integrated if it is proven that the company has not adopted those technical measures that can reasonably be used to reduce the </w:t>
      </w:r>
      <w:proofErr w:type="spellStart"/>
      <w:r w:rsidRPr="00DF2AB7">
        <w:rPr>
          <w:rFonts w:cs="Arial"/>
          <w:color w:val="000000"/>
          <w:szCs w:val="18"/>
        </w:rPr>
        <w:t>odo</w:t>
      </w:r>
      <w:r w:rsidR="00A65AA0">
        <w:rPr>
          <w:rFonts w:cs="Arial"/>
          <w:color w:val="000000"/>
          <w:szCs w:val="18"/>
        </w:rPr>
        <w:t>u</w:t>
      </w:r>
      <w:r w:rsidRPr="00DF2AB7">
        <w:rPr>
          <w:rFonts w:cs="Arial"/>
          <w:color w:val="000000"/>
          <w:szCs w:val="18"/>
        </w:rPr>
        <w:t>r</w:t>
      </w:r>
      <w:proofErr w:type="spellEnd"/>
      <w:r w:rsidRPr="00DF2AB7">
        <w:rPr>
          <w:rFonts w:cs="Arial"/>
          <w:color w:val="000000"/>
          <w:szCs w:val="18"/>
        </w:rPr>
        <w:t xml:space="preserve"> impact on the outside. In this sense, the </w:t>
      </w:r>
      <w:r w:rsidRPr="00DF2AB7">
        <w:rPr>
          <w:rFonts w:cs="Arial"/>
          <w:i/>
          <w:color w:val="000000"/>
          <w:szCs w:val="18"/>
        </w:rPr>
        <w:t xml:space="preserve">Best Available Techniques </w:t>
      </w:r>
      <w:r w:rsidRPr="00DF2AB7">
        <w:rPr>
          <w:rFonts w:cs="Arial"/>
          <w:color w:val="000000"/>
          <w:szCs w:val="18"/>
        </w:rPr>
        <w:t>(BAT) become an essential reference.</w:t>
      </w:r>
    </w:p>
    <w:p w14:paraId="046249C7" w14:textId="77777777" w:rsidR="00123F09" w:rsidRPr="00DF2AB7" w:rsidRDefault="00123F09" w:rsidP="00123F09">
      <w:pPr>
        <w:pStyle w:val="CETBodytext"/>
        <w:ind w:left="720"/>
        <w:rPr>
          <w:rFonts w:cs="Arial"/>
          <w:color w:val="000000"/>
          <w:szCs w:val="18"/>
        </w:rPr>
      </w:pPr>
    </w:p>
    <w:p w14:paraId="5123847D" w14:textId="3A47549C" w:rsidR="00F62CD0" w:rsidRPr="00DF2AB7" w:rsidRDefault="00F62CD0" w:rsidP="00F62CD0">
      <w:pPr>
        <w:pStyle w:val="CETBodytext"/>
      </w:pPr>
      <w:r w:rsidRPr="00DF2AB7">
        <w:t>Now that a national directi</w:t>
      </w:r>
      <w:r w:rsidR="00A65AA0">
        <w:t>ve</w:t>
      </w:r>
      <w:r w:rsidRPr="00DF2AB7">
        <w:t xml:space="preserve"> exists, the distinction may no longer have any reason to exist: in the presence of authorization, the impact of emissions will have to be assessed in the same way as what is contained in the </w:t>
      </w:r>
      <w:r w:rsidRPr="00DF2AB7">
        <w:lastRenderedPageBreak/>
        <w:t xml:space="preserve">authorization itself. In other words, the </w:t>
      </w:r>
      <w:r w:rsidR="00A65AA0">
        <w:t>permit</w:t>
      </w:r>
      <w:r w:rsidRPr="00DF2AB7">
        <w:t xml:space="preserve"> limit can reasonably be assumed by the Prosecutor's Office and the Courts as a tolerance limit. This therefore implies that the </w:t>
      </w:r>
      <w:proofErr w:type="spellStart"/>
      <w:r>
        <w:t>odour</w:t>
      </w:r>
      <w:proofErr w:type="spellEnd"/>
      <w:r>
        <w:t xml:space="preserve"> </w:t>
      </w:r>
      <w:r w:rsidRPr="00DF2AB7">
        <w:t>concentration will become the scientific starting point for evaluating whether normal tolerability has been exceeded.</w:t>
      </w:r>
    </w:p>
    <w:p w14:paraId="5A9E8846" w14:textId="33FF8B15" w:rsidR="00F62CD0" w:rsidRPr="00DF2AB7" w:rsidRDefault="00F62CD0" w:rsidP="00F62CD0">
      <w:pPr>
        <w:pStyle w:val="CETHeading1"/>
      </w:pPr>
      <w:r w:rsidRPr="00DF2AB7">
        <w:t>Adjustment times and cogency of the guidelines</w:t>
      </w:r>
    </w:p>
    <w:p w14:paraId="0EDECF9B" w14:textId="353F5B9D" w:rsidR="00F62CD0" w:rsidRPr="00DF2AB7" w:rsidRDefault="00F62CD0" w:rsidP="00F62CD0">
      <w:pPr>
        <w:pStyle w:val="CETBodytext"/>
      </w:pPr>
      <w:r w:rsidRPr="00DF2AB7">
        <w:t xml:space="preserve">Not having a regulatory nature and therefore the status of a secondary source, nor the nature of a state law and therefore the status of a primary source, the guidelines adopted by the Ministry of the Environment regarding </w:t>
      </w:r>
      <w:proofErr w:type="spellStart"/>
      <w:r>
        <w:t>odour</w:t>
      </w:r>
      <w:proofErr w:type="spellEnd"/>
      <w:r>
        <w:t xml:space="preserve"> </w:t>
      </w:r>
      <w:r w:rsidRPr="00DF2AB7">
        <w:t xml:space="preserve">emissions are not directly binding. </w:t>
      </w:r>
    </w:p>
    <w:p w14:paraId="14CF2F8C" w14:textId="404326E6" w:rsidR="00F62CD0" w:rsidRPr="002B1E07" w:rsidRDefault="00F62CD0" w:rsidP="00F62CD0">
      <w:pPr>
        <w:pStyle w:val="CETBodytext"/>
      </w:pPr>
      <w:r w:rsidRPr="00DF2AB7">
        <w:t xml:space="preserve">According to the Constitutional Court, the rules contained in ministerial decrees can be considered technical rules, attributable to the exercise of the technical coordination function, if they are </w:t>
      </w:r>
      <w:r w:rsidRPr="00A65AA0">
        <w:rPr>
          <w:i/>
          <w:iCs/>
        </w:rPr>
        <w:t>"prescriptions that are generally developed on the basis of principles deduced from the so-called 'exact sciences'</w:t>
      </w:r>
      <w:r w:rsidRPr="002B1E07">
        <w:t>”</w:t>
      </w:r>
      <w:r w:rsidRPr="00DF2AB7">
        <w:t>.</w:t>
      </w:r>
    </w:p>
    <w:p w14:paraId="6B5FD736" w14:textId="2B986D66" w:rsidR="00F62CD0" w:rsidRPr="00DF2AB7" w:rsidRDefault="00F62CD0" w:rsidP="00F62CD0">
      <w:pPr>
        <w:pStyle w:val="CETBodytext"/>
        <w:rPr>
          <w:bCs/>
        </w:rPr>
      </w:pPr>
      <w:r w:rsidRPr="002B1E07">
        <w:rPr>
          <w:bCs/>
        </w:rPr>
        <w:t xml:space="preserve">At present, therefore, the </w:t>
      </w:r>
      <w:proofErr w:type="spellStart"/>
      <w:r>
        <w:t>odour</w:t>
      </w:r>
      <w:proofErr w:type="spellEnd"/>
      <w:r>
        <w:t xml:space="preserve"> </w:t>
      </w:r>
      <w:r w:rsidRPr="002B1E07">
        <w:t>concentration values (</w:t>
      </w:r>
      <w:proofErr w:type="spellStart"/>
      <w:r w:rsidRPr="002B1E07">
        <w:t>ou</w:t>
      </w:r>
      <w:r w:rsidRPr="002B1E07">
        <w:rPr>
          <w:vertAlign w:val="subscript"/>
        </w:rPr>
        <w:t>E</w:t>
      </w:r>
      <w:proofErr w:type="spellEnd"/>
      <w:r w:rsidRPr="002B1E07">
        <w:t>/m</w:t>
      </w:r>
      <w:r w:rsidRPr="002B1E07">
        <w:rPr>
          <w:vertAlign w:val="superscript"/>
        </w:rPr>
        <w:t>3</w:t>
      </w:r>
      <w:r w:rsidRPr="002B1E07">
        <w:t xml:space="preserve">) and </w:t>
      </w:r>
      <w:proofErr w:type="spellStart"/>
      <w:r>
        <w:t>odour</w:t>
      </w:r>
      <w:proofErr w:type="spellEnd"/>
      <w:r>
        <w:t xml:space="preserve"> </w:t>
      </w:r>
      <w:r w:rsidRPr="002B1E07">
        <w:t>flow rate (</w:t>
      </w:r>
      <w:proofErr w:type="spellStart"/>
      <w:r w:rsidRPr="002B1E07">
        <w:t>ou</w:t>
      </w:r>
      <w:r w:rsidRPr="002B1E07">
        <w:rPr>
          <w:vertAlign w:val="subscript"/>
        </w:rPr>
        <w:t>E</w:t>
      </w:r>
      <w:proofErr w:type="spellEnd"/>
      <w:r w:rsidRPr="002B1E07">
        <w:t xml:space="preserve">/s) can be said to be binding only to the extent </w:t>
      </w:r>
      <w:r w:rsidRPr="00DF2AB7">
        <w:t xml:space="preserve">that they flow into the authorization requirements regarding </w:t>
      </w:r>
      <w:proofErr w:type="spellStart"/>
      <w:r>
        <w:t>odour</w:t>
      </w:r>
      <w:proofErr w:type="spellEnd"/>
      <w:r>
        <w:t xml:space="preserve"> </w:t>
      </w:r>
      <w:r w:rsidRPr="00DF2AB7">
        <w:t>emissions.</w:t>
      </w:r>
    </w:p>
    <w:p w14:paraId="56D02C26" w14:textId="36930DB3" w:rsidR="00F62CD0" w:rsidRPr="00DF2AB7" w:rsidRDefault="00F62CD0" w:rsidP="00F62CD0">
      <w:pPr>
        <w:rPr>
          <w:rFonts w:cs="Arial"/>
          <w:color w:val="000000"/>
          <w:szCs w:val="18"/>
        </w:rPr>
      </w:pPr>
      <w:r w:rsidRPr="00DF2AB7">
        <w:rPr>
          <w:rFonts w:cs="Arial"/>
          <w:color w:val="000000"/>
          <w:szCs w:val="18"/>
        </w:rPr>
        <w:t xml:space="preserve">However, this does not imply that plants and establishments that produce emissions can simply wait for the Authority to start the authorization procedure or carry out checks in case of critical issues. It seems prudent, in fact, to immediately activate an analysis of the emission points and of the extent of </w:t>
      </w:r>
      <w:r>
        <w:rPr>
          <w:rFonts w:cs="Arial"/>
          <w:color w:val="000000"/>
          <w:szCs w:val="18"/>
        </w:rPr>
        <w:t xml:space="preserve">odour </w:t>
      </w:r>
      <w:r w:rsidRPr="00DF2AB7">
        <w:rPr>
          <w:rFonts w:cs="Arial"/>
          <w:color w:val="000000"/>
          <w:szCs w:val="18"/>
        </w:rPr>
        <w:t>emissions in order to preventively evaluate their compatibility with the new guidelines.</w:t>
      </w:r>
    </w:p>
    <w:p w14:paraId="630A6D3A" w14:textId="10FDC768" w:rsidR="00F62CD0" w:rsidRPr="00DF2AB7" w:rsidRDefault="00F62CD0" w:rsidP="00F62CD0">
      <w:pPr>
        <w:pStyle w:val="CETHeading1"/>
      </w:pPr>
      <w:r w:rsidRPr="00DF2AB7">
        <w:t>Conclusions</w:t>
      </w:r>
    </w:p>
    <w:p w14:paraId="220D3B70" w14:textId="7541247B" w:rsidR="00F62CD0" w:rsidRDefault="00F62CD0" w:rsidP="00F62CD0">
      <w:pPr>
        <w:pStyle w:val="CETBodytext"/>
      </w:pPr>
      <w:r w:rsidRPr="00DF2AB7">
        <w:t xml:space="preserve">The need, perceived by many as urgent, to give uniform regulation to the issue of </w:t>
      </w:r>
      <w:proofErr w:type="spellStart"/>
      <w:r>
        <w:t>odour</w:t>
      </w:r>
      <w:proofErr w:type="spellEnd"/>
      <w:r>
        <w:t xml:space="preserve"> </w:t>
      </w:r>
      <w:r w:rsidRPr="00DF2AB7">
        <w:t>emissions has finally found implementation in the guidelines adopted by the Ministry of the Environment and Energy Security with Directorial Decree of 28 June 2023.</w:t>
      </w:r>
    </w:p>
    <w:p w14:paraId="44A38C15" w14:textId="2066D6D3" w:rsidR="00AC7E61" w:rsidRPr="00DF2AB7" w:rsidRDefault="00AC7E61" w:rsidP="00F62CD0">
      <w:pPr>
        <w:pStyle w:val="CETBodytext"/>
      </w:pPr>
      <w:r w:rsidRPr="00AC7E61">
        <w:t xml:space="preserve">Through the establishment of a virtuous circle described in the ministerial guidelines, it is possible to protect citizens from industrial </w:t>
      </w:r>
      <w:proofErr w:type="spellStart"/>
      <w:r w:rsidRPr="00AC7E61">
        <w:t>odo</w:t>
      </w:r>
      <w:r>
        <w:t>ur</w:t>
      </w:r>
      <w:proofErr w:type="spellEnd"/>
      <w:r>
        <w:t xml:space="preserve"> </w:t>
      </w:r>
      <w:r w:rsidRPr="00AC7E61">
        <w:t>emissions without exceeding overly cautious prescriptions for plants.</w:t>
      </w:r>
    </w:p>
    <w:p w14:paraId="70AE0AB5" w14:textId="2070F533" w:rsidR="00F62CD0" w:rsidRPr="00DF2AB7" w:rsidRDefault="00F62CD0" w:rsidP="00F62CD0">
      <w:pPr>
        <w:pStyle w:val="CETBodytext"/>
      </w:pPr>
      <w:r w:rsidRPr="00DF2AB7">
        <w:rPr>
          <w:color w:val="000000" w:themeColor="text1"/>
        </w:rPr>
        <w:t xml:space="preserve">Having therefore achieved the hoped-for standardization of regulations, </w:t>
      </w:r>
      <w:r w:rsidRPr="00DF2AB7">
        <w:t xml:space="preserve">through the identification </w:t>
      </w:r>
      <w:r w:rsidRPr="00DF2AB7">
        <w:rPr>
          <w:bCs/>
          <w:color w:val="000000" w:themeColor="text1"/>
        </w:rPr>
        <w:t xml:space="preserve">of national acceptability thresholds, it must still be considered that, </w:t>
      </w:r>
      <w:r w:rsidRPr="00DF2AB7">
        <w:rPr>
          <w:color w:val="000000" w:themeColor="text1"/>
        </w:rPr>
        <w:t xml:space="preserve">on the basis of art. 272 </w:t>
      </w:r>
      <w:r w:rsidRPr="00DF2AB7">
        <w:rPr>
          <w:i/>
          <w:color w:val="000000" w:themeColor="text1"/>
        </w:rPr>
        <w:t xml:space="preserve">bis </w:t>
      </w:r>
      <w:r w:rsidRPr="00DF2AB7">
        <w:rPr>
          <w:color w:val="000000" w:themeColor="text1"/>
        </w:rPr>
        <w:t xml:space="preserve">of Legislative Decree 152/2006, the </w:t>
      </w:r>
      <w:r w:rsidRPr="00DF2AB7">
        <w:t xml:space="preserve">Regions </w:t>
      </w:r>
      <w:r w:rsidRPr="00DF2AB7">
        <w:rPr>
          <w:color w:val="000000" w:themeColor="text1"/>
        </w:rPr>
        <w:t xml:space="preserve">retain </w:t>
      </w:r>
      <w:r w:rsidRPr="00DF2AB7">
        <w:t xml:space="preserve">the power to regulate </w:t>
      </w:r>
      <w:proofErr w:type="spellStart"/>
      <w:r>
        <w:t>odour</w:t>
      </w:r>
      <w:proofErr w:type="spellEnd"/>
      <w:r>
        <w:t xml:space="preserve"> </w:t>
      </w:r>
      <w:r w:rsidRPr="00DF2AB7">
        <w:t>emissions, increasing the standard of environmental protection. This regulatory power, however, is not without constraints but must fit within the perimeter outlined by national legislation, according to the clarifications offered by the Constitutional Court with ruling 178/2019.</w:t>
      </w:r>
    </w:p>
    <w:p w14:paraId="5FDDA57B" w14:textId="2433F1EF" w:rsidR="00F62CD0" w:rsidRDefault="00F62CD0" w:rsidP="00F62CD0">
      <w:pPr>
        <w:pStyle w:val="CETBodytext"/>
      </w:pPr>
      <w:r w:rsidRPr="00DF2AB7">
        <w:t xml:space="preserve">We can therefore expect a completion or update of the regional legislation on the basis of ministerial guidelines and, above all, important innovations in the area of authorization and control procedures, in view of which it seems appropriate to take spontaneous action now for the technological adaptation of the activities production with certain or potential </w:t>
      </w:r>
      <w:proofErr w:type="spellStart"/>
      <w:r>
        <w:t>odour</w:t>
      </w:r>
      <w:proofErr w:type="spellEnd"/>
      <w:r>
        <w:t xml:space="preserve"> </w:t>
      </w:r>
      <w:r w:rsidRPr="00DF2AB7">
        <w:t>impacts.</w:t>
      </w:r>
    </w:p>
    <w:p w14:paraId="4C22A48A" w14:textId="77777777" w:rsidR="00F62CD0" w:rsidRPr="000D74A3" w:rsidRDefault="00F62CD0" w:rsidP="00F62CD0">
      <w:pPr>
        <w:pStyle w:val="CETHeading1"/>
        <w:numPr>
          <w:ilvl w:val="0"/>
          <w:numId w:val="0"/>
        </w:numPr>
        <w:rPr>
          <w:lang w:val="en-GB"/>
        </w:rPr>
      </w:pPr>
      <w:r w:rsidRPr="000D74A3">
        <w:rPr>
          <w:lang w:val="en-GB"/>
        </w:rPr>
        <w:t>References</w:t>
      </w:r>
    </w:p>
    <w:p w14:paraId="33814BCD" w14:textId="0A44F8F3" w:rsidR="00F62CD0" w:rsidRPr="006440DC" w:rsidRDefault="00A65AA0" w:rsidP="00F62CD0">
      <w:pPr>
        <w:pStyle w:val="CETReferencetext"/>
        <w:rPr>
          <w:rFonts w:ascii="Helvetica" w:hAnsi="Helvetica"/>
          <w:szCs w:val="18"/>
          <w:shd w:val="clear" w:color="auto" w:fill="FFFFFF"/>
        </w:rPr>
      </w:pPr>
      <w:proofErr w:type="spellStart"/>
      <w:r w:rsidRPr="006440DC">
        <w:rPr>
          <w:rFonts w:ascii="Helvetica" w:hAnsi="Helvetica"/>
          <w:szCs w:val="18"/>
          <w:shd w:val="clear" w:color="auto" w:fill="FFFFFF"/>
        </w:rPr>
        <w:t>Bogalecka</w:t>
      </w:r>
      <w:proofErr w:type="spellEnd"/>
      <w:r w:rsidRPr="006440DC">
        <w:rPr>
          <w:rFonts w:ascii="Helvetica" w:hAnsi="Helvetica"/>
          <w:szCs w:val="18"/>
          <w:shd w:val="clear" w:color="auto" w:fill="FFFFFF"/>
        </w:rPr>
        <w:t xml:space="preserve"> M., </w:t>
      </w:r>
      <w:proofErr w:type="spellStart"/>
      <w:r w:rsidRPr="006440DC">
        <w:rPr>
          <w:rFonts w:ascii="Helvetica" w:hAnsi="Helvetica"/>
          <w:szCs w:val="18"/>
          <w:shd w:val="clear" w:color="auto" w:fill="FFFFFF"/>
        </w:rPr>
        <w:t>Grobelna</w:t>
      </w:r>
      <w:proofErr w:type="spellEnd"/>
      <w:r w:rsidRPr="006440DC">
        <w:rPr>
          <w:rFonts w:ascii="Helvetica" w:hAnsi="Helvetica"/>
          <w:szCs w:val="18"/>
          <w:shd w:val="clear" w:color="auto" w:fill="FFFFFF"/>
        </w:rPr>
        <w:t xml:space="preserve"> A.</w:t>
      </w:r>
      <w:r w:rsidR="008113EE">
        <w:rPr>
          <w:rFonts w:ascii="Helvetica" w:hAnsi="Helvetica"/>
          <w:szCs w:val="18"/>
          <w:shd w:val="clear" w:color="auto" w:fill="FFFFFF"/>
        </w:rPr>
        <w:t>, 2023,</w:t>
      </w:r>
      <w:r w:rsidRPr="006440DC">
        <w:rPr>
          <w:rFonts w:ascii="Helvetica" w:hAnsi="Helvetica"/>
          <w:szCs w:val="18"/>
          <w:shd w:val="clear" w:color="auto" w:fill="FFFFFF"/>
        </w:rPr>
        <w:t xml:space="preserve"> Air Pollution and Its Potential Consequences for Tourism and Career Development from Students’ Perspective: A Case Study of the </w:t>
      </w:r>
      <w:proofErr w:type="spellStart"/>
      <w:r w:rsidRPr="006440DC">
        <w:rPr>
          <w:rFonts w:ascii="Helvetica" w:hAnsi="Helvetica"/>
          <w:szCs w:val="18"/>
          <w:shd w:val="clear" w:color="auto" w:fill="FFFFFF"/>
        </w:rPr>
        <w:t>Gdańsk</w:t>
      </w:r>
      <w:proofErr w:type="spellEnd"/>
      <w:r w:rsidRPr="006440DC">
        <w:rPr>
          <w:rFonts w:ascii="Helvetica" w:hAnsi="Helvetica"/>
          <w:szCs w:val="18"/>
          <w:shd w:val="clear" w:color="auto" w:fill="FFFFFF"/>
        </w:rPr>
        <w:t xml:space="preserve"> Agglomeration in Poland. </w:t>
      </w:r>
      <w:r w:rsidRPr="006440DC">
        <w:rPr>
          <w:rStyle w:val="Enfasicorsivo"/>
          <w:rFonts w:ascii="Helvetica" w:hAnsi="Helvetica"/>
          <w:szCs w:val="18"/>
          <w:shd w:val="clear" w:color="auto" w:fill="FFFFFF"/>
        </w:rPr>
        <w:t>Int. J. Environ. Res. Public Health</w:t>
      </w:r>
      <w:r w:rsidRPr="006440DC">
        <w:rPr>
          <w:rFonts w:ascii="Helvetica" w:hAnsi="Helvetica"/>
          <w:szCs w:val="18"/>
          <w:shd w:val="clear" w:color="auto" w:fill="FFFFFF"/>
        </w:rPr>
        <w:t> 2023, </w:t>
      </w:r>
      <w:r w:rsidRPr="006440DC">
        <w:rPr>
          <w:rStyle w:val="Enfasicorsivo"/>
          <w:rFonts w:ascii="Helvetica" w:hAnsi="Helvetica"/>
          <w:szCs w:val="18"/>
          <w:shd w:val="clear" w:color="auto" w:fill="FFFFFF"/>
        </w:rPr>
        <w:t>20</w:t>
      </w:r>
      <w:r w:rsidRPr="006440DC">
        <w:rPr>
          <w:rFonts w:ascii="Helvetica" w:hAnsi="Helvetica"/>
          <w:szCs w:val="18"/>
          <w:shd w:val="clear" w:color="auto" w:fill="FFFFFF"/>
        </w:rPr>
        <w:t xml:space="preserve">, 2651. </w:t>
      </w:r>
      <w:hyperlink r:id="rId10" w:history="1">
        <w:r w:rsidR="00A54EDB">
          <w:rPr>
            <w:rStyle w:val="Collegamentoipertestuale"/>
            <w:rFonts w:ascii="Helvetica" w:hAnsi="Helvetica"/>
            <w:color w:val="auto"/>
            <w:szCs w:val="18"/>
            <w:u w:val="none"/>
            <w:shd w:val="clear" w:color="auto" w:fill="FFFFFF"/>
          </w:rPr>
          <w:t>DOI:</w:t>
        </w:r>
        <w:r w:rsidRPr="006440DC">
          <w:rPr>
            <w:rStyle w:val="Collegamentoipertestuale"/>
            <w:rFonts w:ascii="Helvetica" w:hAnsi="Helvetica"/>
            <w:color w:val="auto"/>
            <w:szCs w:val="18"/>
            <w:u w:val="none"/>
            <w:shd w:val="clear" w:color="auto" w:fill="FFFFFF"/>
          </w:rPr>
          <w:t>10.3390/ijerph20032651</w:t>
        </w:r>
      </w:hyperlink>
    </w:p>
    <w:p w14:paraId="22924324" w14:textId="77777777" w:rsidR="00A65AA0" w:rsidRPr="006440DC" w:rsidRDefault="00A65AA0" w:rsidP="00F62CD0">
      <w:pPr>
        <w:pStyle w:val="CETReferencetext"/>
        <w:rPr>
          <w:rFonts w:cs="Arial"/>
          <w:szCs w:val="18"/>
          <w:lang w:eastAsia="it-IT"/>
        </w:rPr>
      </w:pPr>
    </w:p>
    <w:p w14:paraId="47CCE627" w14:textId="45A292E0" w:rsidR="00F62CD0" w:rsidRPr="006440DC" w:rsidRDefault="00800C64" w:rsidP="00F62CD0">
      <w:pPr>
        <w:pStyle w:val="CETReferencetext"/>
        <w:rPr>
          <w:rFonts w:cs="Arial"/>
          <w:szCs w:val="18"/>
          <w:lang w:eastAsia="it-IT"/>
        </w:rPr>
      </w:pPr>
      <w:proofErr w:type="spellStart"/>
      <w:r w:rsidRPr="006440DC">
        <w:rPr>
          <w:rFonts w:cs="Arial"/>
          <w:szCs w:val="18"/>
          <w:lang w:eastAsia="it-IT"/>
        </w:rPr>
        <w:t>Bokowa</w:t>
      </w:r>
      <w:proofErr w:type="spellEnd"/>
      <w:r w:rsidRPr="006440DC">
        <w:rPr>
          <w:rFonts w:cs="Arial"/>
          <w:szCs w:val="18"/>
          <w:lang w:eastAsia="it-IT"/>
        </w:rPr>
        <w:t xml:space="preserve"> A.</w:t>
      </w:r>
      <w:r w:rsidR="00A65AA0" w:rsidRPr="006440DC">
        <w:rPr>
          <w:rFonts w:cs="Arial"/>
          <w:szCs w:val="18"/>
          <w:lang w:eastAsia="it-IT"/>
        </w:rPr>
        <w:t>,</w:t>
      </w:r>
      <w:r w:rsidRPr="006440DC">
        <w:rPr>
          <w:rFonts w:cs="Arial"/>
          <w:szCs w:val="18"/>
          <w:lang w:eastAsia="it-IT"/>
        </w:rPr>
        <w:t xml:space="preserve"> </w:t>
      </w:r>
      <w:proofErr w:type="spellStart"/>
      <w:proofErr w:type="gramStart"/>
      <w:r w:rsidRPr="006440DC">
        <w:rPr>
          <w:rFonts w:cs="Arial"/>
          <w:szCs w:val="18"/>
          <w:lang w:eastAsia="it-IT"/>
        </w:rPr>
        <w:t>Diaz,C</w:t>
      </w:r>
      <w:proofErr w:type="spellEnd"/>
      <w:r w:rsidRPr="006440DC">
        <w:rPr>
          <w:rFonts w:cs="Arial"/>
          <w:szCs w:val="18"/>
          <w:lang w:eastAsia="it-IT"/>
        </w:rPr>
        <w:t>.</w:t>
      </w:r>
      <w:proofErr w:type="gramEnd"/>
      <w:r w:rsidR="00A65AA0" w:rsidRPr="006440DC">
        <w:rPr>
          <w:rFonts w:cs="Arial"/>
          <w:szCs w:val="18"/>
          <w:lang w:eastAsia="it-IT"/>
        </w:rPr>
        <w:t>,</w:t>
      </w:r>
      <w:r w:rsidRPr="006440DC">
        <w:rPr>
          <w:rFonts w:cs="Arial"/>
          <w:szCs w:val="18"/>
          <w:lang w:eastAsia="it-IT"/>
        </w:rPr>
        <w:t xml:space="preserve"> </w:t>
      </w:r>
      <w:proofErr w:type="spellStart"/>
      <w:r w:rsidRPr="006440DC">
        <w:rPr>
          <w:rFonts w:cs="Arial"/>
          <w:szCs w:val="18"/>
          <w:lang w:eastAsia="it-IT"/>
        </w:rPr>
        <w:t>Koziel</w:t>
      </w:r>
      <w:proofErr w:type="spellEnd"/>
      <w:r w:rsidR="008113EE">
        <w:rPr>
          <w:rFonts w:cs="Arial"/>
          <w:szCs w:val="18"/>
          <w:lang w:eastAsia="it-IT"/>
        </w:rPr>
        <w:t xml:space="preserve"> </w:t>
      </w:r>
      <w:r w:rsidRPr="006440DC">
        <w:rPr>
          <w:rFonts w:cs="Arial"/>
          <w:szCs w:val="18"/>
          <w:lang w:eastAsia="it-IT"/>
        </w:rPr>
        <w:t>J.A.</w:t>
      </w:r>
      <w:r w:rsidR="00A65AA0" w:rsidRPr="006440DC">
        <w:rPr>
          <w:rFonts w:cs="Arial"/>
          <w:szCs w:val="18"/>
          <w:lang w:eastAsia="it-IT"/>
        </w:rPr>
        <w:t>,</w:t>
      </w:r>
      <w:r w:rsidRPr="006440DC">
        <w:rPr>
          <w:rFonts w:cs="Arial"/>
          <w:szCs w:val="18"/>
          <w:lang w:eastAsia="it-IT"/>
        </w:rPr>
        <w:t xml:space="preserve"> McGinley M.</w:t>
      </w:r>
      <w:r w:rsidR="00A65AA0" w:rsidRPr="006440DC">
        <w:rPr>
          <w:rFonts w:cs="Arial"/>
          <w:szCs w:val="18"/>
          <w:lang w:eastAsia="it-IT"/>
        </w:rPr>
        <w:t>,</w:t>
      </w:r>
      <w:r w:rsidRPr="006440DC">
        <w:rPr>
          <w:rFonts w:cs="Arial"/>
          <w:szCs w:val="18"/>
          <w:lang w:eastAsia="it-IT"/>
        </w:rPr>
        <w:t xml:space="preserve"> Barclay J.</w:t>
      </w:r>
      <w:r w:rsidR="00A65AA0" w:rsidRPr="006440DC">
        <w:rPr>
          <w:rFonts w:cs="Arial"/>
          <w:szCs w:val="18"/>
          <w:lang w:eastAsia="it-IT"/>
        </w:rPr>
        <w:t>,</w:t>
      </w:r>
      <w:r w:rsidRPr="006440DC">
        <w:rPr>
          <w:rFonts w:cs="Arial"/>
          <w:szCs w:val="18"/>
          <w:lang w:eastAsia="it-IT"/>
        </w:rPr>
        <w:t xml:space="preserve"> </w:t>
      </w:r>
      <w:proofErr w:type="spellStart"/>
      <w:r w:rsidRPr="006440DC">
        <w:rPr>
          <w:rFonts w:cs="Arial"/>
          <w:szCs w:val="18"/>
          <w:lang w:eastAsia="it-IT"/>
        </w:rPr>
        <w:t>Schauberger</w:t>
      </w:r>
      <w:proofErr w:type="spellEnd"/>
      <w:r w:rsidRPr="006440DC">
        <w:rPr>
          <w:rFonts w:cs="Arial"/>
          <w:szCs w:val="18"/>
          <w:lang w:eastAsia="it-IT"/>
        </w:rPr>
        <w:t xml:space="preserve"> G.</w:t>
      </w:r>
      <w:r w:rsidR="00A65AA0" w:rsidRPr="006440DC">
        <w:rPr>
          <w:rFonts w:cs="Arial"/>
          <w:szCs w:val="18"/>
          <w:lang w:eastAsia="it-IT"/>
        </w:rPr>
        <w:t>,</w:t>
      </w:r>
      <w:r w:rsidRPr="006440DC">
        <w:rPr>
          <w:rFonts w:cs="Arial"/>
          <w:szCs w:val="18"/>
          <w:lang w:eastAsia="it-IT"/>
        </w:rPr>
        <w:t xml:space="preserve"> Guillot J.-M.</w:t>
      </w:r>
      <w:r w:rsidR="00A65AA0" w:rsidRPr="006440DC">
        <w:rPr>
          <w:rFonts w:cs="Arial"/>
          <w:szCs w:val="18"/>
          <w:lang w:eastAsia="it-IT"/>
        </w:rPr>
        <w:t>,</w:t>
      </w:r>
      <w:r w:rsidRPr="006440DC">
        <w:rPr>
          <w:rFonts w:cs="Arial"/>
          <w:szCs w:val="18"/>
          <w:lang w:eastAsia="it-IT"/>
        </w:rPr>
        <w:t xml:space="preserve"> Sneath R.</w:t>
      </w:r>
      <w:r w:rsidR="00A65AA0" w:rsidRPr="006440DC">
        <w:rPr>
          <w:rFonts w:cs="Arial"/>
          <w:szCs w:val="18"/>
          <w:lang w:eastAsia="it-IT"/>
        </w:rPr>
        <w:t>,</w:t>
      </w:r>
      <w:r w:rsidRPr="006440DC">
        <w:rPr>
          <w:rFonts w:cs="Arial"/>
          <w:szCs w:val="18"/>
          <w:lang w:eastAsia="it-IT"/>
        </w:rPr>
        <w:t xml:space="preserve"> Capelli L.</w:t>
      </w:r>
      <w:r w:rsidR="00A65AA0" w:rsidRPr="006440DC">
        <w:rPr>
          <w:rFonts w:cs="Arial"/>
          <w:szCs w:val="18"/>
          <w:lang w:eastAsia="it-IT"/>
        </w:rPr>
        <w:t>,</w:t>
      </w:r>
      <w:r w:rsidRPr="006440DC">
        <w:rPr>
          <w:rFonts w:cs="Arial"/>
          <w:szCs w:val="18"/>
          <w:lang w:eastAsia="it-IT"/>
        </w:rPr>
        <w:t xml:space="preserve"> </w:t>
      </w:r>
      <w:proofErr w:type="spellStart"/>
      <w:r w:rsidRPr="006440DC">
        <w:rPr>
          <w:rFonts w:cs="Arial"/>
          <w:szCs w:val="18"/>
          <w:lang w:eastAsia="it-IT"/>
        </w:rPr>
        <w:t>Zorich</w:t>
      </w:r>
      <w:proofErr w:type="spellEnd"/>
      <w:r w:rsidR="008113EE">
        <w:rPr>
          <w:rFonts w:cs="Arial"/>
          <w:szCs w:val="18"/>
          <w:lang w:eastAsia="it-IT"/>
        </w:rPr>
        <w:t xml:space="preserve"> </w:t>
      </w:r>
      <w:r w:rsidRPr="006440DC">
        <w:rPr>
          <w:rFonts w:cs="Arial"/>
          <w:szCs w:val="18"/>
          <w:lang w:eastAsia="it-IT"/>
        </w:rPr>
        <w:t>V.</w:t>
      </w:r>
      <w:r w:rsidR="00A65AA0" w:rsidRPr="006440DC">
        <w:rPr>
          <w:rFonts w:cs="Arial"/>
          <w:szCs w:val="18"/>
          <w:lang w:eastAsia="it-IT"/>
        </w:rPr>
        <w:t>,</w:t>
      </w:r>
      <w:r w:rsidRPr="006440DC">
        <w:rPr>
          <w:rFonts w:cs="Arial"/>
          <w:szCs w:val="18"/>
          <w:lang w:eastAsia="it-IT"/>
        </w:rPr>
        <w:t xml:space="preserve"> et al.</w:t>
      </w:r>
      <w:r w:rsidR="008113EE">
        <w:rPr>
          <w:rFonts w:cs="Arial"/>
          <w:szCs w:val="18"/>
          <w:lang w:eastAsia="it-IT"/>
        </w:rPr>
        <w:t>, 2021,</w:t>
      </w:r>
      <w:r w:rsidRPr="006440DC">
        <w:rPr>
          <w:rFonts w:cs="Arial"/>
          <w:szCs w:val="18"/>
          <w:lang w:eastAsia="it-IT"/>
        </w:rPr>
        <w:t xml:space="preserve"> Summary and Overview of the Odour Regulations Worldwide. </w:t>
      </w:r>
      <w:r w:rsidRPr="006440DC">
        <w:rPr>
          <w:rFonts w:cs="Arial"/>
          <w:i/>
          <w:iCs/>
          <w:szCs w:val="18"/>
          <w:lang w:eastAsia="it-IT"/>
        </w:rPr>
        <w:t>Atmosphere</w:t>
      </w:r>
      <w:r w:rsidRPr="006440DC">
        <w:rPr>
          <w:rFonts w:cs="Arial"/>
          <w:szCs w:val="18"/>
          <w:lang w:eastAsia="it-IT"/>
        </w:rPr>
        <w:t xml:space="preserve">, 12, 206. </w:t>
      </w:r>
      <w:hyperlink r:id="rId11" w:history="1">
        <w:r w:rsidR="008113EE">
          <w:rPr>
            <w:rStyle w:val="Collegamentoipertestuale"/>
            <w:rFonts w:cs="Arial"/>
            <w:color w:val="auto"/>
            <w:szCs w:val="18"/>
            <w:u w:val="none"/>
            <w:lang w:eastAsia="it-IT"/>
          </w:rPr>
          <w:t xml:space="preserve">DOI: </w:t>
        </w:r>
        <w:r w:rsidRPr="006440DC">
          <w:rPr>
            <w:rStyle w:val="Collegamentoipertestuale"/>
            <w:rFonts w:cs="Arial"/>
            <w:color w:val="auto"/>
            <w:szCs w:val="18"/>
            <w:u w:val="none"/>
            <w:lang w:eastAsia="it-IT"/>
          </w:rPr>
          <w:t>10.3390/atmos12020206</w:t>
        </w:r>
      </w:hyperlink>
    </w:p>
    <w:p w14:paraId="37DFBD76" w14:textId="77777777" w:rsidR="00800C64" w:rsidRPr="006440DC" w:rsidRDefault="00800C64" w:rsidP="00F62CD0">
      <w:pPr>
        <w:pStyle w:val="CETReferencetext"/>
        <w:rPr>
          <w:rFonts w:cs="Arial"/>
          <w:szCs w:val="18"/>
        </w:rPr>
      </w:pPr>
    </w:p>
    <w:p w14:paraId="263853BD" w14:textId="5279A1BA" w:rsidR="00F62CD0" w:rsidRPr="006636AB" w:rsidRDefault="00A65AA0" w:rsidP="00F62CD0">
      <w:pPr>
        <w:pStyle w:val="CETReferencetext"/>
        <w:rPr>
          <w:rFonts w:cs="Arial"/>
          <w:szCs w:val="18"/>
          <w:lang w:val="it-IT" w:eastAsia="it-IT"/>
        </w:rPr>
      </w:pPr>
      <w:r w:rsidRPr="006440DC">
        <w:rPr>
          <w:rFonts w:cs="Arial"/>
          <w:szCs w:val="18"/>
          <w:lang w:eastAsia="it-IT"/>
        </w:rPr>
        <w:t>Brancher M., Griffiths K.D., Franco</w:t>
      </w:r>
      <w:r w:rsidR="008113EE">
        <w:rPr>
          <w:rFonts w:cs="Arial"/>
          <w:szCs w:val="18"/>
          <w:lang w:eastAsia="it-IT"/>
        </w:rPr>
        <w:t xml:space="preserve"> </w:t>
      </w:r>
      <w:r w:rsidRPr="006440DC">
        <w:rPr>
          <w:rFonts w:cs="Arial"/>
          <w:szCs w:val="18"/>
          <w:lang w:eastAsia="it-IT"/>
        </w:rPr>
        <w:t xml:space="preserve">D., de Melo </w:t>
      </w:r>
      <w:proofErr w:type="spellStart"/>
      <w:r w:rsidRPr="006440DC">
        <w:rPr>
          <w:rFonts w:cs="Arial"/>
          <w:szCs w:val="18"/>
          <w:lang w:eastAsia="it-IT"/>
        </w:rPr>
        <w:t>Lisboa</w:t>
      </w:r>
      <w:proofErr w:type="spellEnd"/>
      <w:r w:rsidRPr="006440DC">
        <w:rPr>
          <w:rFonts w:cs="Arial"/>
          <w:szCs w:val="18"/>
          <w:lang w:eastAsia="it-IT"/>
        </w:rPr>
        <w:t xml:space="preserve"> H.</w:t>
      </w:r>
      <w:r w:rsidR="008113EE">
        <w:rPr>
          <w:rFonts w:cs="Arial"/>
          <w:szCs w:val="18"/>
          <w:lang w:eastAsia="it-IT"/>
        </w:rPr>
        <w:t>, 2017,</w:t>
      </w:r>
      <w:r w:rsidRPr="006440DC">
        <w:rPr>
          <w:rFonts w:cs="Arial"/>
          <w:szCs w:val="18"/>
          <w:lang w:eastAsia="it-IT"/>
        </w:rPr>
        <w:t xml:space="preserve"> A review of odour impact criteria in selected countries around the world. </w:t>
      </w:r>
      <w:proofErr w:type="spellStart"/>
      <w:r w:rsidRPr="006636AB">
        <w:rPr>
          <w:rFonts w:cs="Arial"/>
          <w:i/>
          <w:iCs/>
          <w:szCs w:val="18"/>
          <w:lang w:val="it-IT" w:eastAsia="it-IT"/>
        </w:rPr>
        <w:t>Chemosphere</w:t>
      </w:r>
      <w:proofErr w:type="spellEnd"/>
      <w:r w:rsidRPr="006636AB">
        <w:rPr>
          <w:rFonts w:cs="Arial"/>
          <w:szCs w:val="18"/>
          <w:lang w:val="it-IT" w:eastAsia="it-IT"/>
        </w:rPr>
        <w:t>. 168</w:t>
      </w:r>
      <w:r w:rsidR="008113EE">
        <w:rPr>
          <w:rFonts w:cs="Arial"/>
          <w:szCs w:val="18"/>
          <w:lang w:val="it-IT" w:eastAsia="it-IT"/>
        </w:rPr>
        <w:t xml:space="preserve">, </w:t>
      </w:r>
      <w:r w:rsidRPr="006636AB">
        <w:rPr>
          <w:rFonts w:cs="Arial"/>
          <w:szCs w:val="18"/>
          <w:lang w:val="it-IT" w:eastAsia="it-IT"/>
        </w:rPr>
        <w:t xml:space="preserve">1531-1570. </w:t>
      </w:r>
      <w:r w:rsidR="008113EE">
        <w:rPr>
          <w:rFonts w:cs="Arial"/>
          <w:szCs w:val="18"/>
          <w:lang w:val="it-IT" w:eastAsia="it-IT"/>
        </w:rPr>
        <w:t>DOI</w:t>
      </w:r>
      <w:r w:rsidRPr="006636AB">
        <w:rPr>
          <w:rFonts w:cs="Arial"/>
          <w:szCs w:val="18"/>
          <w:lang w:val="it-IT" w:eastAsia="it-IT"/>
        </w:rPr>
        <w:t xml:space="preserve">: 10.1016/j.chemosphere.2016.11.160. </w:t>
      </w:r>
    </w:p>
    <w:p w14:paraId="186981DE" w14:textId="77777777" w:rsidR="00A65AA0" w:rsidRPr="006636AB" w:rsidRDefault="00A65AA0" w:rsidP="00F62CD0">
      <w:pPr>
        <w:pStyle w:val="CETReferencetext"/>
        <w:rPr>
          <w:rFonts w:cs="Arial"/>
          <w:szCs w:val="18"/>
          <w:lang w:val="it-IT" w:eastAsia="it-IT"/>
        </w:rPr>
      </w:pPr>
    </w:p>
    <w:p w14:paraId="1637B40D" w14:textId="28FCA4BF" w:rsidR="00F62CD0" w:rsidRDefault="00F62CD0" w:rsidP="00F62CD0">
      <w:pPr>
        <w:pStyle w:val="CETReferencetext"/>
        <w:rPr>
          <w:rFonts w:cs="Arial"/>
          <w:szCs w:val="18"/>
          <w:lang w:val="it-IT" w:eastAsia="it-IT"/>
        </w:rPr>
      </w:pPr>
      <w:r w:rsidRPr="006636AB">
        <w:rPr>
          <w:rFonts w:cs="Arial"/>
          <w:szCs w:val="18"/>
          <w:lang w:val="it-IT" w:eastAsia="it-IT"/>
        </w:rPr>
        <w:t>Cassazione penale Sez. III Sentenza n. 4123 del 29/01/2018</w:t>
      </w:r>
    </w:p>
    <w:p w14:paraId="22B0B6CB" w14:textId="77777777" w:rsidR="00E944E3" w:rsidRDefault="00E944E3" w:rsidP="00F62CD0">
      <w:pPr>
        <w:pStyle w:val="CETReferencetext"/>
        <w:rPr>
          <w:rFonts w:cs="Arial"/>
          <w:szCs w:val="18"/>
          <w:lang w:val="it-IT" w:eastAsia="it-IT"/>
        </w:rPr>
      </w:pPr>
    </w:p>
    <w:p w14:paraId="00934160" w14:textId="363744CF" w:rsidR="00E944E3" w:rsidRDefault="00E944E3" w:rsidP="00E944E3">
      <w:pPr>
        <w:pStyle w:val="CETReferencetext"/>
        <w:rPr>
          <w:lang w:eastAsia="it-IT"/>
        </w:rPr>
      </w:pPr>
      <w:r>
        <w:rPr>
          <w:lang w:eastAsia="it-IT"/>
        </w:rPr>
        <w:t>Invernizzi M., Capelli L., Sironi S. Quantification of odour annoyance-nuisance. Chemical Engineering Transactions, 2016. 54, pp. 205 - 210. DOI: 10.3303/CET1654035</w:t>
      </w:r>
    </w:p>
    <w:p w14:paraId="01578AE0" w14:textId="16776667" w:rsidR="008113EE" w:rsidRDefault="008113EE" w:rsidP="00E944E3">
      <w:pPr>
        <w:pStyle w:val="CETReferencetext"/>
        <w:rPr>
          <w:lang w:eastAsia="it-IT"/>
        </w:rPr>
      </w:pPr>
    </w:p>
    <w:p w14:paraId="7DA04BA4" w14:textId="628FC71F" w:rsidR="008113EE" w:rsidRDefault="008113EE" w:rsidP="008113EE">
      <w:pPr>
        <w:pStyle w:val="CETReferencetext"/>
        <w:rPr>
          <w:lang w:eastAsia="it-IT"/>
        </w:rPr>
      </w:pPr>
      <w:r>
        <w:rPr>
          <w:lang w:eastAsia="it-IT"/>
        </w:rPr>
        <w:t>Invernizzi M., Teramo E., Busini V., Sironi S., 2020, A model for the evaluation of organic compounds emission from aerated liquid surfaces, Chemosphere, 240, 124923, DOI: 10.1016/j.chemosphere.2019.124923</w:t>
      </w:r>
    </w:p>
    <w:p w14:paraId="783A26A8" w14:textId="77777777" w:rsidR="00F62CD0" w:rsidRPr="006636AB" w:rsidRDefault="00F62CD0" w:rsidP="00F62CD0">
      <w:pPr>
        <w:pStyle w:val="CETReferencetext"/>
        <w:rPr>
          <w:rFonts w:cs="Arial"/>
          <w:szCs w:val="18"/>
          <w:lang w:val="it-IT" w:eastAsia="it-IT"/>
        </w:rPr>
      </w:pPr>
    </w:p>
    <w:p w14:paraId="69E9E846" w14:textId="2BA117D0" w:rsidR="00F62CD0" w:rsidRPr="006636AB" w:rsidRDefault="00F62CD0" w:rsidP="006440DC">
      <w:pPr>
        <w:pStyle w:val="CETReferencetext"/>
        <w:rPr>
          <w:rFonts w:cs="Arial"/>
          <w:szCs w:val="18"/>
          <w:lang w:val="it-IT" w:eastAsia="it-IT"/>
        </w:rPr>
      </w:pPr>
      <w:r w:rsidRPr="006636AB">
        <w:rPr>
          <w:rFonts w:cs="Arial"/>
          <w:szCs w:val="18"/>
          <w:lang w:val="it-IT" w:eastAsia="it-IT"/>
        </w:rPr>
        <w:t>MASE 2023.</w:t>
      </w:r>
      <w:r w:rsidR="006440DC" w:rsidRPr="006636AB">
        <w:rPr>
          <w:rFonts w:cs="Arial"/>
          <w:szCs w:val="18"/>
          <w:lang w:val="it-IT" w:eastAsia="it-IT"/>
        </w:rPr>
        <w:t xml:space="preserve"> Indirizzi per l’applicazione dell’articolo 272-bis del </w:t>
      </w:r>
      <w:proofErr w:type="spellStart"/>
      <w:r w:rsidR="006440DC" w:rsidRPr="006636AB">
        <w:rPr>
          <w:rFonts w:cs="Arial"/>
          <w:szCs w:val="18"/>
          <w:lang w:val="it-IT" w:eastAsia="it-IT"/>
        </w:rPr>
        <w:t>dlgs</w:t>
      </w:r>
      <w:proofErr w:type="spellEnd"/>
      <w:r w:rsidR="006440DC" w:rsidRPr="006636AB">
        <w:rPr>
          <w:rFonts w:cs="Arial"/>
          <w:szCs w:val="18"/>
          <w:lang w:val="it-IT" w:eastAsia="it-IT"/>
        </w:rPr>
        <w:t xml:space="preserve"> 152/2006 in materia di emissioni odorigene di impianti e attività. 28/07/</w:t>
      </w:r>
      <w:proofErr w:type="gramStart"/>
      <w:r w:rsidR="006440DC" w:rsidRPr="006636AB">
        <w:rPr>
          <w:rFonts w:cs="Arial"/>
          <w:szCs w:val="18"/>
          <w:lang w:val="it-IT" w:eastAsia="it-IT"/>
        </w:rPr>
        <w:t xml:space="preserve">2023  </w:t>
      </w:r>
      <w:r w:rsidRPr="006636AB">
        <w:rPr>
          <w:rFonts w:cs="Arial"/>
          <w:szCs w:val="18"/>
          <w:lang w:val="it-IT" w:eastAsia="it-IT"/>
        </w:rPr>
        <w:t>https://www.mase.gov.it/pagina/indirizzi-lapplicazione-dellarticolo-272-bis-del-dlgs-1522006-materia-di-emissioni-odorigene</w:t>
      </w:r>
      <w:proofErr w:type="gramEnd"/>
    </w:p>
    <w:p w14:paraId="5F393463" w14:textId="77777777" w:rsidR="00F62CD0" w:rsidRPr="006636AB" w:rsidRDefault="00F62CD0" w:rsidP="00F62CD0">
      <w:pPr>
        <w:pStyle w:val="CETReferencetext"/>
        <w:rPr>
          <w:rFonts w:cs="Arial"/>
          <w:szCs w:val="18"/>
          <w:lang w:val="it-IT" w:eastAsia="it-IT"/>
        </w:rPr>
      </w:pPr>
    </w:p>
    <w:p w14:paraId="5B9356BB" w14:textId="5B7134F8" w:rsidR="00F62CD0" w:rsidRPr="006636AB" w:rsidRDefault="001F251E" w:rsidP="00A65AA0">
      <w:pPr>
        <w:pStyle w:val="CETReferencetext"/>
        <w:rPr>
          <w:lang w:val="it-IT" w:eastAsia="it-IT"/>
        </w:rPr>
      </w:pPr>
      <w:proofErr w:type="spellStart"/>
      <w:r>
        <w:rPr>
          <w:lang w:eastAsia="it-IT"/>
        </w:rPr>
        <w:t>Settimo</w:t>
      </w:r>
      <w:proofErr w:type="spellEnd"/>
      <w:r>
        <w:rPr>
          <w:lang w:eastAsia="it-IT"/>
        </w:rPr>
        <w:t xml:space="preserve"> G</w:t>
      </w:r>
      <w:r w:rsidR="00800C64" w:rsidRPr="006440DC">
        <w:rPr>
          <w:lang w:eastAsia="it-IT"/>
        </w:rPr>
        <w:t>.</w:t>
      </w:r>
      <w:r w:rsidR="008113EE">
        <w:rPr>
          <w:lang w:eastAsia="it-IT"/>
        </w:rPr>
        <w:t>,</w:t>
      </w:r>
      <w:r w:rsidR="00800C64" w:rsidRPr="006440DC">
        <w:rPr>
          <w:lang w:eastAsia="it-IT"/>
        </w:rPr>
        <w:t xml:space="preserve"> </w:t>
      </w:r>
      <w:proofErr w:type="spellStart"/>
      <w:r>
        <w:rPr>
          <w:lang w:eastAsia="it-IT"/>
        </w:rPr>
        <w:t>Avino</w:t>
      </w:r>
      <w:proofErr w:type="spellEnd"/>
      <w:r>
        <w:rPr>
          <w:lang w:eastAsia="it-IT"/>
        </w:rPr>
        <w:t xml:space="preserve"> </w:t>
      </w:r>
      <w:r w:rsidR="00800C64" w:rsidRPr="006440DC">
        <w:rPr>
          <w:lang w:eastAsia="it-IT"/>
        </w:rPr>
        <w:t>P</w:t>
      </w:r>
      <w:r>
        <w:rPr>
          <w:lang w:eastAsia="it-IT"/>
        </w:rPr>
        <w:t>.</w:t>
      </w:r>
      <w:r w:rsidR="008113EE">
        <w:rPr>
          <w:lang w:eastAsia="it-IT"/>
        </w:rPr>
        <w:t xml:space="preserve">, </w:t>
      </w:r>
      <w:proofErr w:type="gramStart"/>
      <w:r w:rsidR="008113EE">
        <w:rPr>
          <w:lang w:eastAsia="it-IT"/>
        </w:rPr>
        <w:t xml:space="preserve">2024, </w:t>
      </w:r>
      <w:r w:rsidR="00800C64" w:rsidRPr="006440DC">
        <w:rPr>
          <w:lang w:eastAsia="it-IT"/>
        </w:rPr>
        <w:t xml:space="preserve"> State</w:t>
      </w:r>
      <w:proofErr w:type="gramEnd"/>
      <w:r w:rsidR="00800C64" w:rsidRPr="006440DC">
        <w:rPr>
          <w:lang w:eastAsia="it-IT"/>
        </w:rPr>
        <w:t xml:space="preserve">-of-art of the legislation on odour emissions with a focus on the Italian studies. </w:t>
      </w:r>
      <w:r w:rsidR="00800C64" w:rsidRPr="006636AB">
        <w:rPr>
          <w:i/>
          <w:iCs/>
          <w:lang w:val="it-IT" w:eastAsia="it-IT"/>
        </w:rPr>
        <w:t xml:space="preserve">Environmental </w:t>
      </w:r>
      <w:proofErr w:type="spellStart"/>
      <w:r w:rsidR="00800C64" w:rsidRPr="006636AB">
        <w:rPr>
          <w:i/>
          <w:iCs/>
          <w:lang w:val="it-IT" w:eastAsia="it-IT"/>
        </w:rPr>
        <w:t>Pollution</w:t>
      </w:r>
      <w:proofErr w:type="spellEnd"/>
      <w:r w:rsidR="00800C64" w:rsidRPr="006636AB">
        <w:rPr>
          <w:lang w:val="it-IT" w:eastAsia="it-IT"/>
        </w:rPr>
        <w:t>, Volume 348, 123525,</w:t>
      </w:r>
      <w:r w:rsidRPr="006636AB">
        <w:rPr>
          <w:lang w:val="it-IT" w:eastAsia="it-IT"/>
        </w:rPr>
        <w:t xml:space="preserve"> </w:t>
      </w:r>
      <w:r w:rsidR="00800C64" w:rsidRPr="006636AB">
        <w:rPr>
          <w:lang w:val="it-IT" w:eastAsia="it-IT"/>
        </w:rPr>
        <w:t xml:space="preserve">ISSN 0269-7491, </w:t>
      </w:r>
      <w:hyperlink r:id="rId12" w:history="1">
        <w:r w:rsidR="008113EE">
          <w:rPr>
            <w:rStyle w:val="Collegamentoipertestuale"/>
            <w:rFonts w:cs="Arial"/>
            <w:color w:val="auto"/>
            <w:szCs w:val="18"/>
            <w:u w:val="none"/>
            <w:lang w:val="it-IT" w:eastAsia="it-IT"/>
          </w:rPr>
          <w:t xml:space="preserve">DOI: </w:t>
        </w:r>
        <w:r w:rsidR="00800C64" w:rsidRPr="006636AB">
          <w:rPr>
            <w:rStyle w:val="Collegamentoipertestuale"/>
            <w:rFonts w:cs="Arial"/>
            <w:color w:val="auto"/>
            <w:szCs w:val="18"/>
            <w:u w:val="none"/>
            <w:lang w:val="it-IT" w:eastAsia="it-IT"/>
          </w:rPr>
          <w:t>10.1016/j.envpol.2024.123525</w:t>
        </w:r>
      </w:hyperlink>
      <w:r w:rsidR="00800C64" w:rsidRPr="006636AB">
        <w:rPr>
          <w:lang w:val="it-IT" w:eastAsia="it-IT"/>
        </w:rPr>
        <w:t>.</w:t>
      </w:r>
    </w:p>
    <w:p w14:paraId="4B707D48" w14:textId="77777777" w:rsidR="00800C64" w:rsidRPr="006636AB" w:rsidRDefault="00800C64" w:rsidP="00800C64">
      <w:pPr>
        <w:pStyle w:val="CETReferencetext"/>
        <w:rPr>
          <w:rFonts w:cs="Arial"/>
          <w:szCs w:val="18"/>
          <w:lang w:val="it-IT" w:eastAsia="it-IT"/>
        </w:rPr>
      </w:pPr>
    </w:p>
    <w:p w14:paraId="1C837F4F" w14:textId="07EF5238" w:rsidR="00F62CD0" w:rsidRDefault="00A65AA0" w:rsidP="00A65AA0">
      <w:pPr>
        <w:pStyle w:val="CETReferencetext"/>
        <w:rPr>
          <w:lang w:eastAsia="it-IT"/>
        </w:rPr>
      </w:pPr>
      <w:r w:rsidRPr="006636AB">
        <w:rPr>
          <w:lang w:val="it-IT" w:eastAsia="it-IT"/>
        </w:rPr>
        <w:t>Sironi S., Capelli L., Dentoni L.</w:t>
      </w:r>
      <w:r w:rsidR="008113EE">
        <w:rPr>
          <w:lang w:val="it-IT" w:eastAsia="it-IT"/>
        </w:rPr>
        <w:t>,</w:t>
      </w:r>
      <w:r w:rsidRPr="006636AB">
        <w:rPr>
          <w:lang w:val="it-IT" w:eastAsia="it-IT"/>
        </w:rPr>
        <w:t xml:space="preserve"> Del Rosso, R.</w:t>
      </w:r>
      <w:r w:rsidR="008113EE">
        <w:rPr>
          <w:lang w:val="it-IT" w:eastAsia="it-IT"/>
        </w:rPr>
        <w:t xml:space="preserve">, </w:t>
      </w:r>
      <w:r w:rsidRPr="006636AB">
        <w:rPr>
          <w:lang w:val="it-IT" w:eastAsia="it-IT"/>
        </w:rPr>
        <w:t>2012</w:t>
      </w:r>
      <w:r w:rsidR="008113EE">
        <w:rPr>
          <w:lang w:val="it-IT" w:eastAsia="it-IT"/>
        </w:rPr>
        <w:t>,</w:t>
      </w:r>
      <w:r w:rsidRPr="006636AB">
        <w:rPr>
          <w:lang w:val="it-IT" w:eastAsia="it-IT"/>
        </w:rPr>
        <w:t xml:space="preserve"> </w:t>
      </w:r>
      <w:r w:rsidRPr="006440DC">
        <w:rPr>
          <w:lang w:eastAsia="it-IT"/>
        </w:rPr>
        <w:t xml:space="preserve">Odour Regulation and Policies. In Odour Impact Assessment Handbook (eds V. </w:t>
      </w:r>
      <w:proofErr w:type="spellStart"/>
      <w:r w:rsidRPr="006440DC">
        <w:rPr>
          <w:lang w:eastAsia="it-IT"/>
        </w:rPr>
        <w:t>Belgiorno</w:t>
      </w:r>
      <w:proofErr w:type="spellEnd"/>
      <w:r w:rsidRPr="006440DC">
        <w:rPr>
          <w:lang w:eastAsia="it-IT"/>
        </w:rPr>
        <w:t xml:space="preserve">, V. Naddeo and T. Zarra). </w:t>
      </w:r>
      <w:hyperlink r:id="rId13" w:history="1">
        <w:r w:rsidR="008113EE">
          <w:rPr>
            <w:rStyle w:val="Collegamentoipertestuale"/>
            <w:rFonts w:cs="Arial"/>
            <w:color w:val="auto"/>
            <w:szCs w:val="18"/>
            <w:u w:val="none"/>
            <w:lang w:eastAsia="it-IT"/>
          </w:rPr>
          <w:t xml:space="preserve">DOI: </w:t>
        </w:r>
        <w:r w:rsidRPr="006440DC">
          <w:rPr>
            <w:rStyle w:val="Collegamentoipertestuale"/>
            <w:rFonts w:cs="Arial"/>
            <w:color w:val="auto"/>
            <w:szCs w:val="18"/>
            <w:u w:val="none"/>
            <w:lang w:eastAsia="it-IT"/>
          </w:rPr>
          <w:t>10.1002/9781118481264.ch6</w:t>
        </w:r>
      </w:hyperlink>
      <w:r w:rsidRPr="006440DC">
        <w:rPr>
          <w:lang w:eastAsia="it-IT"/>
        </w:rPr>
        <w:t xml:space="preserve"> </w:t>
      </w:r>
    </w:p>
    <w:p w14:paraId="0331EDE3" w14:textId="0CE189CA" w:rsidR="000439BD" w:rsidRDefault="000439BD" w:rsidP="00A65AA0">
      <w:pPr>
        <w:pStyle w:val="CETReferencetext"/>
        <w:rPr>
          <w:lang w:eastAsia="it-IT"/>
        </w:rPr>
      </w:pPr>
    </w:p>
    <w:p w14:paraId="436FAFEC" w14:textId="2E20DEBF" w:rsidR="004D726A" w:rsidRDefault="004D726A" w:rsidP="004D726A">
      <w:pPr>
        <w:pStyle w:val="CETReferencetext"/>
        <w:rPr>
          <w:lang w:eastAsia="it-IT"/>
        </w:rPr>
      </w:pPr>
      <w:proofErr w:type="spellStart"/>
      <w:r>
        <w:rPr>
          <w:lang w:eastAsia="it-IT"/>
        </w:rPr>
        <w:t>Tagliaferri</w:t>
      </w:r>
      <w:proofErr w:type="spellEnd"/>
      <w:r>
        <w:rPr>
          <w:lang w:eastAsia="it-IT"/>
        </w:rPr>
        <w:t xml:space="preserve"> F., Invernizzi M., Sironi S., Capelli L.</w:t>
      </w:r>
      <w:r>
        <w:rPr>
          <w:lang w:eastAsia="it-IT"/>
        </w:rPr>
        <w:t xml:space="preserve">, 2021, </w:t>
      </w:r>
      <w:r>
        <w:rPr>
          <w:lang w:eastAsia="it-IT"/>
        </w:rPr>
        <w:t>Influence of model parameters when simulating landfill odour emission</w:t>
      </w:r>
      <w:r>
        <w:rPr>
          <w:lang w:eastAsia="it-IT"/>
        </w:rPr>
        <w:t>,</w:t>
      </w:r>
      <w:r>
        <w:rPr>
          <w:lang w:eastAsia="it-IT"/>
        </w:rPr>
        <w:t xml:space="preserve"> Chemical Engineering Transactions, 85, 169 - 174, DOI: 10.3303/CET2185029</w:t>
      </w:r>
    </w:p>
    <w:p w14:paraId="1BB71AF3" w14:textId="77777777" w:rsidR="004D726A" w:rsidRDefault="004D726A" w:rsidP="00A65AA0">
      <w:pPr>
        <w:pStyle w:val="CETReferencetext"/>
        <w:rPr>
          <w:lang w:eastAsia="it-IT"/>
        </w:rPr>
      </w:pPr>
    </w:p>
    <w:p w14:paraId="1BAD7D29" w14:textId="22512AB7" w:rsidR="000439BD" w:rsidRPr="006440DC" w:rsidRDefault="000439BD" w:rsidP="000439BD">
      <w:pPr>
        <w:pStyle w:val="CETReferencetext"/>
        <w:rPr>
          <w:lang w:eastAsia="it-IT"/>
        </w:rPr>
      </w:pPr>
      <w:proofErr w:type="spellStart"/>
      <w:r>
        <w:rPr>
          <w:lang w:eastAsia="it-IT"/>
        </w:rPr>
        <w:t>Tagliaferri</w:t>
      </w:r>
      <w:proofErr w:type="spellEnd"/>
      <w:r>
        <w:rPr>
          <w:lang w:eastAsia="it-IT"/>
        </w:rPr>
        <w:t xml:space="preserve"> F., Invernizzi M., Capelli L., 2022, A sensitivity analysis applied to SPRAY and CALPUFF models when simulating dispersion from industrial fires, Atmospheric Pollution Research, 13 (1), 101249, DOI: 10.1016/j.apr.2021.101249</w:t>
      </w:r>
    </w:p>
    <w:p w14:paraId="7772DC8E" w14:textId="77777777" w:rsidR="006440DC" w:rsidRDefault="006440DC" w:rsidP="006440DC">
      <w:pPr>
        <w:pStyle w:val="CETReferencetext"/>
        <w:rPr>
          <w:lang w:eastAsia="it-IT"/>
        </w:rPr>
      </w:pPr>
    </w:p>
    <w:p w14:paraId="5A346DC3" w14:textId="1BBD403C" w:rsidR="006440DC" w:rsidRDefault="009263DA" w:rsidP="009263DA">
      <w:pPr>
        <w:pStyle w:val="CETReferencetext"/>
        <w:rPr>
          <w:lang w:eastAsia="it-IT"/>
        </w:rPr>
      </w:pPr>
      <w:proofErr w:type="spellStart"/>
      <w:r>
        <w:rPr>
          <w:lang w:eastAsia="it-IT"/>
        </w:rPr>
        <w:t>Tagliaferri</w:t>
      </w:r>
      <w:proofErr w:type="spellEnd"/>
      <w:r>
        <w:rPr>
          <w:lang w:eastAsia="it-IT"/>
        </w:rPr>
        <w:t xml:space="preserve"> F., Invernizzi M., Sironi S., 2023</w:t>
      </w:r>
      <w:r w:rsidR="008728EC">
        <w:rPr>
          <w:lang w:eastAsia="it-IT"/>
        </w:rPr>
        <w:t xml:space="preserve">, </w:t>
      </w:r>
      <w:r>
        <w:rPr>
          <w:lang w:eastAsia="it-IT"/>
        </w:rPr>
        <w:t>Experimental evaluation on liquid area sources: Influence of wind</w:t>
      </w:r>
      <w:r w:rsidR="008728EC">
        <w:rPr>
          <w:lang w:eastAsia="it-IT"/>
        </w:rPr>
        <w:t xml:space="preserve"> </w:t>
      </w:r>
      <w:r w:rsidR="008113EE">
        <w:rPr>
          <w:lang w:eastAsia="it-IT"/>
        </w:rPr>
        <w:t>v</w:t>
      </w:r>
      <w:r>
        <w:rPr>
          <w:lang w:eastAsia="it-IT"/>
        </w:rPr>
        <w:t>elocity and temperature on the wind tunnel sampling of VOCs emissions from wastewater treatment plants,</w:t>
      </w:r>
      <w:r w:rsidR="008113EE">
        <w:rPr>
          <w:lang w:eastAsia="it-IT"/>
        </w:rPr>
        <w:t xml:space="preserve"> </w:t>
      </w:r>
      <w:r>
        <w:rPr>
          <w:lang w:eastAsia="it-IT"/>
        </w:rPr>
        <w:t>Chemosphere,</w:t>
      </w:r>
      <w:r w:rsidR="008113EE">
        <w:rPr>
          <w:lang w:eastAsia="it-IT"/>
        </w:rPr>
        <w:t xml:space="preserve"> </w:t>
      </w:r>
      <w:r>
        <w:rPr>
          <w:lang w:eastAsia="it-IT"/>
        </w:rPr>
        <w:t>Volume 312, Part 2,</w:t>
      </w:r>
      <w:r w:rsidR="008113EE">
        <w:rPr>
          <w:lang w:eastAsia="it-IT"/>
        </w:rPr>
        <w:t xml:space="preserve"> </w:t>
      </w:r>
      <w:r>
        <w:rPr>
          <w:lang w:eastAsia="it-IT"/>
        </w:rPr>
        <w:t>137337,</w:t>
      </w:r>
      <w:r w:rsidR="008113EE">
        <w:rPr>
          <w:lang w:eastAsia="it-IT"/>
        </w:rPr>
        <w:t xml:space="preserve"> </w:t>
      </w:r>
      <w:r>
        <w:rPr>
          <w:lang w:eastAsia="it-IT"/>
        </w:rPr>
        <w:t>ISSN 0045-6535,</w:t>
      </w:r>
      <w:r w:rsidR="008113EE">
        <w:rPr>
          <w:lang w:eastAsia="it-IT"/>
        </w:rPr>
        <w:t xml:space="preserve"> </w:t>
      </w:r>
      <w:proofErr w:type="gramStart"/>
      <w:r w:rsidR="008113EE">
        <w:rPr>
          <w:lang w:eastAsia="it-IT"/>
        </w:rPr>
        <w:t>DOI:</w:t>
      </w:r>
      <w:r>
        <w:rPr>
          <w:lang w:eastAsia="it-IT"/>
        </w:rPr>
        <w:t>10.1016/j.chemosphere</w:t>
      </w:r>
      <w:proofErr w:type="gramEnd"/>
      <w:r>
        <w:rPr>
          <w:lang w:eastAsia="it-IT"/>
        </w:rPr>
        <w:t>.2022.137337.</w:t>
      </w:r>
    </w:p>
    <w:p w14:paraId="15B4E1BE" w14:textId="77777777" w:rsidR="006440DC" w:rsidRDefault="006440DC" w:rsidP="00A65AA0">
      <w:pPr>
        <w:pStyle w:val="CETReferencetext"/>
        <w:rPr>
          <w:lang w:eastAsia="it-IT"/>
        </w:rPr>
      </w:pPr>
    </w:p>
    <w:p w14:paraId="0D5C3B88" w14:textId="77777777" w:rsidR="006440DC" w:rsidRPr="000D74A3" w:rsidRDefault="006440DC" w:rsidP="00A65AA0">
      <w:pPr>
        <w:pStyle w:val="CETReferencetext"/>
      </w:pPr>
    </w:p>
    <w:sectPr w:rsidR="006440DC" w:rsidRPr="000D74A3" w:rsidSect="00233C11">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D9A07" w14:textId="77777777" w:rsidR="00EB72CD" w:rsidRPr="003F5FF1" w:rsidRDefault="00EB72CD" w:rsidP="004F5E36">
      <w:r w:rsidRPr="003F5FF1">
        <w:separator/>
      </w:r>
    </w:p>
  </w:endnote>
  <w:endnote w:type="continuationSeparator" w:id="0">
    <w:p w14:paraId="38BE651D" w14:textId="77777777" w:rsidR="00EB72CD" w:rsidRPr="003F5FF1" w:rsidRDefault="00EB72CD" w:rsidP="004F5E36">
      <w:r w:rsidRPr="003F5FF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A71E3" w14:textId="77777777" w:rsidR="00EB72CD" w:rsidRPr="003F5FF1" w:rsidRDefault="00EB72CD" w:rsidP="004F5E36">
      <w:r w:rsidRPr="003F5FF1">
        <w:separator/>
      </w:r>
    </w:p>
  </w:footnote>
  <w:footnote w:type="continuationSeparator" w:id="0">
    <w:p w14:paraId="33A9530B" w14:textId="77777777" w:rsidR="00EB72CD" w:rsidRPr="003F5FF1" w:rsidRDefault="00EB72CD" w:rsidP="004F5E36">
      <w:r w:rsidRPr="003F5FF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D215811"/>
    <w:multiLevelType w:val="hybridMultilevel"/>
    <w:tmpl w:val="74AEBD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275566"/>
    <w:multiLevelType w:val="hybridMultilevel"/>
    <w:tmpl w:val="11680BD2"/>
    <w:lvl w:ilvl="0" w:tplc="E354C6EE">
      <w:start w:val="1"/>
      <w:numFmt w:val="lowerLetter"/>
      <w:lvlText w:val="%1)"/>
      <w:lvlJc w:val="left"/>
      <w:pPr>
        <w:ind w:left="720" w:hanging="360"/>
      </w:pPr>
      <w:rPr>
        <w:rFonts w:asciiTheme="minorHAnsi" w:eastAsiaTheme="minorHAnsi" w:hAnsiTheme="minorHAnsi" w:cstheme="minorBidi"/>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438217E"/>
    <w:multiLevelType w:val="multilevel"/>
    <w:tmpl w:val="1534E1B8"/>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28D36CBE"/>
    <w:multiLevelType w:val="hybridMultilevel"/>
    <w:tmpl w:val="08029B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AB5EA0"/>
    <w:multiLevelType w:val="hybridMultilevel"/>
    <w:tmpl w:val="C6C4D0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1775E42"/>
    <w:multiLevelType w:val="hybridMultilevel"/>
    <w:tmpl w:val="C39836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7B6DFC"/>
    <w:multiLevelType w:val="hybridMultilevel"/>
    <w:tmpl w:val="7D7A400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737707C"/>
    <w:multiLevelType w:val="hybridMultilevel"/>
    <w:tmpl w:val="312A8B7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D4F08EA"/>
    <w:multiLevelType w:val="hybridMultilevel"/>
    <w:tmpl w:val="4216D3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34536F8"/>
    <w:multiLevelType w:val="hybridMultilevel"/>
    <w:tmpl w:val="F4282B48"/>
    <w:lvl w:ilvl="0" w:tplc="04100017">
      <w:start w:val="1"/>
      <w:numFmt w:val="lowerLetter"/>
      <w:lvlText w:val="%1)"/>
      <w:lvlJc w:val="left"/>
      <w:pPr>
        <w:ind w:left="720" w:hanging="360"/>
      </w:pPr>
      <w:rPr>
        <w:rFonts w:hint="default"/>
      </w:rPr>
    </w:lvl>
    <w:lvl w:ilvl="1" w:tplc="04100005">
      <w:start w:val="1"/>
      <w:numFmt w:val="bullet"/>
      <w:lvlText w:val=""/>
      <w:lvlJc w:val="left"/>
      <w:pPr>
        <w:ind w:left="644" w:hanging="360"/>
      </w:pPr>
      <w:rPr>
        <w:rFonts w:ascii="Wingdings" w:hAnsi="Wingdings"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6"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9A121B3"/>
    <w:multiLevelType w:val="hybridMultilevel"/>
    <w:tmpl w:val="0B424A9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5"/>
  </w:num>
  <w:num w:numId="13">
    <w:abstractNumId w:val="17"/>
  </w:num>
  <w:num w:numId="14">
    <w:abstractNumId w:val="26"/>
  </w:num>
  <w:num w:numId="15">
    <w:abstractNumId w:val="28"/>
  </w:num>
  <w:num w:numId="16">
    <w:abstractNumId w:val="27"/>
  </w:num>
  <w:num w:numId="17">
    <w:abstractNumId w:val="16"/>
  </w:num>
  <w:num w:numId="18">
    <w:abstractNumId w:val="17"/>
    <w:lvlOverride w:ilvl="0">
      <w:startOverride w:val="1"/>
    </w:lvlOverride>
  </w:num>
  <w:num w:numId="19">
    <w:abstractNumId w:val="23"/>
  </w:num>
  <w:num w:numId="20">
    <w:abstractNumId w:val="22"/>
  </w:num>
  <w:num w:numId="21">
    <w:abstractNumId w:val="20"/>
  </w:num>
  <w:num w:numId="22">
    <w:abstractNumId w:val="12"/>
  </w:num>
  <w:num w:numId="23">
    <w:abstractNumId w:val="12"/>
  </w:num>
  <w:num w:numId="24">
    <w:abstractNumId w:val="13"/>
  </w:num>
  <w:num w:numId="25">
    <w:abstractNumId w:val="12"/>
  </w:num>
  <w:num w:numId="26">
    <w:abstractNumId w:val="12"/>
  </w:num>
  <w:num w:numId="27">
    <w:abstractNumId w:val="12"/>
  </w:num>
  <w:num w:numId="28">
    <w:abstractNumId w:val="15"/>
  </w:num>
  <w:num w:numId="29">
    <w:abstractNumId w:val="19"/>
  </w:num>
  <w:num w:numId="30">
    <w:abstractNumId w:val="21"/>
  </w:num>
  <w:num w:numId="31">
    <w:abstractNumId w:val="11"/>
  </w:num>
  <w:num w:numId="32">
    <w:abstractNumId w:val="24"/>
  </w:num>
  <w:num w:numId="33">
    <w:abstractNumId w:val="10"/>
  </w:num>
  <w:num w:numId="34">
    <w:abstractNumId w:val="14"/>
  </w:num>
  <w:num w:numId="35">
    <w:abstractNumId w:val="18"/>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C07"/>
    <w:rsid w:val="000018A4"/>
    <w:rsid w:val="000027C0"/>
    <w:rsid w:val="00002A39"/>
    <w:rsid w:val="00004774"/>
    <w:rsid w:val="000052FB"/>
    <w:rsid w:val="000117CB"/>
    <w:rsid w:val="000146F1"/>
    <w:rsid w:val="0001515D"/>
    <w:rsid w:val="0003148D"/>
    <w:rsid w:val="000328D5"/>
    <w:rsid w:val="0003442A"/>
    <w:rsid w:val="00036120"/>
    <w:rsid w:val="000367FB"/>
    <w:rsid w:val="000439BD"/>
    <w:rsid w:val="00051566"/>
    <w:rsid w:val="00053EDD"/>
    <w:rsid w:val="00055F0D"/>
    <w:rsid w:val="000606F8"/>
    <w:rsid w:val="00062A9A"/>
    <w:rsid w:val="00063EBC"/>
    <w:rsid w:val="00065058"/>
    <w:rsid w:val="00067663"/>
    <w:rsid w:val="000836F2"/>
    <w:rsid w:val="00086C39"/>
    <w:rsid w:val="00093BD6"/>
    <w:rsid w:val="00096FE1"/>
    <w:rsid w:val="000A03B2"/>
    <w:rsid w:val="000A2936"/>
    <w:rsid w:val="000A2A3A"/>
    <w:rsid w:val="000B3BF1"/>
    <w:rsid w:val="000B552B"/>
    <w:rsid w:val="000B66C0"/>
    <w:rsid w:val="000C481C"/>
    <w:rsid w:val="000C536E"/>
    <w:rsid w:val="000C5463"/>
    <w:rsid w:val="000D0268"/>
    <w:rsid w:val="000D09C7"/>
    <w:rsid w:val="000D34BE"/>
    <w:rsid w:val="000D4ADE"/>
    <w:rsid w:val="000D74A3"/>
    <w:rsid w:val="000E102F"/>
    <w:rsid w:val="000E36F1"/>
    <w:rsid w:val="000E3A73"/>
    <w:rsid w:val="000E414A"/>
    <w:rsid w:val="000E6F32"/>
    <w:rsid w:val="000F093C"/>
    <w:rsid w:val="000F46FF"/>
    <w:rsid w:val="000F6004"/>
    <w:rsid w:val="000F787B"/>
    <w:rsid w:val="00102F92"/>
    <w:rsid w:val="00107FF8"/>
    <w:rsid w:val="00114A36"/>
    <w:rsid w:val="00114EFD"/>
    <w:rsid w:val="00115040"/>
    <w:rsid w:val="0012091F"/>
    <w:rsid w:val="00122318"/>
    <w:rsid w:val="00123F09"/>
    <w:rsid w:val="001244C6"/>
    <w:rsid w:val="00124839"/>
    <w:rsid w:val="00126BC2"/>
    <w:rsid w:val="00127821"/>
    <w:rsid w:val="001308B6"/>
    <w:rsid w:val="0013121F"/>
    <w:rsid w:val="00131516"/>
    <w:rsid w:val="00131FE6"/>
    <w:rsid w:val="0013263F"/>
    <w:rsid w:val="001330FD"/>
    <w:rsid w:val="00133184"/>
    <w:rsid w:val="00134DE4"/>
    <w:rsid w:val="0014034D"/>
    <w:rsid w:val="00143127"/>
    <w:rsid w:val="00150E59"/>
    <w:rsid w:val="00152DE3"/>
    <w:rsid w:val="0015336A"/>
    <w:rsid w:val="00153CE7"/>
    <w:rsid w:val="00156335"/>
    <w:rsid w:val="001611F5"/>
    <w:rsid w:val="00164475"/>
    <w:rsid w:val="00164CF9"/>
    <w:rsid w:val="00164D62"/>
    <w:rsid w:val="001667A6"/>
    <w:rsid w:val="00174A48"/>
    <w:rsid w:val="0018080D"/>
    <w:rsid w:val="001820A2"/>
    <w:rsid w:val="00184AD6"/>
    <w:rsid w:val="001950E6"/>
    <w:rsid w:val="001A2380"/>
    <w:rsid w:val="001A32D0"/>
    <w:rsid w:val="001A3FC2"/>
    <w:rsid w:val="001A4AF7"/>
    <w:rsid w:val="001B0349"/>
    <w:rsid w:val="001B2728"/>
    <w:rsid w:val="001B3981"/>
    <w:rsid w:val="001B5D43"/>
    <w:rsid w:val="001B65C1"/>
    <w:rsid w:val="001C253D"/>
    <w:rsid w:val="001C2E18"/>
    <w:rsid w:val="001C4B51"/>
    <w:rsid w:val="001C5E56"/>
    <w:rsid w:val="001C684B"/>
    <w:rsid w:val="001D53FC"/>
    <w:rsid w:val="001E2479"/>
    <w:rsid w:val="001E4D1E"/>
    <w:rsid w:val="001F1913"/>
    <w:rsid w:val="001F251E"/>
    <w:rsid w:val="001F27F5"/>
    <w:rsid w:val="001F42A5"/>
    <w:rsid w:val="001F7262"/>
    <w:rsid w:val="001F7995"/>
    <w:rsid w:val="001F7B9D"/>
    <w:rsid w:val="00200DE6"/>
    <w:rsid w:val="00206204"/>
    <w:rsid w:val="00210955"/>
    <w:rsid w:val="002124D6"/>
    <w:rsid w:val="002179D2"/>
    <w:rsid w:val="002224B4"/>
    <w:rsid w:val="00224D7A"/>
    <w:rsid w:val="002252CC"/>
    <w:rsid w:val="00226BB8"/>
    <w:rsid w:val="0023247F"/>
    <w:rsid w:val="00233C11"/>
    <w:rsid w:val="00233D87"/>
    <w:rsid w:val="0023411C"/>
    <w:rsid w:val="00237659"/>
    <w:rsid w:val="00242982"/>
    <w:rsid w:val="002447EF"/>
    <w:rsid w:val="00250392"/>
    <w:rsid w:val="00251550"/>
    <w:rsid w:val="00260009"/>
    <w:rsid w:val="00260E10"/>
    <w:rsid w:val="00263B05"/>
    <w:rsid w:val="00265C63"/>
    <w:rsid w:val="002706CB"/>
    <w:rsid w:val="0027221A"/>
    <w:rsid w:val="00272602"/>
    <w:rsid w:val="00272656"/>
    <w:rsid w:val="00275730"/>
    <w:rsid w:val="00275B61"/>
    <w:rsid w:val="002765D4"/>
    <w:rsid w:val="00276651"/>
    <w:rsid w:val="00282656"/>
    <w:rsid w:val="00285A8B"/>
    <w:rsid w:val="0029499E"/>
    <w:rsid w:val="00294F2E"/>
    <w:rsid w:val="00296B83"/>
    <w:rsid w:val="002A293E"/>
    <w:rsid w:val="002A358B"/>
    <w:rsid w:val="002A3831"/>
    <w:rsid w:val="002A596E"/>
    <w:rsid w:val="002A7006"/>
    <w:rsid w:val="002B04D5"/>
    <w:rsid w:val="002B1FB3"/>
    <w:rsid w:val="002B2611"/>
    <w:rsid w:val="002B78CE"/>
    <w:rsid w:val="002C2FB6"/>
    <w:rsid w:val="002C5399"/>
    <w:rsid w:val="002C6BF9"/>
    <w:rsid w:val="002C6F9B"/>
    <w:rsid w:val="002C7300"/>
    <w:rsid w:val="002E4450"/>
    <w:rsid w:val="002E5324"/>
    <w:rsid w:val="002E6EF3"/>
    <w:rsid w:val="002E7B90"/>
    <w:rsid w:val="002F3309"/>
    <w:rsid w:val="002F3322"/>
    <w:rsid w:val="002F7B9C"/>
    <w:rsid w:val="0030014E"/>
    <w:rsid w:val="003009B7"/>
    <w:rsid w:val="00300E56"/>
    <w:rsid w:val="00302DAC"/>
    <w:rsid w:val="0030469C"/>
    <w:rsid w:val="00313452"/>
    <w:rsid w:val="00313A05"/>
    <w:rsid w:val="00314579"/>
    <w:rsid w:val="00321478"/>
    <w:rsid w:val="00321CA6"/>
    <w:rsid w:val="00324245"/>
    <w:rsid w:val="0032446F"/>
    <w:rsid w:val="003307F6"/>
    <w:rsid w:val="00331F6D"/>
    <w:rsid w:val="00334C09"/>
    <w:rsid w:val="0033724A"/>
    <w:rsid w:val="00347FA5"/>
    <w:rsid w:val="00355A9E"/>
    <w:rsid w:val="003572D0"/>
    <w:rsid w:val="003577FB"/>
    <w:rsid w:val="00361E7A"/>
    <w:rsid w:val="00363B5A"/>
    <w:rsid w:val="00365055"/>
    <w:rsid w:val="00365895"/>
    <w:rsid w:val="0036692A"/>
    <w:rsid w:val="003723D4"/>
    <w:rsid w:val="0037400D"/>
    <w:rsid w:val="003766BD"/>
    <w:rsid w:val="00381905"/>
    <w:rsid w:val="00384CC8"/>
    <w:rsid w:val="003851B6"/>
    <w:rsid w:val="003871FD"/>
    <w:rsid w:val="00396B59"/>
    <w:rsid w:val="00397F55"/>
    <w:rsid w:val="003A1E30"/>
    <w:rsid w:val="003A2FB3"/>
    <w:rsid w:val="003A7AC9"/>
    <w:rsid w:val="003A7D1C"/>
    <w:rsid w:val="003B304B"/>
    <w:rsid w:val="003B3146"/>
    <w:rsid w:val="003C60D5"/>
    <w:rsid w:val="003D1DB8"/>
    <w:rsid w:val="003D2B04"/>
    <w:rsid w:val="003E5A88"/>
    <w:rsid w:val="003E778A"/>
    <w:rsid w:val="003F015E"/>
    <w:rsid w:val="003F5535"/>
    <w:rsid w:val="003F55E7"/>
    <w:rsid w:val="003F5FF1"/>
    <w:rsid w:val="003F6BD0"/>
    <w:rsid w:val="00400414"/>
    <w:rsid w:val="00410ADA"/>
    <w:rsid w:val="004143F5"/>
    <w:rsid w:val="0041446B"/>
    <w:rsid w:val="00420CBA"/>
    <w:rsid w:val="00425A9A"/>
    <w:rsid w:val="00425D2E"/>
    <w:rsid w:val="004332D4"/>
    <w:rsid w:val="00434064"/>
    <w:rsid w:val="0044305D"/>
    <w:rsid w:val="0044329C"/>
    <w:rsid w:val="00456353"/>
    <w:rsid w:val="004577FE"/>
    <w:rsid w:val="0045796F"/>
    <w:rsid w:val="00457B47"/>
    <w:rsid w:val="00457B9C"/>
    <w:rsid w:val="00461110"/>
    <w:rsid w:val="0046164A"/>
    <w:rsid w:val="0046176E"/>
    <w:rsid w:val="00461ED7"/>
    <w:rsid w:val="004628D2"/>
    <w:rsid w:val="00462DCD"/>
    <w:rsid w:val="00463326"/>
    <w:rsid w:val="004648AD"/>
    <w:rsid w:val="0046530D"/>
    <w:rsid w:val="00467AE7"/>
    <w:rsid w:val="004703A9"/>
    <w:rsid w:val="00470E91"/>
    <w:rsid w:val="004751CB"/>
    <w:rsid w:val="004760DE"/>
    <w:rsid w:val="004763D7"/>
    <w:rsid w:val="0048005E"/>
    <w:rsid w:val="00480467"/>
    <w:rsid w:val="0048173F"/>
    <w:rsid w:val="0048403F"/>
    <w:rsid w:val="00490F19"/>
    <w:rsid w:val="00490FD1"/>
    <w:rsid w:val="00492C06"/>
    <w:rsid w:val="00493DFA"/>
    <w:rsid w:val="004A004E"/>
    <w:rsid w:val="004A1707"/>
    <w:rsid w:val="004A1B7D"/>
    <w:rsid w:val="004A24CF"/>
    <w:rsid w:val="004A33C2"/>
    <w:rsid w:val="004A671B"/>
    <w:rsid w:val="004A6C54"/>
    <w:rsid w:val="004B0244"/>
    <w:rsid w:val="004B3189"/>
    <w:rsid w:val="004B515E"/>
    <w:rsid w:val="004B731C"/>
    <w:rsid w:val="004C2C96"/>
    <w:rsid w:val="004C30CB"/>
    <w:rsid w:val="004C3D1D"/>
    <w:rsid w:val="004C5748"/>
    <w:rsid w:val="004C6FD0"/>
    <w:rsid w:val="004C7723"/>
    <w:rsid w:val="004C7913"/>
    <w:rsid w:val="004D02D5"/>
    <w:rsid w:val="004D1DE7"/>
    <w:rsid w:val="004D4758"/>
    <w:rsid w:val="004D4F7B"/>
    <w:rsid w:val="004D6700"/>
    <w:rsid w:val="004D726A"/>
    <w:rsid w:val="004E3ACD"/>
    <w:rsid w:val="004E4DD6"/>
    <w:rsid w:val="004E6DDE"/>
    <w:rsid w:val="004E79C0"/>
    <w:rsid w:val="004F3828"/>
    <w:rsid w:val="004F4D68"/>
    <w:rsid w:val="004F54AC"/>
    <w:rsid w:val="004F5E36"/>
    <w:rsid w:val="0050096E"/>
    <w:rsid w:val="00507AD6"/>
    <w:rsid w:val="00507B22"/>
    <w:rsid w:val="00507B47"/>
    <w:rsid w:val="00507BEF"/>
    <w:rsid w:val="00507CC9"/>
    <w:rsid w:val="005119A5"/>
    <w:rsid w:val="00512528"/>
    <w:rsid w:val="00514A2F"/>
    <w:rsid w:val="00515AB8"/>
    <w:rsid w:val="0051716A"/>
    <w:rsid w:val="005278B7"/>
    <w:rsid w:val="00530859"/>
    <w:rsid w:val="005312B5"/>
    <w:rsid w:val="0053166B"/>
    <w:rsid w:val="00532016"/>
    <w:rsid w:val="005346C8"/>
    <w:rsid w:val="00534AF2"/>
    <w:rsid w:val="00542265"/>
    <w:rsid w:val="00543E7D"/>
    <w:rsid w:val="0054425C"/>
    <w:rsid w:val="00547A68"/>
    <w:rsid w:val="00551296"/>
    <w:rsid w:val="005531C9"/>
    <w:rsid w:val="00565DE5"/>
    <w:rsid w:val="00570C43"/>
    <w:rsid w:val="0057240D"/>
    <w:rsid w:val="00573E38"/>
    <w:rsid w:val="0057548A"/>
    <w:rsid w:val="00576D90"/>
    <w:rsid w:val="00576E72"/>
    <w:rsid w:val="00580A4F"/>
    <w:rsid w:val="0058150E"/>
    <w:rsid w:val="0058272B"/>
    <w:rsid w:val="005832AB"/>
    <w:rsid w:val="005843DC"/>
    <w:rsid w:val="00594FD2"/>
    <w:rsid w:val="005A6490"/>
    <w:rsid w:val="005A76C4"/>
    <w:rsid w:val="005B0BDE"/>
    <w:rsid w:val="005B2110"/>
    <w:rsid w:val="005B3867"/>
    <w:rsid w:val="005B61E6"/>
    <w:rsid w:val="005C56A7"/>
    <w:rsid w:val="005C77E1"/>
    <w:rsid w:val="005D1959"/>
    <w:rsid w:val="005D1E0A"/>
    <w:rsid w:val="005D1FDE"/>
    <w:rsid w:val="005D336F"/>
    <w:rsid w:val="005D405E"/>
    <w:rsid w:val="005D45FE"/>
    <w:rsid w:val="005D6A2F"/>
    <w:rsid w:val="005D6C53"/>
    <w:rsid w:val="005E1A82"/>
    <w:rsid w:val="005E4958"/>
    <w:rsid w:val="005E689F"/>
    <w:rsid w:val="005E794C"/>
    <w:rsid w:val="005F0A28"/>
    <w:rsid w:val="005F0E5E"/>
    <w:rsid w:val="005F0FFE"/>
    <w:rsid w:val="00600535"/>
    <w:rsid w:val="006010F5"/>
    <w:rsid w:val="00601D96"/>
    <w:rsid w:val="00610CD6"/>
    <w:rsid w:val="00614B55"/>
    <w:rsid w:val="00620DEE"/>
    <w:rsid w:val="00621F92"/>
    <w:rsid w:val="0062280A"/>
    <w:rsid w:val="00623A49"/>
    <w:rsid w:val="006246FA"/>
    <w:rsid w:val="00625639"/>
    <w:rsid w:val="00631B33"/>
    <w:rsid w:val="0063280C"/>
    <w:rsid w:val="0063307B"/>
    <w:rsid w:val="00633D9C"/>
    <w:rsid w:val="00636539"/>
    <w:rsid w:val="006406A8"/>
    <w:rsid w:val="0064142F"/>
    <w:rsid w:val="0064184D"/>
    <w:rsid w:val="006422CC"/>
    <w:rsid w:val="00642387"/>
    <w:rsid w:val="006440DC"/>
    <w:rsid w:val="00646046"/>
    <w:rsid w:val="006501C5"/>
    <w:rsid w:val="0065280E"/>
    <w:rsid w:val="00653F1B"/>
    <w:rsid w:val="00654D42"/>
    <w:rsid w:val="00655D06"/>
    <w:rsid w:val="00660E3E"/>
    <w:rsid w:val="00662E74"/>
    <w:rsid w:val="006636AB"/>
    <w:rsid w:val="0066515D"/>
    <w:rsid w:val="00666C32"/>
    <w:rsid w:val="0067706D"/>
    <w:rsid w:val="00677C23"/>
    <w:rsid w:val="00680C23"/>
    <w:rsid w:val="00692184"/>
    <w:rsid w:val="00692206"/>
    <w:rsid w:val="00693766"/>
    <w:rsid w:val="00694E11"/>
    <w:rsid w:val="00695B3D"/>
    <w:rsid w:val="00696B63"/>
    <w:rsid w:val="00696D31"/>
    <w:rsid w:val="006A14F8"/>
    <w:rsid w:val="006A3281"/>
    <w:rsid w:val="006A5850"/>
    <w:rsid w:val="006B3B44"/>
    <w:rsid w:val="006B4888"/>
    <w:rsid w:val="006B6325"/>
    <w:rsid w:val="006C1940"/>
    <w:rsid w:val="006C2E45"/>
    <w:rsid w:val="006C359C"/>
    <w:rsid w:val="006C5579"/>
    <w:rsid w:val="006C5DB2"/>
    <w:rsid w:val="006C6858"/>
    <w:rsid w:val="006D643E"/>
    <w:rsid w:val="006D6E8B"/>
    <w:rsid w:val="006E0F7C"/>
    <w:rsid w:val="006E240A"/>
    <w:rsid w:val="006E5A56"/>
    <w:rsid w:val="006E737D"/>
    <w:rsid w:val="006F1DD1"/>
    <w:rsid w:val="006F46EB"/>
    <w:rsid w:val="007013F8"/>
    <w:rsid w:val="00702325"/>
    <w:rsid w:val="00704618"/>
    <w:rsid w:val="00704EFA"/>
    <w:rsid w:val="00706399"/>
    <w:rsid w:val="007148CF"/>
    <w:rsid w:val="00717C2D"/>
    <w:rsid w:val="00720A24"/>
    <w:rsid w:val="00723C6D"/>
    <w:rsid w:val="00723DE9"/>
    <w:rsid w:val="007252B2"/>
    <w:rsid w:val="007266C0"/>
    <w:rsid w:val="00732386"/>
    <w:rsid w:val="00734DA5"/>
    <w:rsid w:val="0073514D"/>
    <w:rsid w:val="007352FC"/>
    <w:rsid w:val="0073555C"/>
    <w:rsid w:val="00743A50"/>
    <w:rsid w:val="007447F3"/>
    <w:rsid w:val="00747B01"/>
    <w:rsid w:val="00753FA5"/>
    <w:rsid w:val="0075499F"/>
    <w:rsid w:val="00762512"/>
    <w:rsid w:val="00762BAF"/>
    <w:rsid w:val="00765379"/>
    <w:rsid w:val="007661C8"/>
    <w:rsid w:val="00767313"/>
    <w:rsid w:val="0077098D"/>
    <w:rsid w:val="00775B0B"/>
    <w:rsid w:val="00787BBA"/>
    <w:rsid w:val="007931FA"/>
    <w:rsid w:val="00794CB3"/>
    <w:rsid w:val="0079683E"/>
    <w:rsid w:val="007A3A28"/>
    <w:rsid w:val="007A4861"/>
    <w:rsid w:val="007A7BBA"/>
    <w:rsid w:val="007B0C50"/>
    <w:rsid w:val="007C0CC0"/>
    <w:rsid w:val="007C19F5"/>
    <w:rsid w:val="007C1A43"/>
    <w:rsid w:val="007C3AC9"/>
    <w:rsid w:val="007D061E"/>
    <w:rsid w:val="007D32BE"/>
    <w:rsid w:val="007D44AF"/>
    <w:rsid w:val="007D5634"/>
    <w:rsid w:val="007D652A"/>
    <w:rsid w:val="007E0DC7"/>
    <w:rsid w:val="007E29CB"/>
    <w:rsid w:val="007E4266"/>
    <w:rsid w:val="007E6467"/>
    <w:rsid w:val="007F1058"/>
    <w:rsid w:val="007F27D4"/>
    <w:rsid w:val="007F5F76"/>
    <w:rsid w:val="0080013E"/>
    <w:rsid w:val="00800C64"/>
    <w:rsid w:val="00802D0B"/>
    <w:rsid w:val="00805169"/>
    <w:rsid w:val="008113EE"/>
    <w:rsid w:val="00813288"/>
    <w:rsid w:val="008168FC"/>
    <w:rsid w:val="008172FA"/>
    <w:rsid w:val="00817648"/>
    <w:rsid w:val="00822322"/>
    <w:rsid w:val="008245B6"/>
    <w:rsid w:val="00830996"/>
    <w:rsid w:val="008345F1"/>
    <w:rsid w:val="0083728E"/>
    <w:rsid w:val="008379A6"/>
    <w:rsid w:val="00841BDA"/>
    <w:rsid w:val="00850250"/>
    <w:rsid w:val="00852C60"/>
    <w:rsid w:val="00856505"/>
    <w:rsid w:val="00865B07"/>
    <w:rsid w:val="008667EA"/>
    <w:rsid w:val="008728EC"/>
    <w:rsid w:val="00875A97"/>
    <w:rsid w:val="0087637F"/>
    <w:rsid w:val="008831D6"/>
    <w:rsid w:val="00884836"/>
    <w:rsid w:val="00885919"/>
    <w:rsid w:val="00885CEF"/>
    <w:rsid w:val="00886093"/>
    <w:rsid w:val="00891BD4"/>
    <w:rsid w:val="0089203B"/>
    <w:rsid w:val="00892AD5"/>
    <w:rsid w:val="00892FF6"/>
    <w:rsid w:val="00894F5A"/>
    <w:rsid w:val="00896CF4"/>
    <w:rsid w:val="008A0694"/>
    <w:rsid w:val="008A1512"/>
    <w:rsid w:val="008A3067"/>
    <w:rsid w:val="008C0B60"/>
    <w:rsid w:val="008D32B9"/>
    <w:rsid w:val="008D433B"/>
    <w:rsid w:val="008D43CD"/>
    <w:rsid w:val="008D4FA8"/>
    <w:rsid w:val="008D6429"/>
    <w:rsid w:val="008D7B94"/>
    <w:rsid w:val="008E01E5"/>
    <w:rsid w:val="008E36D8"/>
    <w:rsid w:val="008E566E"/>
    <w:rsid w:val="008E6C2F"/>
    <w:rsid w:val="008E7355"/>
    <w:rsid w:val="008F0C7A"/>
    <w:rsid w:val="008F486F"/>
    <w:rsid w:val="008F5A67"/>
    <w:rsid w:val="00900A78"/>
    <w:rsid w:val="0090161A"/>
    <w:rsid w:val="00901EB6"/>
    <w:rsid w:val="00903F46"/>
    <w:rsid w:val="00904C62"/>
    <w:rsid w:val="00912055"/>
    <w:rsid w:val="009135AE"/>
    <w:rsid w:val="009138F2"/>
    <w:rsid w:val="00914606"/>
    <w:rsid w:val="00916F23"/>
    <w:rsid w:val="00922BA8"/>
    <w:rsid w:val="009249FE"/>
    <w:rsid w:val="00924D66"/>
    <w:rsid w:val="00924DAC"/>
    <w:rsid w:val="00925FA1"/>
    <w:rsid w:val="009263DA"/>
    <w:rsid w:val="00927058"/>
    <w:rsid w:val="00931BB6"/>
    <w:rsid w:val="00933D0E"/>
    <w:rsid w:val="0093469E"/>
    <w:rsid w:val="00941837"/>
    <w:rsid w:val="0094222D"/>
    <w:rsid w:val="00942750"/>
    <w:rsid w:val="009450CE"/>
    <w:rsid w:val="00945997"/>
    <w:rsid w:val="00946B13"/>
    <w:rsid w:val="00947179"/>
    <w:rsid w:val="0095164B"/>
    <w:rsid w:val="009517FC"/>
    <w:rsid w:val="00953827"/>
    <w:rsid w:val="00954090"/>
    <w:rsid w:val="00955E20"/>
    <w:rsid w:val="00956D9E"/>
    <w:rsid w:val="009573E7"/>
    <w:rsid w:val="00960968"/>
    <w:rsid w:val="00962AD7"/>
    <w:rsid w:val="00962DB5"/>
    <w:rsid w:val="00963E05"/>
    <w:rsid w:val="009663FA"/>
    <w:rsid w:val="00967D54"/>
    <w:rsid w:val="00971028"/>
    <w:rsid w:val="009716C0"/>
    <w:rsid w:val="00994CD1"/>
    <w:rsid w:val="0099544D"/>
    <w:rsid w:val="00996483"/>
    <w:rsid w:val="00996F5A"/>
    <w:rsid w:val="009B041A"/>
    <w:rsid w:val="009B27E1"/>
    <w:rsid w:val="009B5F37"/>
    <w:rsid w:val="009B758C"/>
    <w:rsid w:val="009B7674"/>
    <w:rsid w:val="009C10E3"/>
    <w:rsid w:val="009C1F50"/>
    <w:rsid w:val="009C37C3"/>
    <w:rsid w:val="009C4619"/>
    <w:rsid w:val="009C7C86"/>
    <w:rsid w:val="009D2FF7"/>
    <w:rsid w:val="009E743D"/>
    <w:rsid w:val="009E7884"/>
    <w:rsid w:val="009E788A"/>
    <w:rsid w:val="009F0E08"/>
    <w:rsid w:val="009F28E8"/>
    <w:rsid w:val="00A010AB"/>
    <w:rsid w:val="00A012D0"/>
    <w:rsid w:val="00A0463D"/>
    <w:rsid w:val="00A11DF1"/>
    <w:rsid w:val="00A14163"/>
    <w:rsid w:val="00A16154"/>
    <w:rsid w:val="00A1763D"/>
    <w:rsid w:val="00A17CEC"/>
    <w:rsid w:val="00A20F7A"/>
    <w:rsid w:val="00A23969"/>
    <w:rsid w:val="00A2623C"/>
    <w:rsid w:val="00A27EF0"/>
    <w:rsid w:val="00A316EB"/>
    <w:rsid w:val="00A33BC9"/>
    <w:rsid w:val="00A34DBB"/>
    <w:rsid w:val="00A4435A"/>
    <w:rsid w:val="00A504DE"/>
    <w:rsid w:val="00A50B20"/>
    <w:rsid w:val="00A51390"/>
    <w:rsid w:val="00A54EDB"/>
    <w:rsid w:val="00A56155"/>
    <w:rsid w:val="00A60D13"/>
    <w:rsid w:val="00A61C52"/>
    <w:rsid w:val="00A640D5"/>
    <w:rsid w:val="00A64532"/>
    <w:rsid w:val="00A65AA0"/>
    <w:rsid w:val="00A6678C"/>
    <w:rsid w:val="00A72745"/>
    <w:rsid w:val="00A76C46"/>
    <w:rsid w:val="00A76EFC"/>
    <w:rsid w:val="00A80983"/>
    <w:rsid w:val="00A820A3"/>
    <w:rsid w:val="00A85051"/>
    <w:rsid w:val="00A90AE1"/>
    <w:rsid w:val="00A91010"/>
    <w:rsid w:val="00A954E6"/>
    <w:rsid w:val="00A97F29"/>
    <w:rsid w:val="00AA1921"/>
    <w:rsid w:val="00AA24C2"/>
    <w:rsid w:val="00AA35D8"/>
    <w:rsid w:val="00AA3768"/>
    <w:rsid w:val="00AA37EB"/>
    <w:rsid w:val="00AA5483"/>
    <w:rsid w:val="00AA702E"/>
    <w:rsid w:val="00AB0964"/>
    <w:rsid w:val="00AB3EF5"/>
    <w:rsid w:val="00AB4E69"/>
    <w:rsid w:val="00AB5011"/>
    <w:rsid w:val="00AB51C3"/>
    <w:rsid w:val="00AB5F78"/>
    <w:rsid w:val="00AC7368"/>
    <w:rsid w:val="00AC7E61"/>
    <w:rsid w:val="00AD0C15"/>
    <w:rsid w:val="00AD16B9"/>
    <w:rsid w:val="00AD607A"/>
    <w:rsid w:val="00AD693E"/>
    <w:rsid w:val="00AD7239"/>
    <w:rsid w:val="00AE14F6"/>
    <w:rsid w:val="00AE377D"/>
    <w:rsid w:val="00AE39BC"/>
    <w:rsid w:val="00AE62C1"/>
    <w:rsid w:val="00AF0EBA"/>
    <w:rsid w:val="00AF211B"/>
    <w:rsid w:val="00AF53C6"/>
    <w:rsid w:val="00AF7676"/>
    <w:rsid w:val="00B00472"/>
    <w:rsid w:val="00B011EF"/>
    <w:rsid w:val="00B01240"/>
    <w:rsid w:val="00B02C8A"/>
    <w:rsid w:val="00B05061"/>
    <w:rsid w:val="00B07331"/>
    <w:rsid w:val="00B0797D"/>
    <w:rsid w:val="00B11A8C"/>
    <w:rsid w:val="00B145AE"/>
    <w:rsid w:val="00B14D46"/>
    <w:rsid w:val="00B15237"/>
    <w:rsid w:val="00B1539C"/>
    <w:rsid w:val="00B15F5C"/>
    <w:rsid w:val="00B17FBD"/>
    <w:rsid w:val="00B20C73"/>
    <w:rsid w:val="00B315A6"/>
    <w:rsid w:val="00B31813"/>
    <w:rsid w:val="00B33365"/>
    <w:rsid w:val="00B459CB"/>
    <w:rsid w:val="00B465CA"/>
    <w:rsid w:val="00B46B05"/>
    <w:rsid w:val="00B550FD"/>
    <w:rsid w:val="00B55CCD"/>
    <w:rsid w:val="00B56112"/>
    <w:rsid w:val="00B57B36"/>
    <w:rsid w:val="00B64720"/>
    <w:rsid w:val="00B6628A"/>
    <w:rsid w:val="00B66ACD"/>
    <w:rsid w:val="00B677A7"/>
    <w:rsid w:val="00B72CD7"/>
    <w:rsid w:val="00B73CCB"/>
    <w:rsid w:val="00B7463D"/>
    <w:rsid w:val="00B76043"/>
    <w:rsid w:val="00B812D6"/>
    <w:rsid w:val="00B819E3"/>
    <w:rsid w:val="00B83A9B"/>
    <w:rsid w:val="00B865BA"/>
    <w:rsid w:val="00B8686D"/>
    <w:rsid w:val="00BB1DDC"/>
    <w:rsid w:val="00BB221A"/>
    <w:rsid w:val="00BB505F"/>
    <w:rsid w:val="00BC0923"/>
    <w:rsid w:val="00BC30C9"/>
    <w:rsid w:val="00BC4B71"/>
    <w:rsid w:val="00BC4DD3"/>
    <w:rsid w:val="00BC4F9D"/>
    <w:rsid w:val="00BC6D0D"/>
    <w:rsid w:val="00BD76C1"/>
    <w:rsid w:val="00BE0339"/>
    <w:rsid w:val="00BE2359"/>
    <w:rsid w:val="00BE2E02"/>
    <w:rsid w:val="00BE3432"/>
    <w:rsid w:val="00BE3E58"/>
    <w:rsid w:val="00BE54D2"/>
    <w:rsid w:val="00BE5ABF"/>
    <w:rsid w:val="00C01616"/>
    <w:rsid w:val="00C0162B"/>
    <w:rsid w:val="00C068ED"/>
    <w:rsid w:val="00C11613"/>
    <w:rsid w:val="00C124C5"/>
    <w:rsid w:val="00C13C60"/>
    <w:rsid w:val="00C142D1"/>
    <w:rsid w:val="00C147B3"/>
    <w:rsid w:val="00C22057"/>
    <w:rsid w:val="00C230E3"/>
    <w:rsid w:val="00C26A78"/>
    <w:rsid w:val="00C32D97"/>
    <w:rsid w:val="00C337D6"/>
    <w:rsid w:val="00C345B1"/>
    <w:rsid w:val="00C36C52"/>
    <w:rsid w:val="00C40142"/>
    <w:rsid w:val="00C4137B"/>
    <w:rsid w:val="00C4160A"/>
    <w:rsid w:val="00C4203A"/>
    <w:rsid w:val="00C51558"/>
    <w:rsid w:val="00C568C2"/>
    <w:rsid w:val="00C57182"/>
    <w:rsid w:val="00C57863"/>
    <w:rsid w:val="00C5794C"/>
    <w:rsid w:val="00C655FD"/>
    <w:rsid w:val="00C75407"/>
    <w:rsid w:val="00C82140"/>
    <w:rsid w:val="00C84754"/>
    <w:rsid w:val="00C85AB6"/>
    <w:rsid w:val="00C870A8"/>
    <w:rsid w:val="00C94434"/>
    <w:rsid w:val="00C97BFA"/>
    <w:rsid w:val="00CA0D75"/>
    <w:rsid w:val="00CA1C95"/>
    <w:rsid w:val="00CA5A9C"/>
    <w:rsid w:val="00CA7FA4"/>
    <w:rsid w:val="00CB17DA"/>
    <w:rsid w:val="00CB4D8C"/>
    <w:rsid w:val="00CB787D"/>
    <w:rsid w:val="00CC3FB3"/>
    <w:rsid w:val="00CC4C20"/>
    <w:rsid w:val="00CC5EEC"/>
    <w:rsid w:val="00CD3517"/>
    <w:rsid w:val="00CD3535"/>
    <w:rsid w:val="00CD4AFF"/>
    <w:rsid w:val="00CD5FE2"/>
    <w:rsid w:val="00CD6698"/>
    <w:rsid w:val="00CD6B69"/>
    <w:rsid w:val="00CE15AC"/>
    <w:rsid w:val="00CE21E7"/>
    <w:rsid w:val="00CE70BE"/>
    <w:rsid w:val="00CE7C68"/>
    <w:rsid w:val="00CF5810"/>
    <w:rsid w:val="00D01133"/>
    <w:rsid w:val="00D02B4C"/>
    <w:rsid w:val="00D040C4"/>
    <w:rsid w:val="00D129EE"/>
    <w:rsid w:val="00D132BE"/>
    <w:rsid w:val="00D20D90"/>
    <w:rsid w:val="00D240A7"/>
    <w:rsid w:val="00D244AD"/>
    <w:rsid w:val="00D31A80"/>
    <w:rsid w:val="00D3212C"/>
    <w:rsid w:val="00D37444"/>
    <w:rsid w:val="00D37C2D"/>
    <w:rsid w:val="00D40429"/>
    <w:rsid w:val="00D41EB7"/>
    <w:rsid w:val="00D5095D"/>
    <w:rsid w:val="00D57C84"/>
    <w:rsid w:val="00D6057D"/>
    <w:rsid w:val="00D8260D"/>
    <w:rsid w:val="00D836C5"/>
    <w:rsid w:val="00D84576"/>
    <w:rsid w:val="00D87CB8"/>
    <w:rsid w:val="00D92B5E"/>
    <w:rsid w:val="00DA1399"/>
    <w:rsid w:val="00DA24C6"/>
    <w:rsid w:val="00DA4D7B"/>
    <w:rsid w:val="00DA6EB3"/>
    <w:rsid w:val="00DA7697"/>
    <w:rsid w:val="00DB04EB"/>
    <w:rsid w:val="00DB4A8C"/>
    <w:rsid w:val="00DC021E"/>
    <w:rsid w:val="00DC04AF"/>
    <w:rsid w:val="00DC0E04"/>
    <w:rsid w:val="00DC1CD0"/>
    <w:rsid w:val="00DC3DF1"/>
    <w:rsid w:val="00DC4440"/>
    <w:rsid w:val="00DC76A4"/>
    <w:rsid w:val="00DCF81D"/>
    <w:rsid w:val="00DD1673"/>
    <w:rsid w:val="00DD3BC1"/>
    <w:rsid w:val="00DD4B94"/>
    <w:rsid w:val="00DD5A12"/>
    <w:rsid w:val="00DD5FFD"/>
    <w:rsid w:val="00DD68CB"/>
    <w:rsid w:val="00DE264A"/>
    <w:rsid w:val="00DE3FEF"/>
    <w:rsid w:val="00DE442C"/>
    <w:rsid w:val="00DF0F82"/>
    <w:rsid w:val="00DF5072"/>
    <w:rsid w:val="00DF7BAF"/>
    <w:rsid w:val="00E0276D"/>
    <w:rsid w:val="00E02D18"/>
    <w:rsid w:val="00E041E7"/>
    <w:rsid w:val="00E05532"/>
    <w:rsid w:val="00E06194"/>
    <w:rsid w:val="00E13959"/>
    <w:rsid w:val="00E141EF"/>
    <w:rsid w:val="00E150C2"/>
    <w:rsid w:val="00E224D0"/>
    <w:rsid w:val="00E23C9A"/>
    <w:rsid w:val="00E23CA1"/>
    <w:rsid w:val="00E269F8"/>
    <w:rsid w:val="00E30A15"/>
    <w:rsid w:val="00E346B7"/>
    <w:rsid w:val="00E409A8"/>
    <w:rsid w:val="00E42A0D"/>
    <w:rsid w:val="00E43183"/>
    <w:rsid w:val="00E4521F"/>
    <w:rsid w:val="00E46B04"/>
    <w:rsid w:val="00E50C12"/>
    <w:rsid w:val="00E53E42"/>
    <w:rsid w:val="00E611E8"/>
    <w:rsid w:val="00E65B91"/>
    <w:rsid w:val="00E7209D"/>
    <w:rsid w:val="00E77223"/>
    <w:rsid w:val="00E84ADF"/>
    <w:rsid w:val="00E8528B"/>
    <w:rsid w:val="00E85B94"/>
    <w:rsid w:val="00E8760B"/>
    <w:rsid w:val="00E90688"/>
    <w:rsid w:val="00E918DC"/>
    <w:rsid w:val="00E92F7F"/>
    <w:rsid w:val="00E933C8"/>
    <w:rsid w:val="00E944E3"/>
    <w:rsid w:val="00E978D0"/>
    <w:rsid w:val="00EA4613"/>
    <w:rsid w:val="00EA54A0"/>
    <w:rsid w:val="00EA7560"/>
    <w:rsid w:val="00EA7F91"/>
    <w:rsid w:val="00EB02F5"/>
    <w:rsid w:val="00EB1523"/>
    <w:rsid w:val="00EB2B0A"/>
    <w:rsid w:val="00EB4AC9"/>
    <w:rsid w:val="00EB520E"/>
    <w:rsid w:val="00EB72CD"/>
    <w:rsid w:val="00EC0E49"/>
    <w:rsid w:val="00EC101F"/>
    <w:rsid w:val="00EC1D9F"/>
    <w:rsid w:val="00EC3CAE"/>
    <w:rsid w:val="00EC4965"/>
    <w:rsid w:val="00EC7AA7"/>
    <w:rsid w:val="00ED01B1"/>
    <w:rsid w:val="00ED6D68"/>
    <w:rsid w:val="00ED7273"/>
    <w:rsid w:val="00EE0131"/>
    <w:rsid w:val="00EE17B0"/>
    <w:rsid w:val="00EF06D9"/>
    <w:rsid w:val="00EF3754"/>
    <w:rsid w:val="00EF5D59"/>
    <w:rsid w:val="00F07B39"/>
    <w:rsid w:val="00F10662"/>
    <w:rsid w:val="00F10AC1"/>
    <w:rsid w:val="00F11E63"/>
    <w:rsid w:val="00F15266"/>
    <w:rsid w:val="00F20878"/>
    <w:rsid w:val="00F21E28"/>
    <w:rsid w:val="00F30C64"/>
    <w:rsid w:val="00F3132B"/>
    <w:rsid w:val="00F32CDB"/>
    <w:rsid w:val="00F34B8D"/>
    <w:rsid w:val="00F41BB2"/>
    <w:rsid w:val="00F44044"/>
    <w:rsid w:val="00F44B5B"/>
    <w:rsid w:val="00F46A80"/>
    <w:rsid w:val="00F47E25"/>
    <w:rsid w:val="00F55C81"/>
    <w:rsid w:val="00F562D4"/>
    <w:rsid w:val="00F565FE"/>
    <w:rsid w:val="00F56895"/>
    <w:rsid w:val="00F56E1E"/>
    <w:rsid w:val="00F5715A"/>
    <w:rsid w:val="00F61472"/>
    <w:rsid w:val="00F62155"/>
    <w:rsid w:val="00F62CD0"/>
    <w:rsid w:val="00F63A70"/>
    <w:rsid w:val="00F65500"/>
    <w:rsid w:val="00F66D01"/>
    <w:rsid w:val="00F67B57"/>
    <w:rsid w:val="00F71AE6"/>
    <w:rsid w:val="00F74061"/>
    <w:rsid w:val="00F7443A"/>
    <w:rsid w:val="00F76CB2"/>
    <w:rsid w:val="00F77F76"/>
    <w:rsid w:val="00F8259F"/>
    <w:rsid w:val="00F8323F"/>
    <w:rsid w:val="00F84378"/>
    <w:rsid w:val="00F85C60"/>
    <w:rsid w:val="00F948F9"/>
    <w:rsid w:val="00F97EF0"/>
    <w:rsid w:val="00FA210B"/>
    <w:rsid w:val="00FA21D0"/>
    <w:rsid w:val="00FA2A78"/>
    <w:rsid w:val="00FA5F5F"/>
    <w:rsid w:val="00FB0564"/>
    <w:rsid w:val="00FB18BE"/>
    <w:rsid w:val="00FB4151"/>
    <w:rsid w:val="00FB5449"/>
    <w:rsid w:val="00FB730C"/>
    <w:rsid w:val="00FC04A0"/>
    <w:rsid w:val="00FC2695"/>
    <w:rsid w:val="00FC3E03"/>
    <w:rsid w:val="00FC3FC1"/>
    <w:rsid w:val="00FD359C"/>
    <w:rsid w:val="00FD3817"/>
    <w:rsid w:val="00FD5685"/>
    <w:rsid w:val="00FD73AC"/>
    <w:rsid w:val="00FE1C8D"/>
    <w:rsid w:val="00FE2DC3"/>
    <w:rsid w:val="00FE5F89"/>
    <w:rsid w:val="00FF698D"/>
    <w:rsid w:val="00FF7C88"/>
    <w:rsid w:val="1799B216"/>
    <w:rsid w:val="573C55FB"/>
    <w:rsid w:val="7BF6DC1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E0CC22"/>
  <w14:defaultImageDpi w14:val="330"/>
  <w15:docId w15:val="{BD9317B5-CF89-4AAB-8E9C-0F672956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A33BC9"/>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CE15AC"/>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CE15AC"/>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5D6C53"/>
    <w:pPr>
      <w:ind w:left="720"/>
      <w:contextualSpacing/>
    </w:pPr>
  </w:style>
  <w:style w:type="paragraph" w:styleId="Revisione">
    <w:name w:val="Revision"/>
    <w:hidden/>
    <w:uiPriority w:val="99"/>
    <w:semiHidden/>
    <w:rsid w:val="00885CEF"/>
    <w:pPr>
      <w:spacing w:after="0" w:line="240" w:lineRule="auto"/>
    </w:pPr>
    <w:rPr>
      <w:rFonts w:ascii="Arial" w:eastAsia="Times New Roman" w:hAnsi="Arial" w:cs="Times New Roman"/>
      <w:sz w:val="18"/>
      <w:szCs w:val="20"/>
      <w:lang w:val="en-GB"/>
    </w:rPr>
  </w:style>
  <w:style w:type="character" w:styleId="Menzionenonrisolta">
    <w:name w:val="Unresolved Mention"/>
    <w:basedOn w:val="Carpredefinitoparagrafo"/>
    <w:uiPriority w:val="99"/>
    <w:semiHidden/>
    <w:unhideWhenUsed/>
    <w:rsid w:val="00956D9E"/>
    <w:rPr>
      <w:color w:val="605E5C"/>
      <w:shd w:val="clear" w:color="auto" w:fill="E1DFDD"/>
    </w:rPr>
  </w:style>
  <w:style w:type="character" w:customStyle="1" w:styleId="y2iqfc">
    <w:name w:val="y2iqfc"/>
    <w:basedOn w:val="Carpredefinitoparagrafo"/>
    <w:rsid w:val="00F62CD0"/>
  </w:style>
  <w:style w:type="character" w:styleId="Enfasicorsivo">
    <w:name w:val="Emphasis"/>
    <w:basedOn w:val="Carpredefinitoparagrafo"/>
    <w:uiPriority w:val="20"/>
    <w:qFormat/>
    <w:rsid w:val="00F62C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483184">
      <w:bodyDiv w:val="1"/>
      <w:marLeft w:val="0"/>
      <w:marRight w:val="0"/>
      <w:marTop w:val="0"/>
      <w:marBottom w:val="0"/>
      <w:divBdr>
        <w:top w:val="none" w:sz="0" w:space="0" w:color="auto"/>
        <w:left w:val="none" w:sz="0" w:space="0" w:color="auto"/>
        <w:bottom w:val="none" w:sz="0" w:space="0" w:color="auto"/>
        <w:right w:val="none" w:sz="0" w:space="0" w:color="auto"/>
      </w:divBdr>
    </w:div>
    <w:div w:id="669523289">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4679">
      <w:bodyDiv w:val="1"/>
      <w:marLeft w:val="0"/>
      <w:marRight w:val="0"/>
      <w:marTop w:val="0"/>
      <w:marBottom w:val="0"/>
      <w:divBdr>
        <w:top w:val="none" w:sz="0" w:space="0" w:color="auto"/>
        <w:left w:val="none" w:sz="0" w:space="0" w:color="auto"/>
        <w:bottom w:val="none" w:sz="0" w:space="0" w:color="auto"/>
        <w:right w:val="none" w:sz="0" w:space="0" w:color="auto"/>
      </w:divBdr>
    </w:div>
    <w:div w:id="1248806677">
      <w:bodyDiv w:val="1"/>
      <w:marLeft w:val="0"/>
      <w:marRight w:val="0"/>
      <w:marTop w:val="0"/>
      <w:marBottom w:val="0"/>
      <w:divBdr>
        <w:top w:val="none" w:sz="0" w:space="0" w:color="auto"/>
        <w:left w:val="none" w:sz="0" w:space="0" w:color="auto"/>
        <w:bottom w:val="none" w:sz="0" w:space="0" w:color="auto"/>
        <w:right w:val="none" w:sz="0" w:space="0" w:color="auto"/>
      </w:divBdr>
    </w:div>
    <w:div w:id="1416827755">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25412">
      <w:bodyDiv w:val="1"/>
      <w:marLeft w:val="0"/>
      <w:marRight w:val="0"/>
      <w:marTop w:val="0"/>
      <w:marBottom w:val="0"/>
      <w:divBdr>
        <w:top w:val="none" w:sz="0" w:space="0" w:color="auto"/>
        <w:left w:val="none" w:sz="0" w:space="0" w:color="auto"/>
        <w:bottom w:val="none" w:sz="0" w:space="0" w:color="auto"/>
        <w:right w:val="none" w:sz="0" w:space="0" w:color="auto"/>
      </w:divBdr>
    </w:div>
    <w:div w:id="1836534032">
      <w:bodyDiv w:val="1"/>
      <w:marLeft w:val="0"/>
      <w:marRight w:val="0"/>
      <w:marTop w:val="0"/>
      <w:marBottom w:val="0"/>
      <w:divBdr>
        <w:top w:val="none" w:sz="0" w:space="0" w:color="auto"/>
        <w:left w:val="none" w:sz="0" w:space="0" w:color="auto"/>
        <w:bottom w:val="none" w:sz="0" w:space="0" w:color="auto"/>
        <w:right w:val="none" w:sz="0" w:space="0" w:color="auto"/>
      </w:divBdr>
    </w:div>
    <w:div w:id="1850287729">
      <w:bodyDiv w:val="1"/>
      <w:marLeft w:val="0"/>
      <w:marRight w:val="0"/>
      <w:marTop w:val="0"/>
      <w:marBottom w:val="0"/>
      <w:divBdr>
        <w:top w:val="none" w:sz="0" w:space="0" w:color="auto"/>
        <w:left w:val="none" w:sz="0" w:space="0" w:color="auto"/>
        <w:bottom w:val="none" w:sz="0" w:space="0" w:color="auto"/>
        <w:right w:val="none" w:sz="0" w:space="0" w:color="auto"/>
      </w:divBdr>
    </w:div>
    <w:div w:id="1954437347">
      <w:bodyDiv w:val="1"/>
      <w:marLeft w:val="0"/>
      <w:marRight w:val="0"/>
      <w:marTop w:val="0"/>
      <w:marBottom w:val="0"/>
      <w:divBdr>
        <w:top w:val="none" w:sz="0" w:space="0" w:color="auto"/>
        <w:left w:val="none" w:sz="0" w:space="0" w:color="auto"/>
        <w:bottom w:val="none" w:sz="0" w:space="0" w:color="auto"/>
        <w:right w:val="none" w:sz="0" w:space="0" w:color="auto"/>
      </w:divBdr>
    </w:div>
    <w:div w:id="1993946129">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002/9781118481264.ch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envpol.2024.12352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atmos1202020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3390/ijerph2003265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F1BCB-E174-49CE-9A0B-93C412816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3292</Words>
  <Characters>18769</Characters>
  <Application>Microsoft Office Word</Application>
  <DocSecurity>0</DocSecurity>
  <Lines>156</Lines>
  <Paragraphs>44</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22017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Marzio Invernizzi</cp:lastModifiedBy>
  <cp:revision>4</cp:revision>
  <cp:lastPrinted>2024-03-29T17:59:00Z</cp:lastPrinted>
  <dcterms:created xsi:type="dcterms:W3CDTF">2024-07-03T15:30:00Z</dcterms:created>
  <dcterms:modified xsi:type="dcterms:W3CDTF">2024-07-03T15:34:00Z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id="lg8kTCDP"/&gt;&lt;style id="http://www.zotero.org/styles/elsevier-harvard" hasBibliography="1" bibliographyStyleHasBeenSet="1"/&gt;&lt;prefs&gt;&lt;pref name="fieldType" value="Field"/&gt;&lt;pref name="storeReferences"</vt:lpwstr>
  </property>
  <property fmtid="{D5CDD505-2E9C-101B-9397-08002B2CF9AE}" pid="3" name="ZOTERO_PREF_2">
    <vt:lpwstr> value="true"/&gt;&lt;/prefs&gt;&lt;/data&gt;</vt:lpwstr>
  </property>
  <property fmtid="{D5CDD505-2E9C-101B-9397-08002B2CF9AE}" pid="4" name="Mendeley Document_1">
    <vt:lpwstr>True</vt:lpwstr>
  </property>
  <property fmtid="{D5CDD505-2E9C-101B-9397-08002B2CF9AE}" pid="5" name="Mendeley Citation Style_1">
    <vt:lpwstr>http://www.zotero.org/styles/apa</vt:lpwstr>
  </property>
  <property fmtid="{D5CDD505-2E9C-101B-9397-08002B2CF9AE}" pid="6" name="Mendeley Unique User Id_1">
    <vt:lpwstr>b5eb034c-da89-33c7-a78c-da056ff3b402</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7th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 6th edition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10th edition - Harvard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8th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y fmtid="{D5CDD505-2E9C-101B-9397-08002B2CF9AE}" pid="27" name="GrammarlyDocumentId">
    <vt:lpwstr>cc5f01e3bee69f6337a031d431942306b78d6bb350b4c0177a7919596425075a</vt:lpwstr>
  </property>
</Properties>
</file>