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7ECC16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A0071C">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86598E2"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
          <w:p w14:paraId="1B0F1814" w14:textId="22173EFF"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325CDC">
              <w:rPr>
                <w:rFonts w:ascii="Tahoma" w:hAnsi="Tahoma" w:cs="Tahoma"/>
                <w:iCs/>
                <w:color w:val="333333"/>
                <w:sz w:val="14"/>
                <w:szCs w:val="14"/>
                <w:lang w:eastAsia="it-IT"/>
              </w:rPr>
              <w:t>4</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557E00">
              <w:rPr>
                <w:rFonts w:ascii="Tahoma" w:hAnsi="Tahoma" w:cs="Tahoma"/>
                <w:sz w:val="14"/>
                <w:szCs w:val="14"/>
              </w:rPr>
              <w:t>XX</w:t>
            </w:r>
            <w:r w:rsidR="00D2582C">
              <w:rPr>
                <w:rFonts w:ascii="Tahoma" w:hAnsi="Tahoma" w:cs="Tahoma"/>
                <w:sz w:val="14"/>
                <w:szCs w:val="14"/>
              </w:rPr>
              <w:t>-</w:t>
            </w:r>
            <w:r w:rsidR="00557E00">
              <w:rPr>
                <w:rFonts w:ascii="Tahoma" w:hAnsi="Tahoma" w:cs="Tahoma"/>
                <w:sz w:val="14"/>
                <w:szCs w:val="14"/>
              </w:rPr>
              <w:t>X</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59EE36D7" w:rsidR="00E978D0" w:rsidRPr="00B57B36" w:rsidRDefault="07024649" w:rsidP="00E978D0">
      <w:pPr>
        <w:pStyle w:val="CETTitle"/>
      </w:pPr>
      <w:r>
        <w:t xml:space="preserve">A Citizen Science Approach to Address </w:t>
      </w:r>
      <w:r w:rsidR="00600535">
        <w:br/>
      </w:r>
      <w:r>
        <w:t>Odour Pollution in Greece</w:t>
      </w:r>
    </w:p>
    <w:p w14:paraId="0488FED2" w14:textId="4997F721" w:rsidR="00B57E6F" w:rsidRPr="00BA6621" w:rsidRDefault="52510AD5" w:rsidP="00B57E6F">
      <w:pPr>
        <w:pStyle w:val="CETAuthors"/>
        <w:rPr>
          <w:lang w:val="pt-PT"/>
        </w:rPr>
      </w:pPr>
      <w:r w:rsidRPr="00BA6621">
        <w:rPr>
          <w:lang w:val="pt-PT"/>
        </w:rPr>
        <w:t>Vasiliki Sideri</w:t>
      </w:r>
      <w:r w:rsidRPr="00BA6621">
        <w:rPr>
          <w:vertAlign w:val="superscript"/>
          <w:lang w:val="pt-PT"/>
        </w:rPr>
        <w:t>a,</w:t>
      </w:r>
      <w:r w:rsidRPr="00BA6621">
        <w:rPr>
          <w:lang w:val="pt-PT"/>
        </w:rPr>
        <w:t>*, Charikleia Karakosta</w:t>
      </w:r>
      <w:r w:rsidRPr="00BA6621">
        <w:rPr>
          <w:vertAlign w:val="superscript"/>
          <w:lang w:val="pt-PT"/>
        </w:rPr>
        <w:t>a,b</w:t>
      </w:r>
      <w:r w:rsidRPr="00BA6621">
        <w:rPr>
          <w:lang w:val="pt-PT"/>
        </w:rPr>
        <w:t xml:space="preserve"> and Stavros Vlachos</w:t>
      </w:r>
      <w:r w:rsidRPr="00BA6621">
        <w:rPr>
          <w:vertAlign w:val="superscript"/>
          <w:lang w:val="pt-PT"/>
        </w:rPr>
        <w:t>a</w:t>
      </w:r>
    </w:p>
    <w:p w14:paraId="14251923" w14:textId="56BC139C" w:rsidR="00B57E6F" w:rsidRPr="00156A97" w:rsidRDefault="00B57E6F" w:rsidP="75DC3DBB">
      <w:pPr>
        <w:pStyle w:val="CETAddress"/>
        <w:rPr>
          <w:rFonts w:eastAsia="Arial" w:cs="Arial"/>
          <w:color w:val="000000" w:themeColor="text1"/>
          <w:szCs w:val="16"/>
          <w:lang w:val="en-US"/>
        </w:rPr>
      </w:pPr>
      <w:r w:rsidRPr="00156A97">
        <w:rPr>
          <w:vertAlign w:val="superscript"/>
          <w:lang w:val="en-US"/>
        </w:rPr>
        <w:t>a</w:t>
      </w:r>
      <w:r w:rsidR="32A7E7C6" w:rsidRPr="00156A97">
        <w:rPr>
          <w:rFonts w:eastAsia="Arial" w:cs="Arial"/>
          <w:color w:val="000000" w:themeColor="text1"/>
          <w:szCs w:val="16"/>
          <w:lang w:val="en-US"/>
        </w:rPr>
        <w:t xml:space="preserve"> ENVIROMETRICS </w:t>
      </w:r>
      <w:r w:rsidR="009E1590" w:rsidRPr="00156A97">
        <w:rPr>
          <w:rFonts w:eastAsia="Arial" w:cs="Arial"/>
          <w:color w:val="000000" w:themeColor="text1"/>
          <w:szCs w:val="16"/>
          <w:lang w:val="en-US"/>
        </w:rPr>
        <w:t>Technical</w:t>
      </w:r>
      <w:r w:rsidR="32A7E7C6" w:rsidRPr="00156A97">
        <w:rPr>
          <w:rFonts w:eastAsia="Arial" w:cs="Arial"/>
          <w:color w:val="000000" w:themeColor="text1"/>
          <w:szCs w:val="16"/>
          <w:lang w:val="en-US"/>
        </w:rPr>
        <w:t xml:space="preserve"> Consultants SA, 3 Kodrou str., 15232 Chalandri, Greece</w:t>
      </w:r>
    </w:p>
    <w:p w14:paraId="3D72B0B0" w14:textId="5EB29A01" w:rsidR="00B57E6F" w:rsidRPr="005F3B70" w:rsidRDefault="00B57E6F" w:rsidP="75DC3DBB">
      <w:pPr>
        <w:pStyle w:val="CETAddress"/>
        <w:rPr>
          <w:rFonts w:eastAsia="Arial" w:cs="Arial"/>
          <w:color w:val="000000" w:themeColor="text1"/>
          <w:szCs w:val="16"/>
          <w:lang w:val="en-US"/>
        </w:rPr>
      </w:pPr>
      <w:r w:rsidRPr="75DC3DBB">
        <w:rPr>
          <w:vertAlign w:val="superscript"/>
        </w:rPr>
        <w:t>b</w:t>
      </w:r>
      <w:r w:rsidR="1EAF02E8" w:rsidRPr="75DC3DBB">
        <w:rPr>
          <w:vertAlign w:val="superscript"/>
        </w:rPr>
        <w:t xml:space="preserve"> </w:t>
      </w:r>
      <w:r w:rsidR="1EAF02E8" w:rsidRPr="005F3B70">
        <w:rPr>
          <w:rFonts w:eastAsia="Arial" w:cs="Arial"/>
          <w:color w:val="000000" w:themeColor="text1"/>
          <w:szCs w:val="16"/>
          <w:lang w:val="en-US"/>
        </w:rPr>
        <w:t>Decision Support Systems Laboratory, School of Electrical and Computer Engineering, National Technical University of Athens, 9, Iroon Polytechniou str., 157 80, Athens, Greece</w:t>
      </w:r>
      <w:r w:rsidRPr="005F3B70">
        <w:rPr>
          <w:rFonts w:eastAsia="Arial" w:cs="Arial"/>
          <w:color w:val="000000" w:themeColor="text1"/>
          <w:szCs w:val="16"/>
          <w:lang w:val="en-US"/>
        </w:rPr>
        <w:t xml:space="preserve"> </w:t>
      </w:r>
    </w:p>
    <w:p w14:paraId="73F1267A" w14:textId="17FA2F03" w:rsidR="00B57E6F" w:rsidRPr="00B57B36" w:rsidRDefault="00B57E6F" w:rsidP="00B57E6F">
      <w:pPr>
        <w:pStyle w:val="CETemail"/>
      </w:pPr>
      <w:r>
        <w:t xml:space="preserve"> </w:t>
      </w:r>
      <w:hyperlink r:id="rId13">
        <w:r w:rsidR="4944B946" w:rsidRPr="75DC3DBB">
          <w:rPr>
            <w:rStyle w:val="Hyperlink"/>
          </w:rPr>
          <w:t>vsideri</w:t>
        </w:r>
        <w:r w:rsidRPr="75DC3DBB">
          <w:rPr>
            <w:rStyle w:val="Hyperlink"/>
          </w:rPr>
          <w:t>@</w:t>
        </w:r>
        <w:r w:rsidR="28220D34" w:rsidRPr="75DC3DBB">
          <w:rPr>
            <w:rStyle w:val="Hyperlink"/>
          </w:rPr>
          <w:t>envirometrics.gr</w:t>
        </w:r>
      </w:hyperlink>
    </w:p>
    <w:p w14:paraId="6893AF25" w14:textId="747C20D5" w:rsidR="00600535" w:rsidRPr="008376B3" w:rsidRDefault="068CCA08" w:rsidP="00600535">
      <w:pPr>
        <w:pStyle w:val="CETBodytext"/>
      </w:pPr>
      <w:r w:rsidRPr="75DC3DBB">
        <w:rPr>
          <w:lang w:val="en-GB"/>
        </w:rPr>
        <w:t>Odour pollution presents significant challenges to both environmental quality and public health, impacting the quality of life for affected communities. This issue is particularly complex and subjective, with varying individual responses to odours. In Greece, the city of Thessaloniki faces odour pollution stemming from industrial, urban development and sewage activities, necessitating comprehensive solutions. Drawing upon interdisciplinary studies and collaboration between academia, local authorities, and citizen groups, a citizen science-driven approach is proposed to comprehensively map and mitigate odour-related challenges. The paper outlines a collaborative approach aimed at defining specific steps for co-designing processes to address odour issues locally, with Thessaloniki as a pilot case. The paper aims to provide a holistic understanding of odour pollution issues, facilitate the formulation of sustainable solutions, and ensure inclusiveness across diverse socio</w:t>
      </w:r>
      <w:r w:rsidR="09B8F8AD" w:rsidRPr="75DC3DBB">
        <w:rPr>
          <w:lang w:val="en-GB"/>
        </w:rPr>
        <w:t>-</w:t>
      </w:r>
      <w:r w:rsidRPr="75DC3DBB">
        <w:rPr>
          <w:lang w:val="en-GB"/>
        </w:rPr>
        <w:t>economic and socio-cultural realities. By engaging stakeholders and utilizing tools such as the OdourCollect App and smell diaries, the methodology successfully engages diverse communities affected by odour pollution, including those traditionally marginalized or isolated. Data analysis from the pilot application validates the existence of odour nuisance in key areas, providing qualitative and quantitative insights into the problem. This paper contributes to understanding odour nuisance and offers insights into effective community-driven interventions to tackle this complex environmental issue, while explores the replication potential of the approach in other regions affected by odour pollution.</w:t>
      </w:r>
    </w:p>
    <w:p w14:paraId="3D5A733C" w14:textId="2EF186D9" w:rsidR="75DC3DBB" w:rsidRDefault="75DC3DBB" w:rsidP="75DC3DBB">
      <w:pPr>
        <w:pStyle w:val="CETBodytext"/>
        <w:rPr>
          <w:lang w:val="en-GB"/>
        </w:rPr>
      </w:pPr>
    </w:p>
    <w:p w14:paraId="57F8CBF0" w14:textId="77736DE6" w:rsidR="0CF0EB7B" w:rsidRDefault="0CF0EB7B" w:rsidP="17ABA63D">
      <w:pPr>
        <w:pStyle w:val="CETBodytext"/>
        <w:rPr>
          <w:lang w:val="en-GB"/>
        </w:rPr>
      </w:pPr>
      <w:r w:rsidRPr="75DC3DBB">
        <w:rPr>
          <w:lang w:val="en-GB"/>
        </w:rPr>
        <w:t>Key words: Odour Nuisance; Odour Pollution; Odour; Citizen Science; Stakeholder Engagement; Stakeholders Consultation; Participatory Approach; Statistical Analysis; Thessaloniki</w:t>
      </w:r>
    </w:p>
    <w:p w14:paraId="476B2F2E" w14:textId="77777777" w:rsidR="00600535" w:rsidRPr="00B57B36" w:rsidRDefault="00600535" w:rsidP="00600535">
      <w:pPr>
        <w:pStyle w:val="CETHeading1"/>
        <w:rPr>
          <w:lang w:val="en-GB"/>
        </w:rPr>
      </w:pPr>
      <w:bookmarkStart w:id="0" w:name="_Hlk495475023"/>
      <w:bookmarkEnd w:id="0"/>
      <w:r w:rsidRPr="00B57B36">
        <w:rPr>
          <w:lang w:val="en-GB"/>
        </w:rPr>
        <w:t>Introduction</w:t>
      </w:r>
    </w:p>
    <w:p w14:paraId="478A80FE" w14:textId="7668D9DD" w:rsidR="00600535" w:rsidRDefault="26183334" w:rsidP="75DC3DBB">
      <w:pPr>
        <w:pStyle w:val="CETBodytext"/>
        <w:rPr>
          <w:lang w:val="en-GB"/>
        </w:rPr>
      </w:pPr>
      <w:r w:rsidRPr="75DC3DBB">
        <w:rPr>
          <w:lang w:val="en-GB"/>
        </w:rPr>
        <w:t>Odour is a</w:t>
      </w:r>
      <w:r w:rsidR="00BA77DA">
        <w:rPr>
          <w:lang w:val="en-GB"/>
        </w:rPr>
        <w:t>n</w:t>
      </w:r>
      <w:r w:rsidRPr="75DC3DBB">
        <w:rPr>
          <w:lang w:val="en-GB"/>
        </w:rPr>
        <w:t xml:space="preserve"> </w:t>
      </w:r>
      <w:r w:rsidR="00BA77DA">
        <w:rPr>
          <w:lang w:val="en-GB"/>
        </w:rPr>
        <w:t>o</w:t>
      </w:r>
      <w:r w:rsidR="00BA77DA" w:rsidRPr="00BA77DA">
        <w:rPr>
          <w:lang w:val="en-GB"/>
        </w:rPr>
        <w:t>rganoleptic property</w:t>
      </w:r>
      <w:r w:rsidRPr="75DC3DBB">
        <w:rPr>
          <w:lang w:val="en-GB"/>
        </w:rPr>
        <w:t xml:space="preserve"> of a mixture of substances capable of stimulating the olfaction sense sufficiently to trigger a sensation of odour. </w:t>
      </w:r>
      <w:r w:rsidR="07DDE7F5" w:rsidRPr="75DC3DBB">
        <w:rPr>
          <w:lang w:val="en-GB"/>
        </w:rPr>
        <w:t>Odours are nowadays, among atmospheric pollutants, the major cause of population’s complaints to local authorities</w:t>
      </w:r>
      <w:r w:rsidR="004D7AAF">
        <w:rPr>
          <w:lang w:val="en-GB"/>
        </w:rPr>
        <w:t xml:space="preserve"> (</w:t>
      </w:r>
      <w:r w:rsidR="004D7AAF" w:rsidRPr="00170775">
        <w:t>Henshaw</w:t>
      </w:r>
      <w:r w:rsidR="004D7AAF">
        <w:t xml:space="preserve"> et al., 2006)</w:t>
      </w:r>
      <w:r w:rsidR="07DDE7F5" w:rsidRPr="75DC3DBB">
        <w:rPr>
          <w:lang w:val="en-GB"/>
        </w:rPr>
        <w:t>.</w:t>
      </w:r>
      <w:r w:rsidR="63F73E56" w:rsidRPr="75DC3DBB">
        <w:rPr>
          <w:lang w:val="en-GB"/>
        </w:rPr>
        <w:t xml:space="preserve"> </w:t>
      </w:r>
    </w:p>
    <w:p w14:paraId="0245E6BC" w14:textId="527F1CBB" w:rsidR="00600535" w:rsidRDefault="5C09AA1E" w:rsidP="75DC3DBB">
      <w:pPr>
        <w:pStyle w:val="CETBodytext"/>
        <w:rPr>
          <w:lang w:val="en-GB"/>
        </w:rPr>
      </w:pPr>
      <w:r w:rsidRPr="686DD68B">
        <w:rPr>
          <w:lang w:val="en-GB"/>
        </w:rPr>
        <w:t>Several conventional pollutants are generally not perceived by population, even if they might be harmful for human health, especially if normal exposure limit concentrations are exceeded</w:t>
      </w:r>
      <w:r w:rsidR="574DDE41" w:rsidRPr="686DD68B">
        <w:rPr>
          <w:lang w:val="en-GB"/>
        </w:rPr>
        <w:t xml:space="preserve"> (</w:t>
      </w:r>
      <w:r w:rsidR="574DDE41">
        <w:t>Greenberg et al., 2013)</w:t>
      </w:r>
      <w:r w:rsidRPr="686DD68B">
        <w:rPr>
          <w:lang w:val="en-GB"/>
        </w:rPr>
        <w:t>. On the contrary, some odours are perceived far below normal exposure limit concentrations, due to the presence of odorous compounds having extremely low odour detection threshold concentration.</w:t>
      </w:r>
    </w:p>
    <w:p w14:paraId="23F86FEF" w14:textId="6C48E5E8" w:rsidR="00600535" w:rsidRDefault="148F2D6A" w:rsidP="00600535">
      <w:pPr>
        <w:pStyle w:val="CETBodytext"/>
        <w:rPr>
          <w:lang w:val="en-GB"/>
        </w:rPr>
      </w:pPr>
      <w:r w:rsidRPr="75DC3DBB">
        <w:rPr>
          <w:lang w:val="en-GB"/>
        </w:rPr>
        <w:t>O</w:t>
      </w:r>
      <w:r w:rsidR="1A86E253" w:rsidRPr="75DC3DBB">
        <w:rPr>
          <w:lang w:val="en-GB"/>
        </w:rPr>
        <w:t>do</w:t>
      </w:r>
      <w:r w:rsidR="47B6BD74" w:rsidRPr="75DC3DBB">
        <w:rPr>
          <w:lang w:val="en-GB"/>
        </w:rPr>
        <w:t>u</w:t>
      </w:r>
      <w:r w:rsidR="1A86E253" w:rsidRPr="75DC3DBB">
        <w:rPr>
          <w:lang w:val="en-GB"/>
        </w:rPr>
        <w:t>r pollution</w:t>
      </w:r>
      <w:r w:rsidR="7E022975" w:rsidRPr="75DC3DBB">
        <w:rPr>
          <w:lang w:val="en-GB"/>
        </w:rPr>
        <w:t xml:space="preserve"> is an important problem </w:t>
      </w:r>
      <w:r w:rsidR="1A86E253" w:rsidRPr="75DC3DBB">
        <w:rPr>
          <w:lang w:val="en-GB"/>
        </w:rPr>
        <w:t>affect</w:t>
      </w:r>
      <w:r w:rsidR="3216B7AA" w:rsidRPr="75DC3DBB">
        <w:rPr>
          <w:lang w:val="en-GB"/>
        </w:rPr>
        <w:t>ing</w:t>
      </w:r>
      <w:r w:rsidR="1A86E253" w:rsidRPr="75DC3DBB">
        <w:rPr>
          <w:lang w:val="en-GB"/>
        </w:rPr>
        <w:t xml:space="preserve"> communities</w:t>
      </w:r>
      <w:r w:rsidR="4C0A02A0" w:rsidRPr="75DC3DBB">
        <w:rPr>
          <w:lang w:val="en-GB"/>
        </w:rPr>
        <w:t xml:space="preserve">, while addressing such an issue </w:t>
      </w:r>
      <w:r w:rsidR="06CCB2C8" w:rsidRPr="75DC3DBB">
        <w:rPr>
          <w:lang w:val="en-GB"/>
        </w:rPr>
        <w:t xml:space="preserve">requires </w:t>
      </w:r>
      <w:r w:rsidR="1A86E253" w:rsidRPr="75DC3DBB">
        <w:rPr>
          <w:lang w:val="en-GB"/>
        </w:rPr>
        <w:t>interdisciplinary studies</w:t>
      </w:r>
      <w:r w:rsidR="52AC0C01" w:rsidRPr="75DC3DBB">
        <w:rPr>
          <w:lang w:val="en-GB"/>
        </w:rPr>
        <w:t xml:space="preserve"> and an active engagement and</w:t>
      </w:r>
      <w:r w:rsidR="1A86E253" w:rsidRPr="75DC3DBB">
        <w:rPr>
          <w:lang w:val="en-GB"/>
        </w:rPr>
        <w:t xml:space="preserve"> collaboration </w:t>
      </w:r>
      <w:r w:rsidR="2014AE79" w:rsidRPr="75DC3DBB">
        <w:rPr>
          <w:lang w:val="en-GB"/>
        </w:rPr>
        <w:t xml:space="preserve">among a wide range of stakeholders. </w:t>
      </w:r>
      <w:r w:rsidR="75D45C08" w:rsidRPr="75DC3DBB">
        <w:rPr>
          <w:lang w:val="en-GB"/>
        </w:rPr>
        <w:t>The need</w:t>
      </w:r>
      <w:r w:rsidR="2014AE79" w:rsidRPr="75DC3DBB">
        <w:rPr>
          <w:lang w:val="en-GB"/>
        </w:rPr>
        <w:t xml:space="preserve"> a</w:t>
      </w:r>
      <w:r w:rsidR="40C23BE0" w:rsidRPr="75DC3DBB">
        <w:rPr>
          <w:lang w:val="en-GB"/>
        </w:rPr>
        <w:t xml:space="preserve">lso </w:t>
      </w:r>
      <w:r w:rsidR="4C183BBA" w:rsidRPr="75DC3DBB">
        <w:rPr>
          <w:lang w:val="en-GB"/>
        </w:rPr>
        <w:t xml:space="preserve">for </w:t>
      </w:r>
      <w:r w:rsidR="1A86E253" w:rsidRPr="75DC3DBB">
        <w:rPr>
          <w:lang w:val="en-GB"/>
        </w:rPr>
        <w:t xml:space="preserve">the implementation of innovative methodologies </w:t>
      </w:r>
      <w:r w:rsidR="145D6BD3" w:rsidRPr="75DC3DBB">
        <w:rPr>
          <w:lang w:val="en-GB"/>
        </w:rPr>
        <w:t xml:space="preserve">is considered </w:t>
      </w:r>
      <w:r w:rsidR="1A86E253" w:rsidRPr="75DC3DBB">
        <w:rPr>
          <w:lang w:val="en-GB"/>
        </w:rPr>
        <w:t>imperative to comprehensively address and mitigate the impact of odo</w:t>
      </w:r>
      <w:r w:rsidR="4748DA47" w:rsidRPr="75DC3DBB">
        <w:rPr>
          <w:lang w:val="en-GB"/>
        </w:rPr>
        <w:t>u</w:t>
      </w:r>
      <w:r w:rsidR="1A86E253" w:rsidRPr="75DC3DBB">
        <w:rPr>
          <w:lang w:val="en-GB"/>
        </w:rPr>
        <w:t>r-related challenges (Arias et al.</w:t>
      </w:r>
      <w:r w:rsidR="6BBB6822" w:rsidRPr="75DC3DBB">
        <w:rPr>
          <w:lang w:val="en-GB"/>
        </w:rPr>
        <w:t>,</w:t>
      </w:r>
      <w:r w:rsidR="1A86E253" w:rsidRPr="75DC3DBB">
        <w:rPr>
          <w:lang w:val="en-GB"/>
        </w:rPr>
        <w:t xml:space="preserve"> 2021; Hayes et al.</w:t>
      </w:r>
      <w:r w:rsidR="219667D5" w:rsidRPr="75DC3DBB">
        <w:rPr>
          <w:lang w:val="en-GB"/>
        </w:rPr>
        <w:t>,</w:t>
      </w:r>
      <w:r w:rsidR="7752C778" w:rsidRPr="75DC3DBB">
        <w:rPr>
          <w:lang w:val="en-GB"/>
        </w:rPr>
        <w:t xml:space="preserve"> </w:t>
      </w:r>
      <w:r w:rsidR="1A86E253" w:rsidRPr="75DC3DBB">
        <w:rPr>
          <w:lang w:val="en-GB"/>
        </w:rPr>
        <w:t>2019).</w:t>
      </w:r>
    </w:p>
    <w:p w14:paraId="55AF1CBF" w14:textId="5F129D16" w:rsidR="24A75B92" w:rsidRDefault="70F36E7C" w:rsidP="75DC3DBB">
      <w:pPr>
        <w:pStyle w:val="CETBodytext"/>
        <w:rPr>
          <w:lang w:val="en-GB"/>
        </w:rPr>
      </w:pPr>
      <w:r w:rsidRPr="686DD68B">
        <w:rPr>
          <w:lang w:val="en-GB"/>
        </w:rPr>
        <w:t>Indeed, o</w:t>
      </w:r>
      <w:r w:rsidR="71487CE9" w:rsidRPr="686DD68B">
        <w:rPr>
          <w:lang w:val="en-GB"/>
        </w:rPr>
        <w:t>dour pollution in urban areas is posing challenges to environmental quality and public health</w:t>
      </w:r>
      <w:r w:rsidR="694EE752" w:rsidRPr="686DD68B">
        <w:rPr>
          <w:lang w:val="en-GB"/>
        </w:rPr>
        <w:t xml:space="preserve"> and</w:t>
      </w:r>
      <w:r w:rsidR="71487CE9" w:rsidRPr="686DD68B">
        <w:rPr>
          <w:lang w:val="en-GB"/>
        </w:rPr>
        <w:t xml:space="preserve"> arises from a variety of sources, including industrial activities, waste treatment facilities, sewage plants, and even agricultural practices near urban peripheries</w:t>
      </w:r>
      <w:r w:rsidR="5D71D6B2" w:rsidRPr="686DD68B">
        <w:rPr>
          <w:lang w:val="en-GB"/>
        </w:rPr>
        <w:t xml:space="preserve"> (</w:t>
      </w:r>
      <w:r w:rsidR="5D71D6B2">
        <w:t>Badach et al., 2018)</w:t>
      </w:r>
      <w:r w:rsidR="71487CE9" w:rsidRPr="686DD68B">
        <w:rPr>
          <w:lang w:val="en-GB"/>
        </w:rPr>
        <w:t xml:space="preserve">. </w:t>
      </w:r>
      <w:r w:rsidR="33592D5D" w:rsidRPr="686DD68B">
        <w:rPr>
          <w:lang w:val="en-GB"/>
        </w:rPr>
        <w:t>Potential and primary odour poll</w:t>
      </w:r>
      <w:r w:rsidR="6D47E2D2" w:rsidRPr="686DD68B">
        <w:rPr>
          <w:lang w:val="en-GB"/>
        </w:rPr>
        <w:t xml:space="preserve">utants are </w:t>
      </w:r>
      <w:r w:rsidR="1EAAA331" w:rsidRPr="686DD68B">
        <w:rPr>
          <w:lang w:val="en-GB"/>
        </w:rPr>
        <w:t>all those industries that generate</w:t>
      </w:r>
      <w:r w:rsidR="1AE4908D" w:rsidRPr="686DD68B">
        <w:rPr>
          <w:lang w:val="en-GB"/>
        </w:rPr>
        <w:t xml:space="preserve"> </w:t>
      </w:r>
      <w:r w:rsidR="1EAAA331" w:rsidRPr="686DD68B">
        <w:rPr>
          <w:lang w:val="en-GB"/>
        </w:rPr>
        <w:t xml:space="preserve">odour in their daily </w:t>
      </w:r>
      <w:r w:rsidR="7002EF1F" w:rsidRPr="686DD68B">
        <w:rPr>
          <w:lang w:val="en-GB"/>
        </w:rPr>
        <w:t>activities,</w:t>
      </w:r>
      <w:r w:rsidR="1EAAA331" w:rsidRPr="686DD68B">
        <w:rPr>
          <w:lang w:val="en-GB"/>
        </w:rPr>
        <w:t xml:space="preserve"> and which may be a potential source of nuisance in either</w:t>
      </w:r>
      <w:r w:rsidR="2553C9BD" w:rsidRPr="686DD68B">
        <w:rPr>
          <w:lang w:val="en-GB"/>
        </w:rPr>
        <w:t xml:space="preserve"> </w:t>
      </w:r>
      <w:r w:rsidR="1EAAA331" w:rsidRPr="686DD68B">
        <w:rPr>
          <w:lang w:val="en-GB"/>
        </w:rPr>
        <w:t>a residential or industrial environment (waste-water treatment plants, waste</w:t>
      </w:r>
      <w:r w:rsidR="18AC6595" w:rsidRPr="686DD68B">
        <w:rPr>
          <w:lang w:val="en-GB"/>
        </w:rPr>
        <w:t xml:space="preserve"> </w:t>
      </w:r>
      <w:r w:rsidR="1EAAA331" w:rsidRPr="686DD68B">
        <w:rPr>
          <w:lang w:val="en-GB"/>
        </w:rPr>
        <w:t xml:space="preserve">management centres, pet </w:t>
      </w:r>
      <w:r w:rsidR="1EAAA331" w:rsidRPr="686DD68B">
        <w:rPr>
          <w:lang w:val="en-GB"/>
        </w:rPr>
        <w:lastRenderedPageBreak/>
        <w:t xml:space="preserve">food production, slaughterhouses, etc.). </w:t>
      </w:r>
      <w:r w:rsidR="71487CE9" w:rsidRPr="686DD68B">
        <w:rPr>
          <w:lang w:val="en-GB"/>
        </w:rPr>
        <w:t xml:space="preserve">Factories and processing plants often emit </w:t>
      </w:r>
      <w:r w:rsidR="00A2599D">
        <w:rPr>
          <w:lang w:val="en-GB"/>
        </w:rPr>
        <w:t>V</w:t>
      </w:r>
      <w:r w:rsidR="71487CE9" w:rsidRPr="686DD68B">
        <w:rPr>
          <w:lang w:val="en-GB"/>
        </w:rPr>
        <w:t xml:space="preserve">olatile </w:t>
      </w:r>
      <w:r w:rsidR="00A2599D">
        <w:rPr>
          <w:lang w:val="en-GB"/>
        </w:rPr>
        <w:t>O</w:t>
      </w:r>
      <w:r w:rsidR="71487CE9" w:rsidRPr="686DD68B">
        <w:rPr>
          <w:lang w:val="en-GB"/>
        </w:rPr>
        <w:t xml:space="preserve">rganic </w:t>
      </w:r>
      <w:r w:rsidR="00A2599D">
        <w:rPr>
          <w:lang w:val="en-GB"/>
        </w:rPr>
        <w:t>C</w:t>
      </w:r>
      <w:r w:rsidR="71487CE9" w:rsidRPr="686DD68B">
        <w:rPr>
          <w:lang w:val="en-GB"/>
        </w:rPr>
        <w:t>ompounds (VOCs) and other odorous chemicals as byproducts of their operations. These emissions, if not adequately controlled, can spread over large areas, subjecting communities to constant or intermittent foul smells</w:t>
      </w:r>
      <w:r w:rsidR="3D7F437E" w:rsidRPr="686DD68B">
        <w:rPr>
          <w:lang w:val="en-GB"/>
        </w:rPr>
        <w:t xml:space="preserve"> (</w:t>
      </w:r>
      <w:r w:rsidR="3D7F437E">
        <w:t>Bokowa et al., 2021)</w:t>
      </w:r>
      <w:r w:rsidR="71487CE9" w:rsidRPr="686DD68B">
        <w:rPr>
          <w:lang w:val="en-GB"/>
        </w:rPr>
        <w:t xml:space="preserve">. Similarly, waste treatment and sewage facilities, essential for urban sanitation, can release unpleasant odours if not properly managed. </w:t>
      </w:r>
    </w:p>
    <w:p w14:paraId="7D4EE488" w14:textId="4D57A835" w:rsidR="24A75B92" w:rsidRDefault="71487CE9" w:rsidP="75DC3DBB">
      <w:pPr>
        <w:pStyle w:val="CETBodytext"/>
        <w:rPr>
          <w:lang w:val="en-GB"/>
        </w:rPr>
      </w:pPr>
      <w:r w:rsidRPr="686DD68B">
        <w:rPr>
          <w:lang w:val="en-GB"/>
        </w:rPr>
        <w:t>Addressing odour pollution requires a multi</w:t>
      </w:r>
      <w:r w:rsidR="51CC8990" w:rsidRPr="686DD68B">
        <w:rPr>
          <w:lang w:val="en-GB"/>
        </w:rPr>
        <w:t>crite</w:t>
      </w:r>
      <w:r w:rsidR="7BBB54DA" w:rsidRPr="686DD68B">
        <w:rPr>
          <w:lang w:val="en-GB"/>
        </w:rPr>
        <w:t xml:space="preserve">ria and </w:t>
      </w:r>
      <w:r w:rsidRPr="686DD68B">
        <w:rPr>
          <w:lang w:val="en-GB"/>
        </w:rPr>
        <w:t>faceted approach</w:t>
      </w:r>
      <w:r w:rsidR="0FAE2A48" w:rsidRPr="686DD68B">
        <w:rPr>
          <w:lang w:val="en-GB"/>
        </w:rPr>
        <w:t xml:space="preserve"> (Vlachos et al., 2021)</w:t>
      </w:r>
      <w:r w:rsidR="6469726B" w:rsidRPr="686DD68B">
        <w:rPr>
          <w:lang w:val="en-GB"/>
        </w:rPr>
        <w:t>. The approach should</w:t>
      </w:r>
      <w:r w:rsidRPr="686DD68B">
        <w:rPr>
          <w:lang w:val="en-GB"/>
        </w:rPr>
        <w:t xml:space="preserve"> involv</w:t>
      </w:r>
      <w:r w:rsidR="0590BFD8" w:rsidRPr="686DD68B">
        <w:rPr>
          <w:lang w:val="en-GB"/>
        </w:rPr>
        <w:t>e</w:t>
      </w:r>
      <w:r w:rsidRPr="686DD68B">
        <w:rPr>
          <w:lang w:val="en-GB"/>
        </w:rPr>
        <w:t xml:space="preserve"> stricter regulations, improved technology for emissions control, and better urban planning to segregate residential areas from potential sources of odours. </w:t>
      </w:r>
      <w:r w:rsidR="4B8586C6" w:rsidRPr="686DD68B">
        <w:rPr>
          <w:lang w:val="en-GB"/>
        </w:rPr>
        <w:t>In the above context, this issue is particularly complex and subjective, while stakeholders can be affected in different ways by the problem and can have conflicting interests and goals. Thus, the way to orchestrate the engagement of different stakeholders, such as citizens, civil society organization (CSO’s) and non-governmental organization (NGO’s), industries, local &amp; regional authorities, and odour experts, it is crucial</w:t>
      </w:r>
      <w:r w:rsidR="1537A384" w:rsidRPr="686DD68B">
        <w:rPr>
          <w:lang w:val="en-GB"/>
        </w:rPr>
        <w:t xml:space="preserve"> (</w:t>
      </w:r>
      <w:r w:rsidR="1537A384">
        <w:t>Taelman et al., 2018)</w:t>
      </w:r>
      <w:r w:rsidR="4B8586C6" w:rsidRPr="686DD68B">
        <w:rPr>
          <w:lang w:val="en-GB"/>
        </w:rPr>
        <w:t>.</w:t>
      </w:r>
    </w:p>
    <w:p w14:paraId="1E672FDA" w14:textId="2CDEC7D2" w:rsidR="42343777" w:rsidRDefault="502DD3B6" w:rsidP="686DD68B">
      <w:pPr>
        <w:pStyle w:val="CETBodytext"/>
        <w:rPr>
          <w:rFonts w:asciiTheme="minorHAnsi" w:eastAsiaTheme="minorEastAsia" w:hAnsiTheme="minorHAnsi" w:cstheme="minorBidi"/>
          <w:lang w:val="en-GB"/>
        </w:rPr>
      </w:pPr>
      <w:r w:rsidRPr="686DD68B">
        <w:rPr>
          <w:lang w:val="en-GB"/>
        </w:rPr>
        <w:t>T</w:t>
      </w:r>
      <w:r w:rsidR="2AE943E6" w:rsidRPr="686DD68B">
        <w:rPr>
          <w:lang w:val="en-GB"/>
        </w:rPr>
        <w:t xml:space="preserve">his </w:t>
      </w:r>
      <w:r w:rsidR="5B4A351B" w:rsidRPr="686DD68B">
        <w:rPr>
          <w:lang w:val="en-GB"/>
        </w:rPr>
        <w:t>study proposes a citizen science-driven approach to comprehensively map and mitigate odour-related challenges</w:t>
      </w:r>
      <w:r w:rsidR="00F2DE35" w:rsidRPr="686DD68B">
        <w:rPr>
          <w:lang w:val="en-GB"/>
        </w:rPr>
        <w:t xml:space="preserve"> emphasising </w:t>
      </w:r>
      <w:r w:rsidR="2AE943E6" w:rsidRPr="686DD68B">
        <w:rPr>
          <w:lang w:val="en-GB"/>
        </w:rPr>
        <w:t>on</w:t>
      </w:r>
      <w:r w:rsidR="051C911B" w:rsidRPr="686DD68B">
        <w:rPr>
          <w:lang w:val="en-GB"/>
        </w:rPr>
        <w:t xml:space="preserve"> the</w:t>
      </w:r>
      <w:r w:rsidR="224AFDE2" w:rsidRPr="686DD68B">
        <w:rPr>
          <w:lang w:val="en-GB"/>
        </w:rPr>
        <w:t xml:space="preserve"> collaboration between academia, local authorities, and citizen groups.</w:t>
      </w:r>
      <w:r w:rsidR="5495E2C9" w:rsidRPr="686DD68B">
        <w:rPr>
          <w:lang w:val="en-GB"/>
        </w:rPr>
        <w:t xml:space="preserve"> The objective is to identify a common agenda amongst key stakeholders, balance expectations and interests, and encourage dialogues with public authorities and emitting industries to co-design potential mitigation options and good practices to reduce the odour impact. More particularly in Greece, the city of Thessaloniki faces odour pollution stemming from industrial, urban development and sewage activities, necessitating comprehensive solutions</w:t>
      </w:r>
      <w:r w:rsidR="616BA518" w:rsidRPr="686DD68B">
        <w:rPr>
          <w:lang w:val="en-GB"/>
        </w:rPr>
        <w:t xml:space="preserve"> (</w:t>
      </w:r>
      <w:r w:rsidR="616BA518">
        <w:t>Vlachos et al., 2021)</w:t>
      </w:r>
      <w:r w:rsidR="5495E2C9" w:rsidRPr="686DD68B">
        <w:rPr>
          <w:lang w:val="en-GB"/>
        </w:rPr>
        <w:t xml:space="preserve">. The paper aims to outline a collaborative approach aimed at defining specific steps for co-designing processes to address odour issues locally, with Thessaloniki as a pilot case. </w:t>
      </w:r>
    </w:p>
    <w:p w14:paraId="5741900F" w14:textId="48A4A016" w:rsidR="00453E24" w:rsidRDefault="64C305DC" w:rsidP="00453E24">
      <w:pPr>
        <w:pStyle w:val="CETHeading1"/>
      </w:pPr>
      <w:r>
        <w:t xml:space="preserve">Overview of the selected case study </w:t>
      </w:r>
    </w:p>
    <w:p w14:paraId="57A738FA" w14:textId="31474201" w:rsidR="6F6F2E3A" w:rsidRDefault="4F301B53" w:rsidP="1B03CCBD">
      <w:pPr>
        <w:pStyle w:val="CETBodytext"/>
      </w:pPr>
      <w:r>
        <w:t xml:space="preserve">In an </w:t>
      </w:r>
      <w:r w:rsidR="00AD0503" w:rsidRPr="00AD0503">
        <w:t>attempt</w:t>
      </w:r>
      <w:r>
        <w:t xml:space="preserve"> to properly select a</w:t>
      </w:r>
      <w:r w:rsidR="23ADB9A2">
        <w:t xml:space="preserve">n area </w:t>
      </w:r>
      <w:r>
        <w:t>for the pilot case study analysis</w:t>
      </w:r>
      <w:r w:rsidR="5E8C774F">
        <w:t xml:space="preserve"> in Greece</w:t>
      </w:r>
      <w:r>
        <w:t xml:space="preserve">, several regions were analyzed. The overview of the </w:t>
      </w:r>
      <w:r w:rsidR="58939736">
        <w:t xml:space="preserve">specific characteristics of the </w:t>
      </w:r>
      <w:r w:rsidR="5A9EB950">
        <w:t>under-consideration potential cases and the</w:t>
      </w:r>
      <w:r w:rsidR="57D446D4">
        <w:t xml:space="preserve"> analysis</w:t>
      </w:r>
      <w:r w:rsidR="5A9EB950">
        <w:t xml:space="preserve"> </w:t>
      </w:r>
      <w:r w:rsidR="58939736">
        <w:t xml:space="preserve">conducted in order to decide the case study region is provided in Table 1. </w:t>
      </w:r>
    </w:p>
    <w:p w14:paraId="12FFC787" w14:textId="04F0157E" w:rsidR="75DC3DBB" w:rsidRDefault="63B5FF22" w:rsidP="7100035D">
      <w:pPr>
        <w:pStyle w:val="CETTabletitle"/>
      </w:pPr>
      <w:r>
        <w:t xml:space="preserve">Table 1: </w:t>
      </w:r>
      <w:r w:rsidR="26C2E4B5">
        <w:t>Potential cases for pilot application</w:t>
      </w:r>
      <w:r w:rsidR="00A2599D">
        <w:t>.</w:t>
      </w:r>
    </w:p>
    <w:tbl>
      <w:tblPr>
        <w:tblW w:w="8760" w:type="dxa"/>
        <w:tblBorders>
          <w:top w:val="single" w:sz="12" w:space="0" w:color="008000"/>
          <w:bottom w:val="single" w:sz="12" w:space="0" w:color="008000"/>
        </w:tblBorders>
        <w:tblLook w:val="00A0" w:firstRow="1" w:lastRow="0" w:firstColumn="1" w:lastColumn="0" w:noHBand="0" w:noVBand="0"/>
      </w:tblPr>
      <w:tblGrid>
        <w:gridCol w:w="1419"/>
        <w:gridCol w:w="1047"/>
        <w:gridCol w:w="1787"/>
        <w:gridCol w:w="1984"/>
        <w:gridCol w:w="2523"/>
      </w:tblGrid>
      <w:tr w:rsidR="7100035D" w14:paraId="3BB56C74" w14:textId="77777777" w:rsidTr="006D5903">
        <w:trPr>
          <w:trHeight w:val="300"/>
        </w:trPr>
        <w:tc>
          <w:tcPr>
            <w:tcW w:w="1419" w:type="dxa"/>
            <w:tcBorders>
              <w:top w:val="single" w:sz="12" w:space="0" w:color="008000"/>
              <w:bottom w:val="single" w:sz="6" w:space="0" w:color="008000"/>
            </w:tcBorders>
            <w:shd w:val="clear" w:color="auto" w:fill="FFFFFF" w:themeFill="background1"/>
          </w:tcPr>
          <w:p w14:paraId="08D7C9F2" w14:textId="613FB03D" w:rsidR="7100035D" w:rsidRDefault="551CD404" w:rsidP="1B03CCBD">
            <w:pPr>
              <w:pStyle w:val="CETBodytext"/>
            </w:pPr>
            <w:r w:rsidRPr="1B03CCBD">
              <w:rPr>
                <w:lang w:val="en-GB"/>
              </w:rPr>
              <w:t xml:space="preserve">Case </w:t>
            </w:r>
            <w:r w:rsidR="7171C284" w:rsidRPr="1B03CCBD">
              <w:rPr>
                <w:lang w:val="en-GB"/>
              </w:rPr>
              <w:t>L</w:t>
            </w:r>
            <w:r w:rsidRPr="1B03CCBD">
              <w:rPr>
                <w:lang w:val="en-GB"/>
              </w:rPr>
              <w:t>ocation</w:t>
            </w:r>
          </w:p>
        </w:tc>
        <w:tc>
          <w:tcPr>
            <w:tcW w:w="1047" w:type="dxa"/>
            <w:tcBorders>
              <w:top w:val="single" w:sz="12" w:space="0" w:color="008000"/>
              <w:bottom w:val="single" w:sz="6" w:space="0" w:color="008000"/>
            </w:tcBorders>
            <w:shd w:val="clear" w:color="auto" w:fill="FFFFFF" w:themeFill="background1"/>
          </w:tcPr>
          <w:p w14:paraId="71F2DB1A" w14:textId="6F021556" w:rsidR="7100035D" w:rsidRDefault="551CD404" w:rsidP="1B03CCBD">
            <w:pPr>
              <w:pStyle w:val="CETBodytext"/>
            </w:pPr>
            <w:r w:rsidRPr="1B03CCBD">
              <w:t>Affected population (est</w:t>
            </w:r>
            <w:r w:rsidR="5E7F306A" w:rsidRPr="1B03CCBD">
              <w:t>.</w:t>
            </w:r>
            <w:r w:rsidRPr="1B03CCBD">
              <w:t>)</w:t>
            </w:r>
          </w:p>
        </w:tc>
        <w:tc>
          <w:tcPr>
            <w:tcW w:w="1787" w:type="dxa"/>
            <w:tcBorders>
              <w:top w:val="single" w:sz="12" w:space="0" w:color="008000"/>
              <w:bottom w:val="single" w:sz="6" w:space="0" w:color="008000"/>
            </w:tcBorders>
            <w:shd w:val="clear" w:color="auto" w:fill="FFFFFF" w:themeFill="background1"/>
          </w:tcPr>
          <w:p w14:paraId="636B7623" w14:textId="6CB19310" w:rsidR="7100035D" w:rsidRDefault="551CD404" w:rsidP="1B03CCBD">
            <w:pPr>
              <w:pStyle w:val="CETBodytext"/>
            </w:pPr>
            <w:r w:rsidRPr="1B03CCBD">
              <w:t>Odour source</w:t>
            </w:r>
            <w:r w:rsidR="00344FAF">
              <w:t>s</w:t>
            </w:r>
          </w:p>
        </w:tc>
        <w:tc>
          <w:tcPr>
            <w:tcW w:w="1984" w:type="dxa"/>
            <w:tcBorders>
              <w:top w:val="single" w:sz="12" w:space="0" w:color="008000"/>
              <w:bottom w:val="single" w:sz="6" w:space="0" w:color="008000"/>
            </w:tcBorders>
            <w:shd w:val="clear" w:color="auto" w:fill="FFFFFF" w:themeFill="background1"/>
          </w:tcPr>
          <w:p w14:paraId="68449407" w14:textId="03A7868A" w:rsidR="7100035D" w:rsidRDefault="551CD404" w:rsidP="1B03CCBD">
            <w:pPr>
              <w:pStyle w:val="CETBodytext"/>
            </w:pPr>
            <w:r>
              <w:t>Pros</w:t>
            </w:r>
          </w:p>
        </w:tc>
        <w:tc>
          <w:tcPr>
            <w:tcW w:w="2523" w:type="dxa"/>
            <w:tcBorders>
              <w:top w:val="single" w:sz="12" w:space="0" w:color="008000"/>
              <w:bottom w:val="single" w:sz="6" w:space="0" w:color="008000"/>
            </w:tcBorders>
            <w:shd w:val="clear" w:color="auto" w:fill="FFFFFF" w:themeFill="background1"/>
          </w:tcPr>
          <w:p w14:paraId="582DC4D1" w14:textId="63B2A61E" w:rsidR="7100035D" w:rsidRDefault="551CD404" w:rsidP="1B03CCBD">
            <w:pPr>
              <w:pStyle w:val="CETBodytext"/>
            </w:pPr>
            <w:r>
              <w:t>Cons</w:t>
            </w:r>
          </w:p>
        </w:tc>
      </w:tr>
      <w:tr w:rsidR="7100035D" w14:paraId="5237F2B0" w14:textId="77777777" w:rsidTr="006D5903">
        <w:trPr>
          <w:trHeight w:val="300"/>
        </w:trPr>
        <w:tc>
          <w:tcPr>
            <w:tcW w:w="1419" w:type="dxa"/>
            <w:shd w:val="clear" w:color="auto" w:fill="FFFFFF" w:themeFill="background1"/>
          </w:tcPr>
          <w:p w14:paraId="7B110647" w14:textId="23190363" w:rsidR="7100035D" w:rsidRPr="003F0C18" w:rsidRDefault="551CD404" w:rsidP="1B03CCBD">
            <w:pPr>
              <w:pStyle w:val="CETBodytext"/>
            </w:pPr>
            <w:r w:rsidRPr="003F0C18">
              <w:t>Thessaloniki</w:t>
            </w:r>
          </w:p>
        </w:tc>
        <w:tc>
          <w:tcPr>
            <w:tcW w:w="1047" w:type="dxa"/>
            <w:shd w:val="clear" w:color="auto" w:fill="FFFFFF" w:themeFill="background1"/>
          </w:tcPr>
          <w:p w14:paraId="39528C47" w14:textId="50FA2722" w:rsidR="62D4DA23" w:rsidRDefault="199581D9" w:rsidP="1B03CCBD">
            <w:pPr>
              <w:pStyle w:val="CETBodytext"/>
            </w:pPr>
            <w:r w:rsidRPr="1B03CCBD">
              <w:rPr>
                <w:lang w:val="en-GB"/>
              </w:rPr>
              <w:t>ca. 100,000</w:t>
            </w:r>
          </w:p>
        </w:tc>
        <w:tc>
          <w:tcPr>
            <w:tcW w:w="1787" w:type="dxa"/>
            <w:shd w:val="clear" w:color="auto" w:fill="FFFFFF" w:themeFill="background1"/>
          </w:tcPr>
          <w:p w14:paraId="56464715" w14:textId="081F7FEB" w:rsidR="7100035D" w:rsidRPr="00156A97" w:rsidRDefault="00362C7C" w:rsidP="006D5903">
            <w:pPr>
              <w:pStyle w:val="CETBodytext"/>
            </w:pPr>
            <w:r w:rsidRPr="00156A97">
              <w:t>I</w:t>
            </w:r>
            <w:r w:rsidR="003B0866" w:rsidRPr="00156A97">
              <w:t>ndustrial activities (</w:t>
            </w:r>
            <w:r w:rsidR="006156E6" w:rsidRPr="00156A97">
              <w:t xml:space="preserve">Refinery, </w:t>
            </w:r>
            <w:r w:rsidR="003B0866" w:rsidRPr="00156A97">
              <w:t>petrochemicals, metal processing, logistics facilities, etc.) located in proximity to urban areas.</w:t>
            </w:r>
          </w:p>
          <w:p w14:paraId="50FAAD59" w14:textId="121D16EB" w:rsidR="00BD0892" w:rsidRPr="00156A97" w:rsidRDefault="00BD0892" w:rsidP="006D5903">
            <w:pPr>
              <w:pStyle w:val="CETBodytext"/>
              <w:rPr>
                <w:lang w:val="en-GB"/>
              </w:rPr>
            </w:pPr>
            <w:r w:rsidRPr="00156A97">
              <w:rPr>
                <w:lang w:val="en-GB"/>
              </w:rPr>
              <w:t xml:space="preserve">Dendropotamos river </w:t>
            </w:r>
            <w:r w:rsidR="00A8625F" w:rsidRPr="00156A97">
              <w:rPr>
                <w:lang w:val="en-GB"/>
              </w:rPr>
              <w:t xml:space="preserve">that </w:t>
            </w:r>
            <w:r w:rsidR="00EE0F63" w:rsidRPr="00156A97">
              <w:rPr>
                <w:lang w:val="en-GB"/>
              </w:rPr>
              <w:t>receives untreated effluent of wastewater</w:t>
            </w:r>
            <w:r w:rsidR="00E9227C" w:rsidRPr="00156A97">
              <w:rPr>
                <w:lang w:val="en-GB"/>
              </w:rPr>
              <w:t>.</w:t>
            </w:r>
          </w:p>
          <w:p w14:paraId="680C34A8" w14:textId="4A0927B9" w:rsidR="00F94913" w:rsidRPr="00156A97" w:rsidRDefault="00302226" w:rsidP="006D5903">
            <w:pPr>
              <w:pStyle w:val="CETBodytext"/>
              <w:rPr>
                <w:lang w:val="en-GB"/>
              </w:rPr>
            </w:pPr>
            <w:r w:rsidRPr="00156A97">
              <w:rPr>
                <w:lang w:val="en-GB"/>
              </w:rPr>
              <w:t>U</w:t>
            </w:r>
            <w:r w:rsidR="00F94913" w:rsidRPr="00156A97">
              <w:rPr>
                <w:lang w:val="en-GB"/>
              </w:rPr>
              <w:t>rban activities such as illegal burning of improper material.</w:t>
            </w:r>
          </w:p>
        </w:tc>
        <w:tc>
          <w:tcPr>
            <w:tcW w:w="1984" w:type="dxa"/>
            <w:shd w:val="clear" w:color="auto" w:fill="FFFFFF" w:themeFill="background1"/>
          </w:tcPr>
          <w:p w14:paraId="06E0BB25" w14:textId="7B36D891" w:rsidR="7C6BF518" w:rsidRDefault="764B8E3E" w:rsidP="1B03CCBD">
            <w:pPr>
              <w:pStyle w:val="CETBodytext"/>
              <w:numPr>
                <w:ilvl w:val="0"/>
                <w:numId w:val="3"/>
              </w:numPr>
              <w:ind w:left="180" w:hanging="180"/>
            </w:pPr>
            <w:r w:rsidRPr="1B03CCBD">
              <w:t xml:space="preserve">There is good communication with local authorities and more specifically with the Regional Authority of Central Macedonia. </w:t>
            </w:r>
          </w:p>
          <w:p w14:paraId="5E8D33B7" w14:textId="0E4DFEC8" w:rsidR="7C6BF518" w:rsidRDefault="764B8E3E" w:rsidP="1B03CCBD">
            <w:pPr>
              <w:pStyle w:val="CETBodytext"/>
              <w:numPr>
                <w:ilvl w:val="0"/>
                <w:numId w:val="3"/>
              </w:numPr>
              <w:ind w:left="180" w:hanging="180"/>
            </w:pPr>
            <w:r w:rsidRPr="1B03CCBD">
              <w:t xml:space="preserve">Data on air quality </w:t>
            </w:r>
            <w:r w:rsidR="00EB2BE1">
              <w:t>is</w:t>
            </w:r>
            <w:r w:rsidR="00A2599D" w:rsidRPr="1B03CCBD">
              <w:t xml:space="preserve"> </w:t>
            </w:r>
            <w:r w:rsidRPr="1B03CCBD">
              <w:t>available from the industry. Citizen engagement is more organized through social network initiatives.</w:t>
            </w:r>
          </w:p>
          <w:p w14:paraId="26AE1F1C" w14:textId="7C51C509" w:rsidR="7100035D" w:rsidRDefault="764B8E3E" w:rsidP="006D5903">
            <w:pPr>
              <w:pStyle w:val="CETBodytext"/>
              <w:numPr>
                <w:ilvl w:val="0"/>
                <w:numId w:val="3"/>
              </w:numPr>
              <w:ind w:left="180" w:hanging="180"/>
              <w:rPr>
                <w:rFonts w:cs="Arial"/>
                <w:lang w:val="en-GB"/>
              </w:rPr>
            </w:pPr>
            <w:r w:rsidRPr="1B03CCBD">
              <w:t>Similar cases are frequent in many industrial areas around the country.</w:t>
            </w:r>
          </w:p>
        </w:tc>
        <w:tc>
          <w:tcPr>
            <w:tcW w:w="2523" w:type="dxa"/>
            <w:shd w:val="clear" w:color="auto" w:fill="FFFFFF" w:themeFill="background1"/>
          </w:tcPr>
          <w:p w14:paraId="0A2A672B" w14:textId="31E98556" w:rsidR="7100035D" w:rsidRDefault="764B8E3E" w:rsidP="006D5903">
            <w:pPr>
              <w:pStyle w:val="CETBodytext"/>
              <w:rPr>
                <w:rFonts w:cs="Arial"/>
                <w:lang w:val="en-GB"/>
              </w:rPr>
            </w:pPr>
            <w:r w:rsidRPr="1B03CCBD">
              <w:t>No field studies on odour.</w:t>
            </w:r>
          </w:p>
        </w:tc>
      </w:tr>
      <w:tr w:rsidR="7100035D" w14:paraId="3933BA0E" w14:textId="77777777" w:rsidTr="006D5903">
        <w:trPr>
          <w:trHeight w:val="975"/>
        </w:trPr>
        <w:tc>
          <w:tcPr>
            <w:tcW w:w="1419" w:type="dxa"/>
            <w:shd w:val="clear" w:color="auto" w:fill="FFFFFF" w:themeFill="background1"/>
          </w:tcPr>
          <w:p w14:paraId="4CAF8B93" w14:textId="15FAD1F9" w:rsidR="7100035D" w:rsidRPr="003F0C18" w:rsidRDefault="551CD404" w:rsidP="006D5903">
            <w:pPr>
              <w:pStyle w:val="CETBodytext"/>
              <w:rPr>
                <w:lang w:val="en-GB"/>
              </w:rPr>
            </w:pPr>
            <w:r w:rsidRPr="003F0C18">
              <w:rPr>
                <w:lang w:val="en-GB"/>
              </w:rPr>
              <w:t>Kavala</w:t>
            </w:r>
          </w:p>
        </w:tc>
        <w:tc>
          <w:tcPr>
            <w:tcW w:w="1047" w:type="dxa"/>
            <w:shd w:val="clear" w:color="auto" w:fill="FFFFFF" w:themeFill="background1"/>
          </w:tcPr>
          <w:p w14:paraId="785F50A4" w14:textId="637CA2FA" w:rsidR="7100035D" w:rsidRDefault="001C586B" w:rsidP="1B03CCBD">
            <w:pPr>
              <w:pStyle w:val="CETBodytext"/>
              <w:rPr>
                <w:lang w:val="en-GB"/>
              </w:rPr>
            </w:pPr>
            <w:r w:rsidRPr="1B03CCBD">
              <w:rPr>
                <w:lang w:val="en-GB"/>
              </w:rPr>
              <w:t xml:space="preserve">ca. </w:t>
            </w:r>
            <w:r>
              <w:rPr>
                <w:lang w:val="en-GB"/>
              </w:rPr>
              <w:t>5</w:t>
            </w:r>
            <w:r w:rsidRPr="1B03CCBD">
              <w:rPr>
                <w:lang w:val="en-GB"/>
              </w:rPr>
              <w:t>0,000</w:t>
            </w:r>
          </w:p>
        </w:tc>
        <w:tc>
          <w:tcPr>
            <w:tcW w:w="1787" w:type="dxa"/>
            <w:shd w:val="clear" w:color="auto" w:fill="FFFFFF" w:themeFill="background1"/>
          </w:tcPr>
          <w:p w14:paraId="291A89A2" w14:textId="6F824190" w:rsidR="1083CA4A" w:rsidRDefault="7334235C" w:rsidP="1B03CCBD">
            <w:pPr>
              <w:pStyle w:val="CETBodytext"/>
              <w:rPr>
                <w:lang w:val="en-GB"/>
              </w:rPr>
            </w:pPr>
            <w:r w:rsidRPr="1B03CCBD">
              <w:rPr>
                <w:lang w:val="en-GB"/>
              </w:rPr>
              <w:t>Fertilizers chemical industry</w:t>
            </w:r>
          </w:p>
        </w:tc>
        <w:tc>
          <w:tcPr>
            <w:tcW w:w="1984" w:type="dxa"/>
            <w:shd w:val="clear" w:color="auto" w:fill="FFFFFF" w:themeFill="background1"/>
          </w:tcPr>
          <w:p w14:paraId="205BE846" w14:textId="358A63DB" w:rsidR="1083CA4A" w:rsidRDefault="7334235C" w:rsidP="1B03CCBD">
            <w:pPr>
              <w:pStyle w:val="CETBodytext"/>
              <w:rPr>
                <w:rFonts w:cs="Arial"/>
                <w:lang w:val="en-GB"/>
              </w:rPr>
            </w:pPr>
            <w:r w:rsidRPr="1B03CCBD">
              <w:rPr>
                <w:rFonts w:cs="Arial"/>
                <w:lang w:val="en-GB"/>
              </w:rPr>
              <w:t>Availability of results on various environmental parameters.</w:t>
            </w:r>
          </w:p>
        </w:tc>
        <w:tc>
          <w:tcPr>
            <w:tcW w:w="2523" w:type="dxa"/>
            <w:shd w:val="clear" w:color="auto" w:fill="FFFFFF" w:themeFill="background1"/>
          </w:tcPr>
          <w:p w14:paraId="5F50B667" w14:textId="646952BD" w:rsidR="1083CA4A" w:rsidRDefault="7334235C" w:rsidP="1B03CCBD">
            <w:pPr>
              <w:pStyle w:val="CETBodytext"/>
              <w:numPr>
                <w:ilvl w:val="0"/>
                <w:numId w:val="2"/>
              </w:numPr>
              <w:ind w:left="180" w:hanging="180"/>
            </w:pPr>
            <w:r w:rsidRPr="1B03CCBD">
              <w:t xml:space="preserve">No field studies on odour. </w:t>
            </w:r>
          </w:p>
          <w:p w14:paraId="723BBAC8" w14:textId="65E379DE" w:rsidR="1083CA4A" w:rsidRDefault="7334235C" w:rsidP="1B03CCBD">
            <w:pPr>
              <w:pStyle w:val="CETBodytext"/>
              <w:numPr>
                <w:ilvl w:val="0"/>
                <w:numId w:val="2"/>
              </w:numPr>
              <w:ind w:left="180" w:hanging="180"/>
              <w:rPr>
                <w:lang w:val="en-GB"/>
              </w:rPr>
            </w:pPr>
            <w:r w:rsidRPr="1B03CCBD">
              <w:rPr>
                <w:lang w:val="en-GB"/>
              </w:rPr>
              <w:t>Not organized citizen initiatives</w:t>
            </w:r>
          </w:p>
        </w:tc>
      </w:tr>
      <w:tr w:rsidR="7100035D" w14:paraId="4B75E99F" w14:textId="77777777" w:rsidTr="006D5903">
        <w:trPr>
          <w:trHeight w:val="300"/>
        </w:trPr>
        <w:tc>
          <w:tcPr>
            <w:tcW w:w="1419" w:type="dxa"/>
            <w:shd w:val="clear" w:color="auto" w:fill="FFFFFF" w:themeFill="background1"/>
          </w:tcPr>
          <w:p w14:paraId="3637F3C7" w14:textId="28D0ED1B" w:rsidR="7100035D" w:rsidRPr="003F0C18" w:rsidRDefault="551CD404" w:rsidP="1B03CCBD">
            <w:pPr>
              <w:pStyle w:val="CETBodytext"/>
              <w:rPr>
                <w:lang w:val="en-GB"/>
              </w:rPr>
            </w:pPr>
            <w:r w:rsidRPr="003F0C18">
              <w:rPr>
                <w:lang w:val="en-GB"/>
              </w:rPr>
              <w:t>Peloponnese Region</w:t>
            </w:r>
          </w:p>
        </w:tc>
        <w:tc>
          <w:tcPr>
            <w:tcW w:w="1047" w:type="dxa"/>
            <w:shd w:val="clear" w:color="auto" w:fill="FFFFFF" w:themeFill="background1"/>
          </w:tcPr>
          <w:p w14:paraId="1632EA6F" w14:textId="4B5ADC26" w:rsidR="4E29B94E" w:rsidRDefault="6A9B662A" w:rsidP="1B03CCBD">
            <w:pPr>
              <w:pStyle w:val="CETBodytext"/>
            </w:pPr>
            <w:r w:rsidRPr="1B03CCBD">
              <w:rPr>
                <w:lang w:val="en-GB"/>
              </w:rPr>
              <w:t>ca. 80,000</w:t>
            </w:r>
          </w:p>
        </w:tc>
        <w:tc>
          <w:tcPr>
            <w:tcW w:w="1787" w:type="dxa"/>
            <w:shd w:val="clear" w:color="auto" w:fill="FFFFFF" w:themeFill="background1"/>
          </w:tcPr>
          <w:p w14:paraId="5F7DBC8A" w14:textId="1C790D03" w:rsidR="4E29B94E" w:rsidRDefault="6A9B662A" w:rsidP="1B03CCBD">
            <w:pPr>
              <w:pStyle w:val="CETBodytext"/>
            </w:pPr>
            <w:r w:rsidRPr="1B03CCBD">
              <w:rPr>
                <w:lang w:val="en-GB"/>
              </w:rPr>
              <w:t>The refining process to produce pomace oil</w:t>
            </w:r>
          </w:p>
        </w:tc>
        <w:tc>
          <w:tcPr>
            <w:tcW w:w="1984" w:type="dxa"/>
            <w:shd w:val="clear" w:color="auto" w:fill="FFFFFF" w:themeFill="background1"/>
          </w:tcPr>
          <w:p w14:paraId="78A47F8A" w14:textId="20708333" w:rsidR="4E29B94E" w:rsidRDefault="6A9B662A" w:rsidP="1B03CCBD">
            <w:pPr>
              <w:pStyle w:val="CETBodytext"/>
            </w:pPr>
            <w:r w:rsidRPr="1B03CCBD">
              <w:rPr>
                <w:lang w:val="en-GB"/>
              </w:rPr>
              <w:t>Existing results on various environmental parameters (air pollution, SPM</w:t>
            </w:r>
            <w:r w:rsidR="009F2F27">
              <w:rPr>
                <w:lang w:val="en-GB"/>
              </w:rPr>
              <w:t xml:space="preserve"> - </w:t>
            </w:r>
            <w:r w:rsidR="009F2F27" w:rsidRPr="009F2F27">
              <w:rPr>
                <w:lang w:val="en-GB"/>
              </w:rPr>
              <w:lastRenderedPageBreak/>
              <w:t>Suspended Particulate Matter</w:t>
            </w:r>
            <w:r w:rsidRPr="1B03CCBD">
              <w:rPr>
                <w:lang w:val="en-GB"/>
              </w:rPr>
              <w:t>).</w:t>
            </w:r>
          </w:p>
        </w:tc>
        <w:tc>
          <w:tcPr>
            <w:tcW w:w="2523" w:type="dxa"/>
            <w:shd w:val="clear" w:color="auto" w:fill="FFFFFF" w:themeFill="background1"/>
          </w:tcPr>
          <w:p w14:paraId="7FBB4228" w14:textId="4743D29C" w:rsidR="4CA2EF7A" w:rsidRDefault="08ED62F3" w:rsidP="1B03CCBD">
            <w:pPr>
              <w:pStyle w:val="CETBodytext"/>
              <w:numPr>
                <w:ilvl w:val="0"/>
                <w:numId w:val="2"/>
              </w:numPr>
              <w:ind w:left="180" w:hanging="180"/>
            </w:pPr>
            <w:r w:rsidRPr="1B03CCBD">
              <w:lastRenderedPageBreak/>
              <w:t>No field studies on odour.</w:t>
            </w:r>
          </w:p>
          <w:p w14:paraId="5DE55878" w14:textId="24FD2A58" w:rsidR="4CA2EF7A" w:rsidRDefault="08ED62F3" w:rsidP="1B03CCBD">
            <w:pPr>
              <w:pStyle w:val="CETBodytext"/>
              <w:numPr>
                <w:ilvl w:val="0"/>
                <w:numId w:val="2"/>
              </w:numPr>
              <w:ind w:left="180" w:hanging="180"/>
              <w:rPr>
                <w:lang w:val="en-GB"/>
              </w:rPr>
            </w:pPr>
            <w:r w:rsidRPr="1B03CCBD">
              <w:rPr>
                <w:lang w:val="en-GB"/>
              </w:rPr>
              <w:t>The local industries are not cooperative.</w:t>
            </w:r>
          </w:p>
          <w:p w14:paraId="0E15A728" w14:textId="76A40659" w:rsidR="4CA2EF7A" w:rsidRDefault="08ED62F3" w:rsidP="1B03CCBD">
            <w:pPr>
              <w:pStyle w:val="CETBodytext"/>
              <w:numPr>
                <w:ilvl w:val="0"/>
                <w:numId w:val="2"/>
              </w:numPr>
              <w:ind w:left="180" w:hanging="180"/>
              <w:rPr>
                <w:lang w:val="en-GB"/>
              </w:rPr>
            </w:pPr>
            <w:r w:rsidRPr="1B03CCBD">
              <w:rPr>
                <w:lang w:val="en-GB"/>
              </w:rPr>
              <w:t>Not organized citizen initiatives.</w:t>
            </w:r>
          </w:p>
        </w:tc>
      </w:tr>
      <w:tr w:rsidR="7100035D" w14:paraId="4DFF1694" w14:textId="77777777" w:rsidTr="006D5903">
        <w:trPr>
          <w:trHeight w:val="300"/>
        </w:trPr>
        <w:tc>
          <w:tcPr>
            <w:tcW w:w="1419" w:type="dxa"/>
            <w:shd w:val="clear" w:color="auto" w:fill="FFFFFF" w:themeFill="background1"/>
          </w:tcPr>
          <w:p w14:paraId="1B427280" w14:textId="63F35835" w:rsidR="7100035D" w:rsidRPr="003F0C18" w:rsidRDefault="551CD404" w:rsidP="1B03CCBD">
            <w:pPr>
              <w:pStyle w:val="CETBodytext"/>
              <w:rPr>
                <w:lang w:val="en-GB"/>
              </w:rPr>
            </w:pPr>
            <w:r w:rsidRPr="003F0C18">
              <w:rPr>
                <w:lang w:val="en-GB"/>
              </w:rPr>
              <w:t>Piraeus</w:t>
            </w:r>
          </w:p>
        </w:tc>
        <w:tc>
          <w:tcPr>
            <w:tcW w:w="1047" w:type="dxa"/>
            <w:shd w:val="clear" w:color="auto" w:fill="FFFFFF" w:themeFill="background1"/>
          </w:tcPr>
          <w:p w14:paraId="729C0F69" w14:textId="6076DE19" w:rsidR="6B729A60" w:rsidRDefault="187637B2" w:rsidP="1B03CCBD">
            <w:pPr>
              <w:pStyle w:val="CETBodytext"/>
              <w:rPr>
                <w:lang w:val="en-GB"/>
              </w:rPr>
            </w:pPr>
            <w:r w:rsidRPr="1B03CCBD">
              <w:rPr>
                <w:lang w:val="en-GB"/>
              </w:rPr>
              <w:t>ca. 100,000</w:t>
            </w:r>
          </w:p>
        </w:tc>
        <w:tc>
          <w:tcPr>
            <w:tcW w:w="1787" w:type="dxa"/>
            <w:shd w:val="clear" w:color="auto" w:fill="FFFFFF" w:themeFill="background1"/>
          </w:tcPr>
          <w:p w14:paraId="259A2C79" w14:textId="3F55D138" w:rsidR="6B729A60" w:rsidRDefault="187637B2" w:rsidP="1B03CCBD">
            <w:pPr>
              <w:pStyle w:val="CETBodytext"/>
            </w:pPr>
            <w:r w:rsidRPr="1B03CCBD">
              <w:t>WasteWater Treatment</w:t>
            </w:r>
          </w:p>
        </w:tc>
        <w:tc>
          <w:tcPr>
            <w:tcW w:w="1984" w:type="dxa"/>
            <w:shd w:val="clear" w:color="auto" w:fill="FFFFFF" w:themeFill="background1"/>
          </w:tcPr>
          <w:p w14:paraId="6A9E9EAD" w14:textId="4D3431DC" w:rsidR="6B729A60" w:rsidRDefault="187637B2" w:rsidP="1B03CCBD">
            <w:pPr>
              <w:pStyle w:val="CETBodytext"/>
              <w:rPr>
                <w:rFonts w:cs="Arial"/>
                <w:lang w:val="en-GB"/>
              </w:rPr>
            </w:pPr>
            <w:r w:rsidRPr="1B03CCBD">
              <w:rPr>
                <w:rFonts w:cs="Arial"/>
                <w:lang w:val="en-GB"/>
              </w:rPr>
              <w:t>Not defined.</w:t>
            </w:r>
          </w:p>
        </w:tc>
        <w:tc>
          <w:tcPr>
            <w:tcW w:w="2523" w:type="dxa"/>
            <w:shd w:val="clear" w:color="auto" w:fill="FFFFFF" w:themeFill="background1"/>
          </w:tcPr>
          <w:p w14:paraId="00367CA2" w14:textId="5E1767A5" w:rsidR="6B729A60" w:rsidRDefault="00A2599D" w:rsidP="1B03CCBD">
            <w:pPr>
              <w:pStyle w:val="CETBodytext"/>
              <w:numPr>
                <w:ilvl w:val="0"/>
                <w:numId w:val="2"/>
              </w:numPr>
              <w:ind w:left="180" w:hanging="180"/>
            </w:pPr>
            <w:r>
              <w:t>N</w:t>
            </w:r>
            <w:r w:rsidR="187637B2" w:rsidRPr="1B03CCBD">
              <w:t xml:space="preserve">o verification that the odour is coming from the </w:t>
            </w:r>
            <w:r w:rsidR="2BE2BD34" w:rsidRPr="1B03CCBD">
              <w:t>WasteWater Treatment Plant</w:t>
            </w:r>
            <w:r w:rsidR="187637B2" w:rsidRPr="1B03CCBD">
              <w:t>.</w:t>
            </w:r>
          </w:p>
          <w:p w14:paraId="2DC6383E" w14:textId="7EC99AD7" w:rsidR="6B729A60" w:rsidRDefault="187637B2" w:rsidP="1B03CCBD">
            <w:pPr>
              <w:pStyle w:val="CETBodytext"/>
              <w:numPr>
                <w:ilvl w:val="0"/>
                <w:numId w:val="2"/>
              </w:numPr>
              <w:ind w:left="180" w:hanging="180"/>
            </w:pPr>
            <w:r w:rsidRPr="1B03CCBD">
              <w:t>No field studies on odour.</w:t>
            </w:r>
          </w:p>
          <w:p w14:paraId="0ECCFC85" w14:textId="37295B95" w:rsidR="6B729A60" w:rsidRDefault="187637B2" w:rsidP="1B03CCBD">
            <w:pPr>
              <w:pStyle w:val="CETBodytext"/>
              <w:numPr>
                <w:ilvl w:val="0"/>
                <w:numId w:val="2"/>
              </w:numPr>
              <w:ind w:left="180" w:hanging="180"/>
              <w:rPr>
                <w:lang w:val="en-GB"/>
              </w:rPr>
            </w:pPr>
            <w:r w:rsidRPr="1B03CCBD">
              <w:rPr>
                <w:lang w:val="en-GB"/>
              </w:rPr>
              <w:t>Not organized citizen initiatives</w:t>
            </w:r>
          </w:p>
        </w:tc>
      </w:tr>
      <w:tr w:rsidR="7100035D" w14:paraId="0E30DF5F" w14:textId="77777777" w:rsidTr="006D5903">
        <w:trPr>
          <w:trHeight w:val="300"/>
        </w:trPr>
        <w:tc>
          <w:tcPr>
            <w:tcW w:w="1419" w:type="dxa"/>
            <w:shd w:val="clear" w:color="auto" w:fill="FFFFFF" w:themeFill="background1"/>
          </w:tcPr>
          <w:p w14:paraId="6587DE3D" w14:textId="00976C75" w:rsidR="7100035D" w:rsidRPr="003F0C18" w:rsidRDefault="551CD404" w:rsidP="1B03CCBD">
            <w:pPr>
              <w:pStyle w:val="CETBodytext"/>
              <w:rPr>
                <w:lang w:val="en-GB"/>
              </w:rPr>
            </w:pPr>
            <w:r w:rsidRPr="003F0C18">
              <w:rPr>
                <w:lang w:val="en-GB"/>
              </w:rPr>
              <w:t>Volos</w:t>
            </w:r>
          </w:p>
        </w:tc>
        <w:tc>
          <w:tcPr>
            <w:tcW w:w="1047" w:type="dxa"/>
            <w:shd w:val="clear" w:color="auto" w:fill="FFFFFF" w:themeFill="background1"/>
          </w:tcPr>
          <w:p w14:paraId="7EA3923F" w14:textId="675B3935" w:rsidR="31467EF3" w:rsidRDefault="73A2597C" w:rsidP="1B03CCBD">
            <w:pPr>
              <w:pStyle w:val="CETBodytext"/>
            </w:pPr>
            <w:r w:rsidRPr="1B03CCBD">
              <w:rPr>
                <w:lang w:val="en-GB"/>
              </w:rPr>
              <w:t>ca. 100,000</w:t>
            </w:r>
          </w:p>
        </w:tc>
        <w:tc>
          <w:tcPr>
            <w:tcW w:w="1787" w:type="dxa"/>
            <w:shd w:val="clear" w:color="auto" w:fill="FFFFFF" w:themeFill="background1"/>
          </w:tcPr>
          <w:p w14:paraId="595BEEA4" w14:textId="647FCE8D" w:rsidR="31467EF3" w:rsidRDefault="73A2597C" w:rsidP="1B03CCBD">
            <w:pPr>
              <w:pStyle w:val="CETBodytext"/>
              <w:rPr>
                <w:lang w:val="en-GB"/>
              </w:rPr>
            </w:pPr>
            <w:r w:rsidRPr="1B03CCBD">
              <w:rPr>
                <w:lang w:val="en-GB"/>
              </w:rPr>
              <w:t xml:space="preserve">Cement production factory &amp; </w:t>
            </w:r>
            <w:r w:rsidR="207AFD63" w:rsidRPr="1B03CCBD">
              <w:rPr>
                <w:lang w:val="en-GB"/>
              </w:rPr>
              <w:t>b</w:t>
            </w:r>
            <w:r w:rsidRPr="1B03CCBD">
              <w:rPr>
                <w:lang w:val="en-GB"/>
              </w:rPr>
              <w:t>urning of illegal and unsuitable material by individuals</w:t>
            </w:r>
          </w:p>
        </w:tc>
        <w:tc>
          <w:tcPr>
            <w:tcW w:w="1984" w:type="dxa"/>
            <w:shd w:val="clear" w:color="auto" w:fill="FFFFFF" w:themeFill="background1"/>
          </w:tcPr>
          <w:p w14:paraId="7808F843" w14:textId="3B245A0C" w:rsidR="08FC26BA" w:rsidRDefault="10C52133" w:rsidP="1B03CCBD">
            <w:pPr>
              <w:pStyle w:val="CETBodytext"/>
              <w:rPr>
                <w:rFonts w:cs="Arial"/>
                <w:lang w:val="en-GB"/>
              </w:rPr>
            </w:pPr>
            <w:r w:rsidRPr="1B03CCBD">
              <w:rPr>
                <w:rFonts w:cs="Arial"/>
                <w:lang w:val="en-GB"/>
              </w:rPr>
              <w:t>Availability of measurements on various emissions due to the environmental permit requirements.</w:t>
            </w:r>
          </w:p>
        </w:tc>
        <w:tc>
          <w:tcPr>
            <w:tcW w:w="2523" w:type="dxa"/>
            <w:shd w:val="clear" w:color="auto" w:fill="FFFFFF" w:themeFill="background1"/>
          </w:tcPr>
          <w:p w14:paraId="0B4578F4" w14:textId="4C6B038F" w:rsidR="08FC26BA" w:rsidRDefault="10C52133" w:rsidP="1B03CCBD">
            <w:pPr>
              <w:pStyle w:val="CETBodytext"/>
              <w:numPr>
                <w:ilvl w:val="0"/>
                <w:numId w:val="2"/>
              </w:numPr>
              <w:ind w:left="180" w:hanging="180"/>
            </w:pPr>
            <w:r w:rsidRPr="1B03CCBD">
              <w:t xml:space="preserve">No field studies on odour. </w:t>
            </w:r>
          </w:p>
          <w:p w14:paraId="142F22F3" w14:textId="004A380C" w:rsidR="08FC26BA" w:rsidRDefault="10C52133" w:rsidP="1B03CCBD">
            <w:pPr>
              <w:pStyle w:val="CETBodytext"/>
              <w:numPr>
                <w:ilvl w:val="0"/>
                <w:numId w:val="2"/>
              </w:numPr>
              <w:ind w:left="180" w:hanging="180"/>
              <w:rPr>
                <w:lang w:val="en-GB"/>
              </w:rPr>
            </w:pPr>
            <w:r w:rsidRPr="1B03CCBD">
              <w:rPr>
                <w:lang w:val="en-GB"/>
              </w:rPr>
              <w:t>Not organized citizen initiatives.</w:t>
            </w:r>
          </w:p>
        </w:tc>
      </w:tr>
    </w:tbl>
    <w:p w14:paraId="6370EBE8" w14:textId="4EDA6548" w:rsidR="75DC3DBB" w:rsidRDefault="75DC3DBB" w:rsidP="1B03CCBD">
      <w:pPr>
        <w:pStyle w:val="CETBodytext"/>
      </w:pPr>
    </w:p>
    <w:p w14:paraId="3FB17284" w14:textId="11FDE22A" w:rsidR="75DC3DBB" w:rsidRDefault="03533641" w:rsidP="1B03CCBD">
      <w:pPr>
        <w:pStyle w:val="CETBodytext"/>
      </w:pPr>
      <w:r w:rsidRPr="1B03CCBD">
        <w:t xml:space="preserve">Thessaloniki, as the second most populous city in Greece, presents an interesting case study region for various reasons. Firstly, the city’s high population density of approximately 7100 </w:t>
      </w:r>
      <w:r w:rsidR="58410B0A" w:rsidRPr="1B03CCBD">
        <w:t xml:space="preserve">people per sq. km </w:t>
      </w:r>
      <w:r w:rsidRPr="1B03CCBD">
        <w:t>creates a unique urban environment where issues such as odour nuisance can have a significant impact on the quality of life for residents. Additionally, Thessaloniki has a history of multiple complaints regarding odour nuisance over time, indicating a pressing need for investigation and potential solutions to address this issue.</w:t>
      </w:r>
    </w:p>
    <w:p w14:paraId="28F487F0" w14:textId="55003FA3" w:rsidR="00702F59" w:rsidRDefault="55331FBA" w:rsidP="00D14ED4">
      <w:pPr>
        <w:pStyle w:val="CETBodytext"/>
      </w:pPr>
      <w:r>
        <w:t>More particularly, the area of Kalochori-</w:t>
      </w:r>
      <w:r w:rsidR="5705A7D4">
        <w:t>Evosmos-Kordelio-</w:t>
      </w:r>
      <w:r>
        <w:t xml:space="preserve">Menemeni-Dendropotamos </w:t>
      </w:r>
      <w:r w:rsidR="1456E11D">
        <w:t xml:space="preserve">(Figure 1) </w:t>
      </w:r>
      <w:r>
        <w:t>within Thessaloniki stands out as the most degraded part of the city, with various industrial activities taking place in proximity to residential areas. This mix of industrial and urban settings, including petrochemicals, metal processing, and logistics facilities, contributes to the complexity of environmental challenges faced by the local community.</w:t>
      </w:r>
      <w:r w:rsidR="63E3EAA3">
        <w:t xml:space="preserve"> </w:t>
      </w:r>
      <w:r>
        <w:t>Moreover, the social characteristics of the area, such as the presence of refugee and gypsy communities, add another layer of complexity to the environmental and social dynamics at play</w:t>
      </w:r>
      <w:r w:rsidR="74A3ACEB">
        <w:t xml:space="preserve">, which is of great interest for </w:t>
      </w:r>
      <w:r>
        <w:t xml:space="preserve">researchers and policymakers </w:t>
      </w:r>
      <w:r w:rsidR="41CD3350">
        <w:t xml:space="preserve">since </w:t>
      </w:r>
      <w:r>
        <w:t xml:space="preserve">valuable insights </w:t>
      </w:r>
      <w:r w:rsidR="4FC9CAB6">
        <w:t>could be elicited regarding t</w:t>
      </w:r>
      <w:r>
        <w:t>he intersection of industrial activities, social demographics, and environmental quality within an urban setting.</w:t>
      </w:r>
    </w:p>
    <w:p w14:paraId="6343686D" w14:textId="73D12CB7" w:rsidR="00D14ED4" w:rsidRPr="00D14ED4" w:rsidRDefault="0063597F" w:rsidP="00D14ED4">
      <w:pPr>
        <w:pStyle w:val="CETCaption"/>
        <w:rPr>
          <w:rStyle w:val="CETCaptionCarattere"/>
          <w:iCs/>
        </w:rPr>
      </w:pPr>
      <w:r>
        <w:rPr>
          <w:noProof/>
        </w:rPr>
        <mc:AlternateContent>
          <mc:Choice Requires="wps">
            <w:drawing>
              <wp:anchor distT="0" distB="0" distL="114300" distR="114300" simplePos="0" relativeHeight="251658241" behindDoc="0" locked="0" layoutInCell="1" allowOverlap="1" wp14:anchorId="25EB0ECE" wp14:editId="37C82E8D">
                <wp:simplePos x="0" y="0"/>
                <wp:positionH relativeFrom="column">
                  <wp:posOffset>3244215</wp:posOffset>
                </wp:positionH>
                <wp:positionV relativeFrom="paragraph">
                  <wp:posOffset>1127125</wp:posOffset>
                </wp:positionV>
                <wp:extent cx="914400" cy="311150"/>
                <wp:effectExtent l="0" t="0" r="0" b="0"/>
                <wp:wrapNone/>
                <wp:docPr id="1421845913" name="Text Box 4"/>
                <wp:cNvGraphicFramePr/>
                <a:graphic xmlns:a="http://schemas.openxmlformats.org/drawingml/2006/main">
                  <a:graphicData uri="http://schemas.microsoft.com/office/word/2010/wordprocessingShape">
                    <wps:wsp>
                      <wps:cNvSpPr txBox="1"/>
                      <wps:spPr>
                        <a:xfrm>
                          <a:off x="0" y="0"/>
                          <a:ext cx="914400" cy="311150"/>
                        </a:xfrm>
                        <a:prstGeom prst="rect">
                          <a:avLst/>
                        </a:prstGeom>
                        <a:noFill/>
                        <a:ln w="6350">
                          <a:noFill/>
                        </a:ln>
                      </wps:spPr>
                      <wps:txbx>
                        <w:txbxContent>
                          <w:p w14:paraId="6668ABAA" w14:textId="77777777" w:rsidR="0063597F" w:rsidRDefault="00D14ED4" w:rsidP="00D14ED4">
                            <w:pPr>
                              <w:rPr>
                                <w:b/>
                                <w:bCs/>
                                <w:color w:val="595959" w:themeColor="text1" w:themeTint="A6"/>
                                <w:sz w:val="14"/>
                                <w:szCs w:val="16"/>
                                <w:lang w:val="en-US"/>
                              </w:rPr>
                            </w:pPr>
                            <w:r>
                              <w:rPr>
                                <w:b/>
                                <w:bCs/>
                                <w:color w:val="595959" w:themeColor="text1" w:themeTint="A6"/>
                                <w:sz w:val="14"/>
                                <w:szCs w:val="16"/>
                                <w:lang w:val="en-US"/>
                              </w:rPr>
                              <w:t>Evosmos</w:t>
                            </w:r>
                          </w:p>
                          <w:p w14:paraId="4C696C4F" w14:textId="69FB3D39" w:rsidR="00D14ED4" w:rsidRPr="00D14ED4" w:rsidRDefault="00D14ED4" w:rsidP="00D14ED4">
                            <w:pPr>
                              <w:rPr>
                                <w:b/>
                                <w:bCs/>
                                <w:color w:val="595959" w:themeColor="text1" w:themeTint="A6"/>
                                <w:sz w:val="14"/>
                                <w:szCs w:val="16"/>
                                <w:lang w:val="en-US"/>
                              </w:rPr>
                            </w:pPr>
                            <w:r>
                              <w:rPr>
                                <w:b/>
                                <w:bCs/>
                                <w:color w:val="595959" w:themeColor="text1" w:themeTint="A6"/>
                                <w:sz w:val="14"/>
                                <w:szCs w:val="16"/>
                                <w:lang w:val="en-US"/>
                              </w:rPr>
                              <w:t>Kordelio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B0ECE" id="_x0000_t202" coordsize="21600,21600" o:spt="202" path="m,l,21600r21600,l21600,xe">
                <v:stroke joinstyle="miter"/>
                <v:path gradientshapeok="t" o:connecttype="rect"/>
              </v:shapetype>
              <v:shape id="Text Box 4" o:spid="_x0000_s1026" type="#_x0000_t202" style="position:absolute;left:0;text-align:left;margin-left:255.45pt;margin-top:88.75pt;width:1in;height:2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" filled="f" stroked="f" strokeweight=".5pt">
                <v:textbox>
                  <w:txbxContent>
                    <w:p w14:paraId="6668ABAA" w14:textId="77777777" w:rsidR="0063597F" w:rsidRDefault="00D14ED4" w:rsidP="00D14ED4">
                      <w:pPr>
                        <w:rPr>
                          <w:b/>
                          <w:bCs/>
                          <w:color w:val="595959" w:themeColor="text1" w:themeTint="A6"/>
                          <w:sz w:val="14"/>
                          <w:szCs w:val="16"/>
                          <w:lang w:val="en-US"/>
                        </w:rPr>
                      </w:pPr>
                      <w:r>
                        <w:rPr>
                          <w:b/>
                          <w:bCs/>
                          <w:color w:val="595959" w:themeColor="text1" w:themeTint="A6"/>
                          <w:sz w:val="14"/>
                          <w:szCs w:val="16"/>
                          <w:lang w:val="en-US"/>
                        </w:rPr>
                        <w:t>Evosmos</w:t>
                      </w:r>
                    </w:p>
                    <w:p w14:paraId="4C696C4F" w14:textId="69FB3D39" w:rsidR="00D14ED4" w:rsidRPr="00D14ED4" w:rsidRDefault="00D14ED4" w:rsidP="00D14ED4">
                      <w:pPr>
                        <w:rPr>
                          <w:b/>
                          <w:bCs/>
                          <w:color w:val="595959" w:themeColor="text1" w:themeTint="A6"/>
                          <w:sz w:val="14"/>
                          <w:szCs w:val="16"/>
                          <w:lang w:val="en-US"/>
                        </w:rPr>
                      </w:pPr>
                      <w:r>
                        <w:rPr>
                          <w:b/>
                          <w:bCs/>
                          <w:color w:val="595959" w:themeColor="text1" w:themeTint="A6"/>
                          <w:sz w:val="14"/>
                          <w:szCs w:val="16"/>
                          <w:lang w:val="en-US"/>
                        </w:rPr>
                        <w:t>Kordelio</w:t>
                      </w:r>
                    </w:p>
                  </w:txbxContent>
                </v:textbox>
              </v:shape>
            </w:pict>
          </mc:Fallback>
        </mc:AlternateContent>
      </w:r>
      <w:r w:rsidR="00D14ED4">
        <w:rPr>
          <w:noProof/>
        </w:rPr>
        <mc:AlternateContent>
          <mc:Choice Requires="wps">
            <w:drawing>
              <wp:anchor distT="0" distB="0" distL="114300" distR="114300" simplePos="0" relativeHeight="251658242" behindDoc="0" locked="0" layoutInCell="1" allowOverlap="1" wp14:anchorId="01341CD1" wp14:editId="0954C325">
                <wp:simplePos x="0" y="0"/>
                <wp:positionH relativeFrom="column">
                  <wp:posOffset>1815465</wp:posOffset>
                </wp:positionH>
                <wp:positionV relativeFrom="paragraph">
                  <wp:posOffset>2073275</wp:posOffset>
                </wp:positionV>
                <wp:extent cx="666750" cy="266700"/>
                <wp:effectExtent l="0" t="0" r="0" b="0"/>
                <wp:wrapNone/>
                <wp:docPr id="142397398" name="Text Box 4"/>
                <wp:cNvGraphicFramePr/>
                <a:graphic xmlns:a="http://schemas.openxmlformats.org/drawingml/2006/main">
                  <a:graphicData uri="http://schemas.microsoft.com/office/word/2010/wordprocessingShape">
                    <wps:wsp>
                      <wps:cNvSpPr txBox="1"/>
                      <wps:spPr>
                        <a:xfrm>
                          <a:off x="0" y="0"/>
                          <a:ext cx="666750" cy="266700"/>
                        </a:xfrm>
                        <a:prstGeom prst="rect">
                          <a:avLst/>
                        </a:prstGeom>
                        <a:noFill/>
                        <a:ln w="6350">
                          <a:noFill/>
                        </a:ln>
                      </wps:spPr>
                      <wps:txbx>
                        <w:txbxContent>
                          <w:p w14:paraId="2CE3908D" w14:textId="73E9D6C2" w:rsidR="00D14ED4" w:rsidRPr="00D14ED4" w:rsidRDefault="00D14ED4" w:rsidP="00D14ED4">
                            <w:pPr>
                              <w:rPr>
                                <w:b/>
                                <w:bCs/>
                                <w:color w:val="595959" w:themeColor="text1" w:themeTint="A6"/>
                                <w:sz w:val="14"/>
                                <w:szCs w:val="16"/>
                                <w:lang w:val="en-US"/>
                              </w:rPr>
                            </w:pPr>
                            <w:r>
                              <w:rPr>
                                <w:b/>
                                <w:bCs/>
                                <w:color w:val="595959" w:themeColor="text1" w:themeTint="A6"/>
                                <w:sz w:val="14"/>
                                <w:szCs w:val="16"/>
                                <w:lang w:val="en-US"/>
                              </w:rPr>
                              <w:t>Kalochori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41CD1" id="_x0000_s1027" type="#_x0000_t202" style="position:absolute;left:0;text-align:left;margin-left:142.95pt;margin-top:163.25pt;width:52.5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" filled="f" stroked="f" strokeweight=".5pt">
                <v:textbox>
                  <w:txbxContent>
                    <w:p w14:paraId="2CE3908D" w14:textId="73E9D6C2" w:rsidR="00D14ED4" w:rsidRPr="00D14ED4" w:rsidRDefault="00D14ED4" w:rsidP="00D14ED4">
                      <w:pPr>
                        <w:rPr>
                          <w:b/>
                          <w:bCs/>
                          <w:color w:val="595959" w:themeColor="text1" w:themeTint="A6"/>
                          <w:sz w:val="14"/>
                          <w:szCs w:val="16"/>
                          <w:lang w:val="en-US"/>
                        </w:rPr>
                      </w:pPr>
                      <w:r>
                        <w:rPr>
                          <w:b/>
                          <w:bCs/>
                          <w:color w:val="595959" w:themeColor="text1" w:themeTint="A6"/>
                          <w:sz w:val="14"/>
                          <w:szCs w:val="16"/>
                          <w:lang w:val="en-US"/>
                        </w:rPr>
                        <w:t>Kalochori</w:t>
                      </w:r>
                    </w:p>
                  </w:txbxContent>
                </v:textbox>
              </v:shape>
            </w:pict>
          </mc:Fallback>
        </mc:AlternateContent>
      </w:r>
      <w:r w:rsidR="00D14ED4">
        <w:rPr>
          <w:noProof/>
        </w:rPr>
        <mc:AlternateContent>
          <mc:Choice Requires="wps">
            <w:drawing>
              <wp:anchor distT="0" distB="0" distL="114300" distR="114300" simplePos="0" relativeHeight="251658240" behindDoc="0" locked="0" layoutInCell="1" allowOverlap="1" wp14:anchorId="04DB3F75" wp14:editId="201839D5">
                <wp:simplePos x="0" y="0"/>
                <wp:positionH relativeFrom="column">
                  <wp:posOffset>3225165</wp:posOffset>
                </wp:positionH>
                <wp:positionV relativeFrom="paragraph">
                  <wp:posOffset>2073275</wp:posOffset>
                </wp:positionV>
                <wp:extent cx="914400" cy="311150"/>
                <wp:effectExtent l="0" t="0" r="0" b="0"/>
                <wp:wrapNone/>
                <wp:docPr id="1685312449" name="Text Box 4"/>
                <wp:cNvGraphicFramePr/>
                <a:graphic xmlns:a="http://schemas.openxmlformats.org/drawingml/2006/main">
                  <a:graphicData uri="http://schemas.microsoft.com/office/word/2010/wordprocessingShape">
                    <wps:wsp>
                      <wps:cNvSpPr txBox="1"/>
                      <wps:spPr>
                        <a:xfrm>
                          <a:off x="0" y="0"/>
                          <a:ext cx="914400" cy="311150"/>
                        </a:xfrm>
                        <a:prstGeom prst="rect">
                          <a:avLst/>
                        </a:prstGeom>
                        <a:noFill/>
                        <a:ln w="6350">
                          <a:noFill/>
                        </a:ln>
                      </wps:spPr>
                      <wps:txbx>
                        <w:txbxContent>
                          <w:p w14:paraId="2A840C88" w14:textId="2EBDA7CA" w:rsidR="00D14ED4" w:rsidRPr="00D14ED4" w:rsidRDefault="00D14ED4">
                            <w:pPr>
                              <w:rPr>
                                <w:b/>
                                <w:bCs/>
                                <w:color w:val="595959" w:themeColor="text1" w:themeTint="A6"/>
                                <w:sz w:val="14"/>
                                <w:szCs w:val="16"/>
                                <w:lang w:val="en-US"/>
                              </w:rPr>
                            </w:pPr>
                            <w:r w:rsidRPr="00D14ED4">
                              <w:rPr>
                                <w:b/>
                                <w:bCs/>
                                <w:color w:val="595959" w:themeColor="text1" w:themeTint="A6"/>
                                <w:sz w:val="14"/>
                                <w:szCs w:val="16"/>
                                <w:lang w:val="en-US"/>
                              </w:rPr>
                              <w:t>Menemeni</w:t>
                            </w:r>
                          </w:p>
                          <w:p w14:paraId="2E7EB60C" w14:textId="34957BC8" w:rsidR="00D14ED4" w:rsidRPr="00D14ED4" w:rsidRDefault="00D14ED4">
                            <w:pPr>
                              <w:rPr>
                                <w:b/>
                                <w:bCs/>
                                <w:color w:val="595959" w:themeColor="text1" w:themeTint="A6"/>
                                <w:sz w:val="14"/>
                                <w:szCs w:val="16"/>
                                <w:lang w:val="en-US"/>
                              </w:rPr>
                            </w:pPr>
                            <w:r w:rsidRPr="00D14ED4">
                              <w:rPr>
                                <w:b/>
                                <w:bCs/>
                                <w:color w:val="595959" w:themeColor="text1" w:themeTint="A6"/>
                                <w:sz w:val="14"/>
                                <w:szCs w:val="16"/>
                                <w:lang w:val="en-US"/>
                              </w:rPr>
                              <w:t>Dendropotapos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B3F75" id="_x0000_s1028" type="#_x0000_t202" style="position:absolute;left:0;text-align:left;margin-left:253.95pt;margin-top:163.25pt;width:1in;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" filled="f" stroked="f" strokeweight=".5pt">
                <v:textbox>
                  <w:txbxContent>
                    <w:p w14:paraId="2A840C88" w14:textId="2EBDA7CA" w:rsidR="00D14ED4" w:rsidRPr="00D14ED4" w:rsidRDefault="00D14ED4">
                      <w:pPr>
                        <w:rPr>
                          <w:b/>
                          <w:bCs/>
                          <w:color w:val="595959" w:themeColor="text1" w:themeTint="A6"/>
                          <w:sz w:val="14"/>
                          <w:szCs w:val="16"/>
                          <w:lang w:val="en-US"/>
                        </w:rPr>
                      </w:pPr>
                      <w:r w:rsidRPr="00D14ED4">
                        <w:rPr>
                          <w:b/>
                          <w:bCs/>
                          <w:color w:val="595959" w:themeColor="text1" w:themeTint="A6"/>
                          <w:sz w:val="14"/>
                          <w:szCs w:val="16"/>
                          <w:lang w:val="en-US"/>
                        </w:rPr>
                        <w:t>Menemeni</w:t>
                      </w:r>
                    </w:p>
                    <w:p w14:paraId="2E7EB60C" w14:textId="34957BC8" w:rsidR="00D14ED4" w:rsidRPr="00D14ED4" w:rsidRDefault="00D14ED4">
                      <w:pPr>
                        <w:rPr>
                          <w:b/>
                          <w:bCs/>
                          <w:color w:val="595959" w:themeColor="text1" w:themeTint="A6"/>
                          <w:sz w:val="14"/>
                          <w:szCs w:val="16"/>
                          <w:lang w:val="en-US"/>
                        </w:rPr>
                      </w:pPr>
                      <w:r w:rsidRPr="00D14ED4">
                        <w:rPr>
                          <w:b/>
                          <w:bCs/>
                          <w:color w:val="595959" w:themeColor="text1" w:themeTint="A6"/>
                          <w:sz w:val="14"/>
                          <w:szCs w:val="16"/>
                          <w:lang w:val="en-US"/>
                        </w:rPr>
                        <w:t>Dendropotapos</w:t>
                      </w:r>
                    </w:p>
                  </w:txbxContent>
                </v:textbox>
              </v:shape>
            </w:pict>
          </mc:Fallback>
        </mc:AlternateContent>
      </w:r>
      <w:r w:rsidR="00D14ED4">
        <w:t> </w:t>
      </w:r>
      <w:r w:rsidR="00D14ED4">
        <w:rPr>
          <w:noProof/>
        </w:rPr>
        <w:drawing>
          <wp:inline distT="0" distB="0" distL="0" distR="0" wp14:anchorId="1B0DF437" wp14:editId="1E59D339">
            <wp:extent cx="5332095" cy="3144520"/>
            <wp:effectExtent l="0" t="0" r="1905" b="0"/>
            <wp:docPr id="489562051" name="Picture 3" descr="Εικόνα που περιέχει κείμενο, χάρτης, Άτλ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Εικόνα που περιέχει κείμενο, χάρτης, Άτλας&#10;&#10;Περιγραφή που δημιουργήθηκε αυτόματα"/>
                    <pic:cNvPicPr>
                      <a:picLocks noChangeAspect="1" noChangeArrowheads="1"/>
                    </pic:cNvPicPr>
                  </pic:nvPicPr>
                  <pic:blipFill rotWithShape="1">
                    <a:blip r:embed="rId14">
                      <a:extLst>
                        <a:ext uri="{28A0092B-C50C-407E-A947-70E740481C1C}">
                          <a14:useLocalDpi xmlns:a14="http://schemas.microsoft.com/office/drawing/2010/main" val="0"/>
                        </a:ext>
                      </a:extLst>
                    </a:blip>
                    <a:srcRect l="4438" t="5170"/>
                    <a:stretch/>
                  </pic:blipFill>
                  <pic:spPr bwMode="auto">
                    <a:xfrm>
                      <a:off x="0" y="0"/>
                      <a:ext cx="5332095" cy="3144520"/>
                    </a:xfrm>
                    <a:prstGeom prst="rect">
                      <a:avLst/>
                    </a:prstGeom>
                    <a:noFill/>
                    <a:ln>
                      <a:noFill/>
                    </a:ln>
                    <a:extLst>
                      <a:ext uri="{53640926-AAD7-44D8-BBD7-CCE9431645EC}">
                        <a14:shadowObscured xmlns:a14="http://schemas.microsoft.com/office/drawing/2010/main"/>
                      </a:ext>
                    </a:extLst>
                  </pic:spPr>
                </pic:pic>
              </a:graphicData>
            </a:graphic>
          </wp:inline>
        </w:drawing>
      </w:r>
    </w:p>
    <w:p w14:paraId="173AAFBC" w14:textId="71AF2D58" w:rsidR="00781631" w:rsidRDefault="00781631" w:rsidP="00781631">
      <w:pPr>
        <w:pStyle w:val="CETCaption"/>
        <w:rPr>
          <w:rStyle w:val="CETCaptionCarattere"/>
          <w:i/>
          <w:iCs/>
        </w:rPr>
      </w:pPr>
      <w:r w:rsidRPr="1B03CCBD">
        <w:rPr>
          <w:rStyle w:val="CETCaptionCarattere"/>
          <w:i/>
          <w:iCs/>
        </w:rPr>
        <w:t xml:space="preserve">Figure </w:t>
      </w:r>
      <w:r>
        <w:rPr>
          <w:rStyle w:val="CETCaptionCarattere"/>
          <w:i/>
          <w:iCs/>
        </w:rPr>
        <w:t>1</w:t>
      </w:r>
      <w:r w:rsidRPr="1B03CCBD">
        <w:rPr>
          <w:rStyle w:val="CETCaptionCarattere"/>
          <w:i/>
          <w:iCs/>
        </w:rPr>
        <w:t xml:space="preserve">: </w:t>
      </w:r>
      <w:r w:rsidR="005370DA">
        <w:rPr>
          <w:rStyle w:val="CETCaptionCarattere"/>
          <w:i/>
          <w:iCs/>
        </w:rPr>
        <w:t>Map of the pilot case study selected area</w:t>
      </w:r>
      <w:r w:rsidR="00A2599D">
        <w:rPr>
          <w:rStyle w:val="CETCaptionCarattere"/>
          <w:i/>
          <w:iCs/>
        </w:rPr>
        <w:t>.</w:t>
      </w:r>
    </w:p>
    <w:p w14:paraId="1D48CAEA" w14:textId="0E8EBF47" w:rsidR="75DC3DBB" w:rsidRDefault="12C8AF9F" w:rsidP="75DC3DBB">
      <w:pPr>
        <w:pStyle w:val="CETBodytext"/>
      </w:pPr>
      <w:r>
        <w:t>Thus</w:t>
      </w:r>
      <w:r w:rsidR="6ACD56E1">
        <w:t>, Thessaloniki, particularly the area of Kalochori-</w:t>
      </w:r>
      <w:r w:rsidR="7F90BB80">
        <w:t>Evosmos-Kordelio-</w:t>
      </w:r>
      <w:r w:rsidR="6ACD56E1">
        <w:t xml:space="preserve">Menemeni-Dendropotamos, offers a rich and complex urban environment that is well-suited for a case study on odour nuisance and its implications for community well-being. </w:t>
      </w:r>
    </w:p>
    <w:p w14:paraId="677EBFF0" w14:textId="2AE54DB5" w:rsidR="00600535" w:rsidRPr="00B57B36" w:rsidRDefault="3A2A25AA" w:rsidP="00600535">
      <w:pPr>
        <w:pStyle w:val="CETHeading1"/>
        <w:tabs>
          <w:tab w:val="clear" w:pos="360"/>
          <w:tab w:val="right" w:pos="7100"/>
        </w:tabs>
        <w:jc w:val="both"/>
        <w:rPr>
          <w:lang w:val="en-GB"/>
        </w:rPr>
      </w:pPr>
      <w:r w:rsidRPr="1B03CCBD">
        <w:rPr>
          <w:lang w:val="en-GB"/>
        </w:rPr>
        <w:lastRenderedPageBreak/>
        <w:t xml:space="preserve">Mapping </w:t>
      </w:r>
      <w:r w:rsidR="0A918F7B" w:rsidRPr="1B03CCBD">
        <w:rPr>
          <w:lang w:val="en-GB"/>
        </w:rPr>
        <w:t xml:space="preserve">and assessing </w:t>
      </w:r>
      <w:r w:rsidRPr="1B03CCBD">
        <w:rPr>
          <w:lang w:val="en-GB"/>
        </w:rPr>
        <w:t xml:space="preserve">odour issues: </w:t>
      </w:r>
      <w:r w:rsidR="62E069A0" w:rsidRPr="1B03CCBD">
        <w:rPr>
          <w:lang w:val="en-GB"/>
        </w:rPr>
        <w:t xml:space="preserve">The case of </w:t>
      </w:r>
      <w:r w:rsidRPr="1B03CCBD">
        <w:rPr>
          <w:lang w:val="en-GB"/>
        </w:rPr>
        <w:t>Thessaloniki</w:t>
      </w:r>
    </w:p>
    <w:p w14:paraId="706E0AA2" w14:textId="1E960256" w:rsidR="5C987039" w:rsidRDefault="5C987039" w:rsidP="1B03CCBD">
      <w:pPr>
        <w:pStyle w:val="CETBodytext"/>
        <w:rPr>
          <w:lang w:val="en-GB"/>
        </w:rPr>
      </w:pPr>
      <w:r w:rsidRPr="1B03CCBD">
        <w:rPr>
          <w:lang w:val="en-GB"/>
        </w:rPr>
        <w:t xml:space="preserve">The methodology </w:t>
      </w:r>
      <w:r w:rsidR="27FE455A" w:rsidRPr="1B03CCBD">
        <w:rPr>
          <w:lang w:val="en-GB"/>
        </w:rPr>
        <w:t xml:space="preserve">followed </w:t>
      </w:r>
      <w:r w:rsidRPr="1B03CCBD">
        <w:rPr>
          <w:lang w:val="en-GB"/>
        </w:rPr>
        <w:t xml:space="preserve">for mapping and assessing odour </w:t>
      </w:r>
      <w:r w:rsidR="6BD43294" w:rsidRPr="1B03CCBD">
        <w:rPr>
          <w:lang w:val="en-GB"/>
        </w:rPr>
        <w:t xml:space="preserve">issues </w:t>
      </w:r>
      <w:r w:rsidR="6CF50E69" w:rsidRPr="1B03CCBD">
        <w:rPr>
          <w:lang w:val="en-GB"/>
        </w:rPr>
        <w:t xml:space="preserve">for the case of Thessaloniki includes </w:t>
      </w:r>
      <w:r w:rsidR="63E8DEAF" w:rsidRPr="1B03CCBD">
        <w:rPr>
          <w:lang w:val="en-GB"/>
        </w:rPr>
        <w:t>four main steps:</w:t>
      </w:r>
    </w:p>
    <w:p w14:paraId="59BD47F9" w14:textId="7BDE3246" w:rsidR="63E8DEAF" w:rsidRDefault="63E8DEAF" w:rsidP="1B03CCBD">
      <w:pPr>
        <w:pStyle w:val="CETListbullets"/>
        <w:numPr>
          <w:ilvl w:val="0"/>
          <w:numId w:val="1"/>
        </w:numPr>
        <w:tabs>
          <w:tab w:val="right" w:pos="7100"/>
        </w:tabs>
        <w:ind w:left="340" w:hanging="227"/>
      </w:pPr>
      <w:r w:rsidRPr="1B03CCBD">
        <w:t>Step 1: K</w:t>
      </w:r>
      <w:r w:rsidR="6CF50E69" w:rsidRPr="1B03CCBD">
        <w:t>ey stakeholder</w:t>
      </w:r>
      <w:r w:rsidR="19D147E1" w:rsidRPr="1B03CCBD">
        <w:t xml:space="preserve"> groups</w:t>
      </w:r>
      <w:r w:rsidR="6CF50E69" w:rsidRPr="1B03CCBD">
        <w:t xml:space="preserve"> identification and mapping</w:t>
      </w:r>
    </w:p>
    <w:p w14:paraId="45B2DCAC" w14:textId="1049DC6E" w:rsidR="409160D7" w:rsidRDefault="409160D7" w:rsidP="1B03CCBD">
      <w:pPr>
        <w:pStyle w:val="CETListbullets"/>
        <w:numPr>
          <w:ilvl w:val="0"/>
          <w:numId w:val="1"/>
        </w:numPr>
        <w:tabs>
          <w:tab w:val="right" w:pos="7100"/>
        </w:tabs>
        <w:ind w:left="340" w:hanging="227"/>
      </w:pPr>
      <w:r w:rsidRPr="1B03CCBD">
        <w:t>Step 2: S</w:t>
      </w:r>
      <w:r w:rsidR="6CF50E69" w:rsidRPr="1B03CCBD">
        <w:t>takeholders</w:t>
      </w:r>
      <w:r w:rsidR="321E386C" w:rsidRPr="1B03CCBD">
        <w:t>’</w:t>
      </w:r>
      <w:r w:rsidR="6CF50E69" w:rsidRPr="1B03CCBD">
        <w:t xml:space="preserve"> </w:t>
      </w:r>
      <w:r w:rsidR="5217E6F2" w:rsidRPr="1B03CCBD">
        <w:t>engagement</w:t>
      </w:r>
      <w:r w:rsidR="6CF50E69" w:rsidRPr="1B03CCBD">
        <w:t xml:space="preserve"> </w:t>
      </w:r>
      <w:r w:rsidR="6B326C47" w:rsidRPr="1B03CCBD">
        <w:t xml:space="preserve">for data collection </w:t>
      </w:r>
    </w:p>
    <w:p w14:paraId="36C9BE74" w14:textId="63C715FF" w:rsidR="06D44828" w:rsidRDefault="06D44828" w:rsidP="1B03CCBD">
      <w:pPr>
        <w:pStyle w:val="CETListbullets"/>
        <w:numPr>
          <w:ilvl w:val="0"/>
          <w:numId w:val="1"/>
        </w:numPr>
        <w:tabs>
          <w:tab w:val="right" w:pos="7100"/>
        </w:tabs>
        <w:ind w:left="340" w:hanging="227"/>
      </w:pPr>
      <w:r w:rsidRPr="1B03CCBD">
        <w:t>Step 3: D</w:t>
      </w:r>
      <w:r w:rsidR="6B326C47" w:rsidRPr="1B03CCBD">
        <w:t xml:space="preserve">ata analysis </w:t>
      </w:r>
      <w:r w:rsidR="6084C550" w:rsidRPr="1B03CCBD">
        <w:t>of the extracted input</w:t>
      </w:r>
    </w:p>
    <w:p w14:paraId="63A89091" w14:textId="5C8BC1A2" w:rsidR="04894EBF" w:rsidRDefault="04894EBF" w:rsidP="1B03CCBD">
      <w:pPr>
        <w:pStyle w:val="CETListbullets"/>
        <w:numPr>
          <w:ilvl w:val="0"/>
          <w:numId w:val="1"/>
        </w:numPr>
        <w:tabs>
          <w:tab w:val="right" w:pos="7100"/>
        </w:tabs>
        <w:ind w:left="340" w:hanging="227"/>
      </w:pPr>
      <w:r w:rsidRPr="1B03CCBD">
        <w:t xml:space="preserve">Step 4: </w:t>
      </w:r>
      <w:r w:rsidR="32CD1B62" w:rsidRPr="1B03CCBD">
        <w:t>Results analysis and conclusions</w:t>
      </w:r>
    </w:p>
    <w:p w14:paraId="04963A06" w14:textId="24683016" w:rsidR="00600535" w:rsidRPr="00B57B36" w:rsidRDefault="10F1A55F" w:rsidP="00FA5F5F">
      <w:pPr>
        <w:pStyle w:val="CETheadingx"/>
      </w:pPr>
      <w:r>
        <w:t>Stakeholders Analysis</w:t>
      </w:r>
    </w:p>
    <w:p w14:paraId="123CB7DF" w14:textId="696F0A81" w:rsidR="00600535" w:rsidRPr="00B57B36" w:rsidRDefault="4A69BA08" w:rsidP="00600535">
      <w:pPr>
        <w:pStyle w:val="CETBodytext"/>
        <w:rPr>
          <w:lang w:val="en-GB"/>
        </w:rPr>
      </w:pPr>
      <w:r w:rsidRPr="1B03CCBD">
        <w:rPr>
          <w:lang w:val="en-GB"/>
        </w:rPr>
        <w:t>S</w:t>
      </w:r>
      <w:r w:rsidR="07FE1E9A" w:rsidRPr="1B03CCBD">
        <w:rPr>
          <w:lang w:val="en-GB"/>
        </w:rPr>
        <w:t>takeholders and target groups to be engaged in the interventions and awareness raising actions</w:t>
      </w:r>
      <w:r w:rsidR="0496CF03" w:rsidRPr="1B03CCBD">
        <w:rPr>
          <w:lang w:val="en-GB"/>
        </w:rPr>
        <w:t xml:space="preserve"> during Thessaloniki’s pilot case</w:t>
      </w:r>
      <w:r w:rsidR="07FE1E9A" w:rsidRPr="1B03CCBD">
        <w:rPr>
          <w:lang w:val="en-GB"/>
        </w:rPr>
        <w:t xml:space="preserve"> have been identified, as well as possible motivations and barriers for engaging them</w:t>
      </w:r>
      <w:r w:rsidR="316BDF34" w:rsidRPr="1B03CCBD">
        <w:rPr>
          <w:lang w:val="en-GB"/>
        </w:rPr>
        <w:t xml:space="preserve"> (Figure 2)</w:t>
      </w:r>
      <w:r w:rsidR="07FE1E9A" w:rsidRPr="1B03CCBD">
        <w:rPr>
          <w:lang w:val="en-GB"/>
        </w:rPr>
        <w:t>.</w:t>
      </w:r>
    </w:p>
    <w:p w14:paraId="6DB4C646" w14:textId="615BC492" w:rsidR="00600535" w:rsidRPr="00353395" w:rsidRDefault="006F70AE" w:rsidP="00353395">
      <w:pPr>
        <w:pStyle w:val="CETCaption"/>
        <w:rPr>
          <w:rStyle w:val="CETCaptionCarattere"/>
          <w:iCs/>
        </w:rPr>
      </w:pPr>
      <w:r w:rsidRPr="006F70AE">
        <w:rPr>
          <w:noProof/>
        </w:rPr>
        <w:drawing>
          <wp:inline distT="0" distB="0" distL="0" distR="0" wp14:anchorId="3A937E00" wp14:editId="12B4761A">
            <wp:extent cx="5579745" cy="2018030"/>
            <wp:effectExtent l="0" t="0" r="0" b="1270"/>
            <wp:docPr id="7087853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9745" cy="2018030"/>
                    </a:xfrm>
                    <a:prstGeom prst="rect">
                      <a:avLst/>
                    </a:prstGeom>
                    <a:noFill/>
                    <a:ln>
                      <a:noFill/>
                    </a:ln>
                  </pic:spPr>
                </pic:pic>
              </a:graphicData>
            </a:graphic>
          </wp:inline>
        </w:drawing>
      </w:r>
    </w:p>
    <w:p w14:paraId="4BF74C2F" w14:textId="04E07231" w:rsidR="00600535" w:rsidRDefault="11FE4B62" w:rsidP="1B03CCBD">
      <w:pPr>
        <w:pStyle w:val="CETCaption"/>
        <w:rPr>
          <w:rStyle w:val="CETCaptionCarattere"/>
          <w:i/>
          <w:iCs/>
        </w:rPr>
      </w:pPr>
      <w:r w:rsidRPr="1B03CCBD">
        <w:rPr>
          <w:rStyle w:val="CETCaptionCarattere"/>
          <w:i/>
          <w:iCs/>
        </w:rPr>
        <w:t>Figure 2: S</w:t>
      </w:r>
      <w:r w:rsidR="3DDECCAA" w:rsidRPr="1B03CCBD">
        <w:rPr>
          <w:rStyle w:val="CETCaptionCarattere"/>
          <w:i/>
          <w:iCs/>
        </w:rPr>
        <w:t>takeholders motivations and barriers</w:t>
      </w:r>
      <w:r w:rsidR="00A2599D">
        <w:rPr>
          <w:rStyle w:val="CETCaptionCarattere"/>
          <w:i/>
          <w:iCs/>
        </w:rPr>
        <w:t>.</w:t>
      </w:r>
    </w:p>
    <w:p w14:paraId="32F6AC10" w14:textId="32234583" w:rsidR="00600535" w:rsidRDefault="0879A60D" w:rsidP="1B03CCBD">
      <w:pPr>
        <w:pStyle w:val="CETBodytext"/>
        <w:rPr>
          <w:lang w:val="en-GB"/>
        </w:rPr>
      </w:pPr>
      <w:r w:rsidRPr="686DD68B">
        <w:rPr>
          <w:lang w:val="en-GB"/>
        </w:rPr>
        <w:t>An active network of key local stakeholders was established and engaged withing the framework of the of EU funded Horizon 2020 D-NOSES project (Grant Agreement No 789315)</w:t>
      </w:r>
      <w:r w:rsidR="5EBA0827" w:rsidRPr="686DD68B">
        <w:rPr>
          <w:lang w:val="en-GB"/>
        </w:rPr>
        <w:t xml:space="preserve"> in order to elicit the necessary input. Sta</w:t>
      </w:r>
      <w:r w:rsidR="01D252AC" w:rsidRPr="686DD68B">
        <w:rPr>
          <w:lang w:val="en-GB"/>
        </w:rPr>
        <w:t xml:space="preserve">keholders that </w:t>
      </w:r>
      <w:r w:rsidRPr="686DD68B">
        <w:rPr>
          <w:lang w:val="en-GB"/>
        </w:rPr>
        <w:t>includ</w:t>
      </w:r>
      <w:r w:rsidR="3EF13F64" w:rsidRPr="686DD68B">
        <w:rPr>
          <w:lang w:val="en-GB"/>
        </w:rPr>
        <w:t>ed</w:t>
      </w:r>
      <w:r w:rsidRPr="686DD68B">
        <w:rPr>
          <w:lang w:val="en-GB"/>
        </w:rPr>
        <w:t xml:space="preserve"> local authorities, researchers, local universities, schoolteachers and residents of the affected area </w:t>
      </w:r>
      <w:r w:rsidR="4F5199FE" w:rsidRPr="686DD68B">
        <w:rPr>
          <w:lang w:val="en-GB"/>
        </w:rPr>
        <w:t xml:space="preserve">were engaged using several </w:t>
      </w:r>
      <w:r w:rsidR="1440D7DF" w:rsidRPr="686DD68B">
        <w:rPr>
          <w:lang w:val="en-GB"/>
        </w:rPr>
        <w:t xml:space="preserve">engagement activities, such as </w:t>
      </w:r>
      <w:r w:rsidRPr="686DD68B">
        <w:rPr>
          <w:lang w:val="en-GB"/>
        </w:rPr>
        <w:t>training</w:t>
      </w:r>
      <w:r w:rsidR="6B9F2B7F" w:rsidRPr="686DD68B">
        <w:rPr>
          <w:lang w:val="en-GB"/>
        </w:rPr>
        <w:t xml:space="preserve"> and community</w:t>
      </w:r>
      <w:r w:rsidRPr="686DD68B">
        <w:rPr>
          <w:lang w:val="en-GB"/>
        </w:rPr>
        <w:t xml:space="preserve"> workshops</w:t>
      </w:r>
      <w:r w:rsidR="0ACE9380" w:rsidRPr="686DD68B">
        <w:rPr>
          <w:lang w:val="en-GB"/>
        </w:rPr>
        <w:t xml:space="preserve">, </w:t>
      </w:r>
      <w:r w:rsidRPr="686DD68B">
        <w:rPr>
          <w:lang w:val="en-GB"/>
        </w:rPr>
        <w:t>bilateral meetings</w:t>
      </w:r>
      <w:r w:rsidR="32C9DA57" w:rsidRPr="686DD68B">
        <w:rPr>
          <w:lang w:val="en-GB"/>
        </w:rPr>
        <w:t xml:space="preserve"> and consultations, as well as</w:t>
      </w:r>
      <w:r w:rsidRPr="686DD68B">
        <w:rPr>
          <w:lang w:val="en-GB"/>
        </w:rPr>
        <w:t xml:space="preserve"> sensory walks (Spennemann et al., 2023</w:t>
      </w:r>
      <w:r w:rsidR="3257A65A" w:rsidRPr="686DD68B">
        <w:rPr>
          <w:lang w:val="en-GB"/>
        </w:rPr>
        <w:t xml:space="preserve">; </w:t>
      </w:r>
      <w:r w:rsidR="3257A65A">
        <w:t>Vlachos et al., 2021</w:t>
      </w:r>
      <w:r w:rsidRPr="686DD68B">
        <w:rPr>
          <w:lang w:val="en-GB"/>
        </w:rPr>
        <w:t>).</w:t>
      </w:r>
    </w:p>
    <w:p w14:paraId="515086BA" w14:textId="49939FBB" w:rsidR="00600535" w:rsidRDefault="36A94AAA" w:rsidP="1B03CCBD">
      <w:pPr>
        <w:pStyle w:val="CETheadingx"/>
      </w:pPr>
      <w:r>
        <w:t xml:space="preserve">Pilot application and key tools utilized </w:t>
      </w:r>
    </w:p>
    <w:p w14:paraId="469AC659" w14:textId="6A42A406" w:rsidR="00600535" w:rsidRDefault="4564B710" w:rsidP="1219C788">
      <w:pPr>
        <w:pStyle w:val="CETBodytext"/>
        <w:rPr>
          <w:lang w:val="en-GB"/>
        </w:rPr>
      </w:pPr>
      <w:r w:rsidRPr="1219C788">
        <w:rPr>
          <w:lang w:val="en-GB"/>
        </w:rPr>
        <w:t>The</w:t>
      </w:r>
      <w:r w:rsidR="5953D523" w:rsidRPr="1219C788">
        <w:rPr>
          <w:lang w:val="en-GB"/>
        </w:rPr>
        <w:t xml:space="preserve"> p</w:t>
      </w:r>
      <w:r w:rsidR="5953D523" w:rsidRPr="00FE5721">
        <w:rPr>
          <w:lang w:val="en-GB"/>
        </w:rPr>
        <w:t xml:space="preserve">ilot application used </w:t>
      </w:r>
      <w:r w:rsidRPr="00FE5721">
        <w:rPr>
          <w:lang w:val="en-GB"/>
        </w:rPr>
        <w:t>two main tools to gather odo</w:t>
      </w:r>
      <w:r w:rsidR="1B692976" w:rsidRPr="00FE5721">
        <w:rPr>
          <w:lang w:val="en-GB"/>
        </w:rPr>
        <w:t>u</w:t>
      </w:r>
      <w:r w:rsidRPr="00FE5721">
        <w:rPr>
          <w:lang w:val="en-GB"/>
        </w:rPr>
        <w:t>r observations</w:t>
      </w:r>
      <w:r w:rsidR="63031F91" w:rsidRPr="00FE5721">
        <w:rPr>
          <w:lang w:val="en-GB"/>
        </w:rPr>
        <w:t>. On the one ha</w:t>
      </w:r>
      <w:r w:rsidR="0202EA35" w:rsidRPr="00FE5721">
        <w:rPr>
          <w:lang w:val="en-GB"/>
        </w:rPr>
        <w:t>n</w:t>
      </w:r>
      <w:r w:rsidR="63031F91" w:rsidRPr="00FE5721">
        <w:rPr>
          <w:lang w:val="en-GB"/>
        </w:rPr>
        <w:t>d,</w:t>
      </w:r>
      <w:r w:rsidRPr="00FE5721">
        <w:rPr>
          <w:lang w:val="en-GB"/>
        </w:rPr>
        <w:t xml:space="preserve"> paper-based smell diaries</w:t>
      </w:r>
      <w:r w:rsidR="1564058B" w:rsidRPr="00FE5721">
        <w:rPr>
          <w:lang w:val="en-GB"/>
        </w:rPr>
        <w:t xml:space="preserve"> were used, while on the other hand </w:t>
      </w:r>
      <w:r w:rsidRPr="00FE5721">
        <w:rPr>
          <w:lang w:val="en-GB"/>
        </w:rPr>
        <w:t>the OdourCollect App developed within the frame of the H2020 D-NOSES project (Capelli et al., 2020; D-NOSES, 2020)</w:t>
      </w:r>
      <w:r w:rsidR="021776D1" w:rsidRPr="00FE5721">
        <w:rPr>
          <w:lang w:val="en-GB"/>
        </w:rPr>
        <w:t xml:space="preserve"> were used in the three areas of interest in order participant to record odours</w:t>
      </w:r>
      <w:r w:rsidRPr="00FE5721">
        <w:rPr>
          <w:lang w:val="en-GB"/>
        </w:rPr>
        <w:t xml:space="preserve">. </w:t>
      </w:r>
      <w:r w:rsidR="6219E256" w:rsidRPr="00FE5721">
        <w:rPr>
          <w:lang w:val="en-GB"/>
        </w:rPr>
        <w:t>S</w:t>
      </w:r>
      <w:r w:rsidRPr="00FE5721">
        <w:rPr>
          <w:lang w:val="en-GB"/>
        </w:rPr>
        <w:t xml:space="preserve">mell diaries using the same structure of questions and contents as the OdourCollect App were prepared and shared with those who </w:t>
      </w:r>
      <w:r w:rsidR="63055CFC" w:rsidRPr="00FE5721">
        <w:rPr>
          <w:lang w:val="en-GB"/>
        </w:rPr>
        <w:t>were unable to use the application app.</w:t>
      </w:r>
      <w:r w:rsidRPr="00FE5721">
        <w:rPr>
          <w:lang w:val="en-GB"/>
        </w:rPr>
        <w:t xml:space="preserve"> However, the majority of data collected </w:t>
      </w:r>
      <w:r w:rsidR="3E855DE2" w:rsidRPr="00FE5721">
        <w:rPr>
          <w:lang w:val="en-GB"/>
        </w:rPr>
        <w:t xml:space="preserve">derived </w:t>
      </w:r>
      <w:r w:rsidRPr="00FE5721">
        <w:rPr>
          <w:lang w:val="en-GB"/>
        </w:rPr>
        <w:t>from the OdourCollect App, which was the main tool for observing odo</w:t>
      </w:r>
      <w:r w:rsidR="71E1BE74" w:rsidRPr="00FE5721">
        <w:rPr>
          <w:lang w:val="en-GB"/>
        </w:rPr>
        <w:t>u</w:t>
      </w:r>
      <w:r w:rsidRPr="00FE5721">
        <w:rPr>
          <w:lang w:val="en-GB"/>
        </w:rPr>
        <w:t>r incidents</w:t>
      </w:r>
      <w:r w:rsidR="30EF0EA6" w:rsidRPr="00FE5721">
        <w:rPr>
          <w:lang w:val="en-GB"/>
        </w:rPr>
        <w:t>. During the</w:t>
      </w:r>
      <w:r w:rsidR="00197A04">
        <w:rPr>
          <w:lang w:val="en-GB"/>
        </w:rPr>
        <w:t xml:space="preserve"> period of December 2020</w:t>
      </w:r>
      <w:r w:rsidR="005A7945">
        <w:rPr>
          <w:lang w:val="en-GB"/>
        </w:rPr>
        <w:t xml:space="preserve"> until June 2021 of the</w:t>
      </w:r>
      <w:r w:rsidR="30EF0EA6" w:rsidRPr="00FE5721">
        <w:rPr>
          <w:lang w:val="en-GB"/>
        </w:rPr>
        <w:t xml:space="preserve"> pilot application in Thessaloniki approximately 460 observations were recorded, providing evidence about significant odour issues in the three areas of interest</w:t>
      </w:r>
      <w:r w:rsidR="370B65F1" w:rsidRPr="00FE5721">
        <w:rPr>
          <w:lang w:val="en-GB"/>
        </w:rPr>
        <w:t xml:space="preserve"> (Evosmos-Kordelio, Dendropotamos and Kalochori)</w:t>
      </w:r>
      <w:r w:rsidR="30EF0EA6" w:rsidRPr="00FE5721">
        <w:rPr>
          <w:lang w:val="en-GB"/>
        </w:rPr>
        <w:t>. Approximately 350 observations were collected using the smell diaries, while 110 obser</w:t>
      </w:r>
      <w:r w:rsidR="701AF5AC" w:rsidRPr="00FE5721">
        <w:rPr>
          <w:lang w:val="en-GB"/>
        </w:rPr>
        <w:t xml:space="preserve">vations were collected through </w:t>
      </w:r>
      <w:r w:rsidR="30EF0EA6" w:rsidRPr="00FE5721">
        <w:rPr>
          <w:lang w:val="en-GB"/>
        </w:rPr>
        <w:t>the OdourCollect App.</w:t>
      </w:r>
    </w:p>
    <w:p w14:paraId="006A51C7" w14:textId="5C8817F2" w:rsidR="00DF0B47" w:rsidRDefault="2AAF7854" w:rsidP="1219C788">
      <w:pPr>
        <w:pStyle w:val="CETBodytext"/>
        <w:rPr>
          <w:lang w:val="en-GB"/>
        </w:rPr>
      </w:pPr>
      <w:r w:rsidRPr="1219C788">
        <w:rPr>
          <w:lang w:val="en-GB"/>
        </w:rPr>
        <w:t>During the pilot application</w:t>
      </w:r>
      <w:r w:rsidR="00B1446D">
        <w:rPr>
          <w:lang w:val="en-GB"/>
        </w:rPr>
        <w:t>,</w:t>
      </w:r>
      <w:r w:rsidRPr="1219C788">
        <w:rPr>
          <w:lang w:val="en-GB"/>
        </w:rPr>
        <w:t xml:space="preserve"> </w:t>
      </w:r>
      <w:r w:rsidR="57BAFFC7" w:rsidRPr="1219C788">
        <w:rPr>
          <w:lang w:val="en-GB"/>
        </w:rPr>
        <w:t>a 3-layer approach was followed</w:t>
      </w:r>
      <w:r w:rsidRPr="1219C788">
        <w:rPr>
          <w:lang w:val="en-GB"/>
        </w:rPr>
        <w:t xml:space="preserve"> to </w:t>
      </w:r>
      <w:r w:rsidR="041F86AB" w:rsidRPr="1219C788">
        <w:rPr>
          <w:lang w:val="en-GB"/>
        </w:rPr>
        <w:t xml:space="preserve">perform </w:t>
      </w:r>
      <w:r w:rsidRPr="1219C788">
        <w:rPr>
          <w:lang w:val="en-GB"/>
        </w:rPr>
        <w:t>a</w:t>
      </w:r>
      <w:r w:rsidR="30EF0EA6" w:rsidRPr="1219C788">
        <w:rPr>
          <w:lang w:val="en-GB"/>
        </w:rPr>
        <w:t xml:space="preserve"> data plausibility check</w:t>
      </w:r>
      <w:r w:rsidR="1CAA733B" w:rsidRPr="1219C788">
        <w:rPr>
          <w:lang w:val="en-GB"/>
        </w:rPr>
        <w:t xml:space="preserve"> (Figure 3)</w:t>
      </w:r>
      <w:r w:rsidR="00B1446D">
        <w:rPr>
          <w:lang w:val="en-GB"/>
        </w:rPr>
        <w:t>.</w:t>
      </w:r>
      <w:r w:rsidR="006356BA">
        <w:rPr>
          <w:lang w:val="en-GB"/>
        </w:rPr>
        <w:t xml:space="preserve"> T</w:t>
      </w:r>
      <w:r w:rsidR="30EF0EA6" w:rsidRPr="1219C788">
        <w:rPr>
          <w:lang w:val="en-GB"/>
        </w:rPr>
        <w:t>wo sets of measurements with an in-field olfactometer for each of the three areas of interest (Evosmos-Kordelio, Dendropotamos and Kalochori)</w:t>
      </w:r>
      <w:r w:rsidR="2C137853" w:rsidRPr="1219C788">
        <w:rPr>
          <w:lang w:val="en-GB"/>
        </w:rPr>
        <w:t xml:space="preserve"> were conducted</w:t>
      </w:r>
      <w:r w:rsidR="30EF0EA6" w:rsidRPr="1219C788">
        <w:rPr>
          <w:lang w:val="en-GB"/>
        </w:rPr>
        <w:t xml:space="preserve">. The first set </w:t>
      </w:r>
      <w:r w:rsidR="02AE7AAE" w:rsidRPr="1219C788">
        <w:rPr>
          <w:lang w:val="en-GB"/>
        </w:rPr>
        <w:t xml:space="preserve">of measurements </w:t>
      </w:r>
      <w:r w:rsidR="30EF0EA6" w:rsidRPr="1219C788">
        <w:rPr>
          <w:lang w:val="en-GB"/>
        </w:rPr>
        <w:t>w</w:t>
      </w:r>
      <w:r w:rsidR="363AFFE0" w:rsidRPr="1219C788">
        <w:rPr>
          <w:lang w:val="en-GB"/>
        </w:rPr>
        <w:t>ere</w:t>
      </w:r>
      <w:r w:rsidR="30EF0EA6" w:rsidRPr="1219C788">
        <w:rPr>
          <w:lang w:val="en-GB"/>
        </w:rPr>
        <w:t xml:space="preserve"> taken during days that the wind direction was coming from the source under investigation and the second set, during days that the wind direction was coming from the opposite side. The measurements </w:t>
      </w:r>
      <w:r w:rsidR="43333486" w:rsidRPr="1219C788">
        <w:rPr>
          <w:lang w:val="en-GB"/>
        </w:rPr>
        <w:t xml:space="preserve">indicated </w:t>
      </w:r>
      <w:r w:rsidR="30EF0EA6" w:rsidRPr="1219C788">
        <w:rPr>
          <w:lang w:val="en-GB"/>
        </w:rPr>
        <w:t>that during days with wind direction coming from the source towards the point of measurements, the odo</w:t>
      </w:r>
      <w:r w:rsidR="0A454A07" w:rsidRPr="1219C788">
        <w:rPr>
          <w:lang w:val="en-GB"/>
        </w:rPr>
        <w:t>u</w:t>
      </w:r>
      <w:r w:rsidR="30EF0EA6" w:rsidRPr="1219C788">
        <w:rPr>
          <w:lang w:val="en-GB"/>
        </w:rPr>
        <w:t>r concentrations were higher than in the other cases.</w:t>
      </w:r>
      <w:r w:rsidR="0169510E" w:rsidRPr="1219C788">
        <w:rPr>
          <w:lang w:val="en-GB"/>
        </w:rPr>
        <w:t xml:space="preserve"> </w:t>
      </w:r>
      <w:r w:rsidR="0169510E" w:rsidRPr="00FE5721">
        <w:rPr>
          <w:lang w:val="en-GB"/>
        </w:rPr>
        <w:t xml:space="preserve">Following, a </w:t>
      </w:r>
      <w:r w:rsidR="30EF0EA6" w:rsidRPr="00FE5721">
        <w:rPr>
          <w:lang w:val="en-GB"/>
        </w:rPr>
        <w:t xml:space="preserve">validation </w:t>
      </w:r>
      <w:r w:rsidR="42C02480" w:rsidRPr="00FE5721">
        <w:rPr>
          <w:lang w:val="en-GB"/>
        </w:rPr>
        <w:t xml:space="preserve">check </w:t>
      </w:r>
      <w:r w:rsidR="30EF0EA6" w:rsidRPr="00FE5721">
        <w:rPr>
          <w:lang w:val="en-GB"/>
        </w:rPr>
        <w:t>of all observations</w:t>
      </w:r>
      <w:r w:rsidR="1B4B60BA" w:rsidRPr="00FE5721">
        <w:rPr>
          <w:lang w:val="en-GB"/>
        </w:rPr>
        <w:t xml:space="preserve"> was implemented</w:t>
      </w:r>
      <w:r w:rsidR="30EF0EA6" w:rsidRPr="00FE5721">
        <w:rPr>
          <w:lang w:val="en-GB"/>
        </w:rPr>
        <w:t xml:space="preserve">, through a comparison with wind direction during the entire period of data collection. Wind data were acquired from two different sources: the Hellenic National Meteorological Service and the Copernicus database. All observations were checked against the meteorological data and the valid data for </w:t>
      </w:r>
      <w:r w:rsidR="30EF0EA6" w:rsidRPr="1219C788">
        <w:rPr>
          <w:lang w:val="en-GB"/>
        </w:rPr>
        <w:t>Kalochori reached a percentage of 83%, Evosmos-Kordelio 73% and Dendropotamos 68%.</w:t>
      </w:r>
      <w:r w:rsidR="376E9B9D" w:rsidRPr="1219C788">
        <w:rPr>
          <w:lang w:val="en-GB"/>
        </w:rPr>
        <w:t xml:space="preserve"> </w:t>
      </w:r>
      <w:r w:rsidR="76135133" w:rsidRPr="1219C788">
        <w:rPr>
          <w:lang w:val="en-GB"/>
        </w:rPr>
        <w:t xml:space="preserve">Finally, during this pilot phase data analysis was presented </w:t>
      </w:r>
      <w:r w:rsidR="3A9A9AA7" w:rsidRPr="1219C788">
        <w:rPr>
          <w:lang w:val="en-GB"/>
        </w:rPr>
        <w:t xml:space="preserve">to specific group of </w:t>
      </w:r>
      <w:r w:rsidR="3A9A9AA7" w:rsidRPr="1219C788">
        <w:rPr>
          <w:lang w:val="en-GB"/>
        </w:rPr>
        <w:lastRenderedPageBreak/>
        <w:t xml:space="preserve">stakeholders that are aware of the situation in Western Thessaloniki via a </w:t>
      </w:r>
      <w:r w:rsidR="30EF0EA6" w:rsidRPr="1219C788">
        <w:rPr>
          <w:lang w:val="en-GB"/>
        </w:rPr>
        <w:t>public consultation</w:t>
      </w:r>
      <w:r w:rsidR="09FAE231" w:rsidRPr="1219C788">
        <w:rPr>
          <w:lang w:val="en-GB"/>
        </w:rPr>
        <w:t xml:space="preserve"> in order to provide feedback.</w:t>
      </w:r>
      <w:r w:rsidR="30EF0EA6" w:rsidRPr="1219C788">
        <w:rPr>
          <w:lang w:val="en-GB"/>
        </w:rPr>
        <w:t xml:space="preserve"> </w:t>
      </w:r>
    </w:p>
    <w:p w14:paraId="03D091F9" w14:textId="31602EE4" w:rsidR="1219C788" w:rsidRDefault="007666C6" w:rsidP="00353395">
      <w:pPr>
        <w:pStyle w:val="CETCaption"/>
      </w:pPr>
      <w:r w:rsidRPr="007666C6">
        <w:rPr>
          <w:noProof/>
        </w:rPr>
        <w:drawing>
          <wp:inline distT="0" distB="0" distL="0" distR="0" wp14:anchorId="2D7D6B7B" wp14:editId="41EAC57A">
            <wp:extent cx="4635500" cy="1445461"/>
            <wp:effectExtent l="0" t="0" r="0" b="0"/>
            <wp:docPr id="9787820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b="4629"/>
                    <a:stretch/>
                  </pic:blipFill>
                  <pic:spPr bwMode="auto">
                    <a:xfrm>
                      <a:off x="0" y="0"/>
                      <a:ext cx="4638502" cy="1446397"/>
                    </a:xfrm>
                    <a:prstGeom prst="rect">
                      <a:avLst/>
                    </a:prstGeom>
                    <a:noFill/>
                    <a:ln>
                      <a:noFill/>
                    </a:ln>
                    <a:extLst>
                      <a:ext uri="{53640926-AAD7-44D8-BBD7-CCE9431645EC}">
                        <a14:shadowObscured xmlns:a14="http://schemas.microsoft.com/office/drawing/2010/main"/>
                      </a:ext>
                    </a:extLst>
                  </pic:spPr>
                </pic:pic>
              </a:graphicData>
            </a:graphic>
          </wp:inline>
        </w:drawing>
      </w:r>
    </w:p>
    <w:p w14:paraId="5AC4A8FD" w14:textId="64DE1557" w:rsidR="1F526FBE" w:rsidRDefault="37B66446" w:rsidP="1219C788">
      <w:pPr>
        <w:pStyle w:val="CETCaption"/>
        <w:rPr>
          <w:rStyle w:val="CETCaptionCarattere"/>
          <w:i/>
          <w:iCs/>
        </w:rPr>
      </w:pPr>
      <w:r w:rsidRPr="686DD68B">
        <w:rPr>
          <w:rStyle w:val="CETCaptionCarattere"/>
          <w:i/>
          <w:iCs/>
        </w:rPr>
        <w:t xml:space="preserve">Figure 3: </w:t>
      </w:r>
      <w:r w:rsidR="2753F90B" w:rsidRPr="686DD68B">
        <w:rPr>
          <w:rStyle w:val="CETCaptionCarattere"/>
          <w:i/>
          <w:iCs/>
        </w:rPr>
        <w:t>A 3-layer approach to perform a data plausibility check</w:t>
      </w:r>
      <w:r w:rsidR="00B1446D">
        <w:rPr>
          <w:rStyle w:val="CETCaptionCarattere"/>
          <w:i/>
          <w:iCs/>
        </w:rPr>
        <w:t>.</w:t>
      </w:r>
    </w:p>
    <w:p w14:paraId="7377CA2D" w14:textId="1F8A8D52" w:rsidR="00600535" w:rsidRDefault="68FD3F3B" w:rsidP="1B03CCBD">
      <w:pPr>
        <w:pStyle w:val="CETBodytext"/>
        <w:rPr>
          <w:lang w:val="en-GB"/>
        </w:rPr>
      </w:pPr>
      <w:r w:rsidRPr="686DD68B">
        <w:rPr>
          <w:lang w:val="en-GB"/>
        </w:rPr>
        <w:t>Qualitative data gathered from the data collection tools concerned the intensity and the hedonic tone of the observations and the quantitative the number of observations per section of the pilot areas</w:t>
      </w:r>
      <w:r w:rsidR="08F57483" w:rsidRPr="686DD68B">
        <w:rPr>
          <w:lang w:val="en-GB"/>
        </w:rPr>
        <w:t>. Data analysis indicated that</w:t>
      </w:r>
      <w:r w:rsidRPr="686DD68B">
        <w:rPr>
          <w:lang w:val="en-GB"/>
        </w:rPr>
        <w:t xml:space="preserve"> the observations in proximity to the refinery</w:t>
      </w:r>
      <w:r w:rsidR="1461474D" w:rsidRPr="686DD68B">
        <w:rPr>
          <w:lang w:val="en-GB"/>
        </w:rPr>
        <w:t xml:space="preserve"> (Evosmos-Kordelio)</w:t>
      </w:r>
      <w:r w:rsidRPr="686DD68B">
        <w:rPr>
          <w:lang w:val="en-GB"/>
        </w:rPr>
        <w:t xml:space="preserve"> refer to either industrial </w:t>
      </w:r>
      <w:r w:rsidR="588123C7" w:rsidRPr="686DD68B">
        <w:rPr>
          <w:lang w:val="en-GB"/>
        </w:rPr>
        <w:t xml:space="preserve">(95%) </w:t>
      </w:r>
      <w:r w:rsidRPr="686DD68B">
        <w:rPr>
          <w:lang w:val="en-GB"/>
        </w:rPr>
        <w:t xml:space="preserve">or urban smells </w:t>
      </w:r>
      <w:r w:rsidR="20ECE7F5" w:rsidRPr="686DD68B">
        <w:rPr>
          <w:lang w:val="en-GB"/>
        </w:rPr>
        <w:t xml:space="preserve">(4%) </w:t>
      </w:r>
      <w:r w:rsidRPr="686DD68B">
        <w:rPr>
          <w:lang w:val="en-GB"/>
        </w:rPr>
        <w:t xml:space="preserve">(Figure 4). This implies that various industrial activities of petrochemical nature affect the area and at the same time, heavy truck traffic due to </w:t>
      </w:r>
      <w:r w:rsidR="00B96277">
        <w:rPr>
          <w:lang w:val="en-GB"/>
        </w:rPr>
        <w:t>these</w:t>
      </w:r>
      <w:r w:rsidRPr="686DD68B">
        <w:rPr>
          <w:lang w:val="en-GB"/>
        </w:rPr>
        <w:t xml:space="preserve"> industrial activities is also contributing to the overall problem.</w:t>
      </w:r>
      <w:r w:rsidR="2D494178" w:rsidRPr="686DD68B">
        <w:rPr>
          <w:lang w:val="en-GB"/>
        </w:rPr>
        <w:t xml:space="preserve"> On the other hand, </w:t>
      </w:r>
      <w:r w:rsidR="2D494178" w:rsidRPr="008A3CC2">
        <w:rPr>
          <w:lang w:val="en-GB"/>
        </w:rPr>
        <w:t>untreated sea water smells (53%) comprised</w:t>
      </w:r>
      <w:r w:rsidR="2D494178" w:rsidRPr="686DD68B">
        <w:rPr>
          <w:lang w:val="en-GB"/>
        </w:rPr>
        <w:t xml:space="preserve"> the majority of the observations taken in the area around the Dendropotamos river-Menemeni</w:t>
      </w:r>
      <w:r w:rsidR="4DC8B592" w:rsidRPr="686DD68B">
        <w:rPr>
          <w:lang w:val="en-GB"/>
        </w:rPr>
        <w:t>, but also u</w:t>
      </w:r>
      <w:r w:rsidR="2D494178" w:rsidRPr="686DD68B">
        <w:rPr>
          <w:lang w:val="en-GB"/>
        </w:rPr>
        <w:t>rban smells</w:t>
      </w:r>
      <w:r w:rsidR="26DF28F3" w:rsidRPr="686DD68B">
        <w:rPr>
          <w:lang w:val="en-GB"/>
        </w:rPr>
        <w:t xml:space="preserve"> (47%),</w:t>
      </w:r>
      <w:r w:rsidR="2D494178" w:rsidRPr="686DD68B">
        <w:rPr>
          <w:lang w:val="en-GB"/>
        </w:rPr>
        <w:t xml:space="preserve"> such as traffic were noticed, highlighting the problem of trucks passing between industrial and urban areas</w:t>
      </w:r>
      <w:r w:rsidR="37438B13" w:rsidRPr="686DD68B">
        <w:rPr>
          <w:lang w:val="en-GB"/>
        </w:rPr>
        <w:t xml:space="preserve"> (Figure 4)</w:t>
      </w:r>
      <w:r w:rsidR="2D494178" w:rsidRPr="686DD68B">
        <w:rPr>
          <w:lang w:val="en-GB"/>
        </w:rPr>
        <w:t>. The vast majority concerns unpleasant smells with medium intensities.</w:t>
      </w:r>
      <w:r w:rsidR="4FAD77A2" w:rsidRPr="686DD68B">
        <w:rPr>
          <w:lang w:val="en-GB"/>
        </w:rPr>
        <w:t xml:space="preserve"> Observations from the area of Kalochori</w:t>
      </w:r>
      <w:r w:rsidR="086E5D9B" w:rsidRPr="686DD68B">
        <w:rPr>
          <w:lang w:val="en-GB"/>
        </w:rPr>
        <w:t xml:space="preserve"> (in proximity to an industrial area)</w:t>
      </w:r>
      <w:r w:rsidR="4FAD77A2" w:rsidRPr="686DD68B">
        <w:rPr>
          <w:lang w:val="en-GB"/>
        </w:rPr>
        <w:t>, which is further to west of the refinery and the river area (Figure 1), has predominantly nice smells</w:t>
      </w:r>
      <w:r w:rsidR="006E633E">
        <w:rPr>
          <w:lang w:val="en-GB"/>
        </w:rPr>
        <w:t xml:space="preserve"> (e.g. grass, </w:t>
      </w:r>
      <w:r w:rsidR="000C7377">
        <w:rPr>
          <w:lang w:val="en-GB"/>
        </w:rPr>
        <w:t xml:space="preserve">flowers </w:t>
      </w:r>
      <w:r w:rsidR="006E633E">
        <w:rPr>
          <w:lang w:val="en-GB"/>
        </w:rPr>
        <w:t>pleasant</w:t>
      </w:r>
      <w:r w:rsidR="000C7377">
        <w:rPr>
          <w:lang w:val="en-GB"/>
        </w:rPr>
        <w:t>,</w:t>
      </w:r>
      <w:r w:rsidR="006E633E">
        <w:rPr>
          <w:lang w:val="en-GB"/>
        </w:rPr>
        <w:t xml:space="preserve"> smell of food etc.)</w:t>
      </w:r>
      <w:r w:rsidR="69A0CA80" w:rsidRPr="686DD68B">
        <w:rPr>
          <w:lang w:val="en-GB"/>
        </w:rPr>
        <w:t xml:space="preserve"> (64%)</w:t>
      </w:r>
      <w:r w:rsidR="3692EA2D" w:rsidRPr="686DD68B">
        <w:rPr>
          <w:lang w:val="en-GB"/>
        </w:rPr>
        <w:t>, as well as u</w:t>
      </w:r>
      <w:r w:rsidR="4FAD77A2" w:rsidRPr="686DD68B">
        <w:rPr>
          <w:lang w:val="en-GB"/>
        </w:rPr>
        <w:t>rban smells</w:t>
      </w:r>
      <w:r w:rsidR="0752840C" w:rsidRPr="686DD68B">
        <w:rPr>
          <w:lang w:val="en-GB"/>
        </w:rPr>
        <w:t xml:space="preserve"> (36%),</w:t>
      </w:r>
      <w:r w:rsidR="4FAD77A2" w:rsidRPr="686DD68B">
        <w:rPr>
          <w:lang w:val="en-GB"/>
        </w:rPr>
        <w:t xml:space="preserve"> such as heavy truck traffic</w:t>
      </w:r>
      <w:r w:rsidR="3294589D" w:rsidRPr="686DD68B">
        <w:rPr>
          <w:lang w:val="en-GB"/>
        </w:rPr>
        <w:t xml:space="preserve"> </w:t>
      </w:r>
      <w:r w:rsidR="66D49E14" w:rsidRPr="686DD68B">
        <w:rPr>
          <w:lang w:val="en-GB"/>
        </w:rPr>
        <w:t>(Figure 4)</w:t>
      </w:r>
      <w:r w:rsidR="4FAD77A2" w:rsidRPr="686DD68B">
        <w:rPr>
          <w:lang w:val="en-GB"/>
        </w:rPr>
        <w:t>.</w:t>
      </w:r>
    </w:p>
    <w:p w14:paraId="2E0C97FB" w14:textId="1295249F" w:rsidR="00C85974" w:rsidRPr="00C85974" w:rsidRDefault="00C85974" w:rsidP="00C85974">
      <w:pPr>
        <w:pStyle w:val="CETCaption"/>
        <w:rPr>
          <w:rStyle w:val="CETCaptionCarattere"/>
        </w:rPr>
      </w:pPr>
      <w:r>
        <w:rPr>
          <w:noProof/>
        </w:rPr>
        <w:drawing>
          <wp:inline distT="0" distB="0" distL="0" distR="0" wp14:anchorId="187A82B7" wp14:editId="2A2CC52D">
            <wp:extent cx="4584700" cy="2755900"/>
            <wp:effectExtent l="0" t="0" r="6350" b="6350"/>
            <wp:docPr id="1928619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38EB547" w14:textId="7B48CD20" w:rsidR="00600535" w:rsidRPr="00C85974" w:rsidRDefault="68FD3F3B" w:rsidP="686DD68B">
      <w:pPr>
        <w:pStyle w:val="CETCaption"/>
        <w:rPr>
          <w:rStyle w:val="CETCaptionCarattere"/>
          <w:i/>
          <w:iCs/>
        </w:rPr>
      </w:pPr>
      <w:r w:rsidRPr="686DD68B">
        <w:rPr>
          <w:rStyle w:val="CETCaptionCarattere"/>
          <w:i/>
          <w:iCs/>
        </w:rPr>
        <w:t xml:space="preserve">Figure </w:t>
      </w:r>
      <w:r w:rsidR="228F404E" w:rsidRPr="686DD68B">
        <w:rPr>
          <w:rStyle w:val="CETCaptionCarattere"/>
          <w:i/>
          <w:iCs/>
        </w:rPr>
        <w:t>4:</w:t>
      </w:r>
      <w:r w:rsidRPr="686DD68B">
        <w:rPr>
          <w:rStyle w:val="CETCaptionCarattere"/>
          <w:i/>
          <w:iCs/>
        </w:rPr>
        <w:t xml:space="preserve"> The type of </w:t>
      </w:r>
      <w:r w:rsidR="008F11FD" w:rsidRPr="686DD68B">
        <w:rPr>
          <w:rStyle w:val="CETCaptionCarattere"/>
          <w:i/>
          <w:iCs/>
        </w:rPr>
        <w:t>odours</w:t>
      </w:r>
      <w:r w:rsidRPr="686DD68B">
        <w:rPr>
          <w:rStyle w:val="CETCaptionCarattere"/>
          <w:i/>
          <w:iCs/>
        </w:rPr>
        <w:t xml:space="preserve"> observed in </w:t>
      </w:r>
      <w:r w:rsidR="47EA10BA" w:rsidRPr="686DD68B">
        <w:rPr>
          <w:rStyle w:val="CETCaptionCarattere"/>
          <w:i/>
          <w:iCs/>
        </w:rPr>
        <w:t xml:space="preserve">the under-examination </w:t>
      </w:r>
      <w:r w:rsidRPr="686DD68B">
        <w:rPr>
          <w:rStyle w:val="CETCaptionCarattere"/>
          <w:i/>
          <w:iCs/>
        </w:rPr>
        <w:t xml:space="preserve">area </w:t>
      </w:r>
      <w:r w:rsidR="337EB524" w:rsidRPr="686DD68B">
        <w:rPr>
          <w:rStyle w:val="CETCaptionCarattere"/>
          <w:i/>
          <w:iCs/>
        </w:rPr>
        <w:t xml:space="preserve">of </w:t>
      </w:r>
      <w:r w:rsidR="29BAA262" w:rsidRPr="686DD68B">
        <w:rPr>
          <w:rStyle w:val="CETCaptionCarattere"/>
          <w:i/>
          <w:iCs/>
        </w:rPr>
        <w:t>Thessaloniki</w:t>
      </w:r>
      <w:r w:rsidR="00B1446D">
        <w:rPr>
          <w:rStyle w:val="CETCaptionCarattere"/>
          <w:i/>
          <w:iCs/>
        </w:rPr>
        <w:t>.</w:t>
      </w:r>
    </w:p>
    <w:p w14:paraId="68D26B83" w14:textId="77777777" w:rsidR="00600535" w:rsidRPr="00B57B36" w:rsidRDefault="5AABD3A5" w:rsidP="00600535">
      <w:pPr>
        <w:pStyle w:val="CETHeading1"/>
        <w:rPr>
          <w:lang w:val="en-GB"/>
        </w:rPr>
      </w:pPr>
      <w:r w:rsidRPr="686DD68B">
        <w:rPr>
          <w:lang w:val="en-GB"/>
        </w:rPr>
        <w:t>Conclusions</w:t>
      </w:r>
    </w:p>
    <w:p w14:paraId="39BFE5F8" w14:textId="022712AC" w:rsidR="75DC3DBB" w:rsidRDefault="6F48645D" w:rsidP="75DC3DBB">
      <w:pPr>
        <w:pStyle w:val="CETBodytext"/>
        <w:rPr>
          <w:lang w:val="en-GB"/>
        </w:rPr>
      </w:pPr>
      <w:r w:rsidRPr="686DD68B">
        <w:rPr>
          <w:lang w:val="en-GB"/>
        </w:rPr>
        <w:t xml:space="preserve">This paper contributes to understanding odour nuisance and offers insights into effective community-driven interventions to tackle this complex environmental issue. </w:t>
      </w:r>
      <w:r w:rsidR="68C9CCC1" w:rsidRPr="686DD68B">
        <w:rPr>
          <w:lang w:val="en-GB"/>
        </w:rPr>
        <w:t xml:space="preserve">Thessaloniki was selected as a case study region, since researchers can explore the interplay between industrial activities, social dynamics, and environmental quality, ultimately contributing to the development of effective strategies for addressing odour issues and promoting sustainable urban development. </w:t>
      </w:r>
      <w:r w:rsidR="504D431C" w:rsidRPr="686DD68B">
        <w:rPr>
          <w:lang w:val="en-GB"/>
        </w:rPr>
        <w:t xml:space="preserve">The methodology followed successfully engages diverse </w:t>
      </w:r>
      <w:r w:rsidR="504D431C" w:rsidRPr="686DD68B">
        <w:rPr>
          <w:lang w:val="en-GB"/>
        </w:rPr>
        <w:lastRenderedPageBreak/>
        <w:t>communities affected by odour pollution, including those traditionally marginalized or isolated, b</w:t>
      </w:r>
      <w:r w:rsidR="269E9C0B" w:rsidRPr="686DD68B">
        <w:rPr>
          <w:lang w:val="en-GB"/>
        </w:rPr>
        <w:t>y engaging stakeholders and utilizing tools</w:t>
      </w:r>
      <w:r w:rsidR="056B5E05" w:rsidRPr="686DD68B">
        <w:rPr>
          <w:lang w:val="en-GB"/>
        </w:rPr>
        <w:t>,</w:t>
      </w:r>
      <w:r w:rsidR="269E9C0B" w:rsidRPr="686DD68B">
        <w:rPr>
          <w:lang w:val="en-GB"/>
        </w:rPr>
        <w:t xml:space="preserve"> such as the OdourCollect App and smell </w:t>
      </w:r>
      <w:r w:rsidR="00596CF4" w:rsidRPr="686DD68B">
        <w:rPr>
          <w:lang w:val="en-GB"/>
        </w:rPr>
        <w:t>diaries</w:t>
      </w:r>
      <w:r w:rsidR="269E9C0B" w:rsidRPr="686DD68B">
        <w:rPr>
          <w:lang w:val="en-GB"/>
        </w:rPr>
        <w:t xml:space="preserve">. Data analysis from the pilot application validates the existence of odour nuisance in key areas, providing qualitative and quantitative insights into the problem. </w:t>
      </w:r>
    </w:p>
    <w:p w14:paraId="45B2BEB6" w14:textId="45EEC700" w:rsidR="483BF313" w:rsidRDefault="7C9C2B48" w:rsidP="686DD68B">
      <w:pPr>
        <w:pStyle w:val="CETBodytext"/>
        <w:rPr>
          <w:lang w:val="en-GB"/>
        </w:rPr>
      </w:pPr>
      <w:r w:rsidRPr="686DD68B">
        <w:rPr>
          <w:lang w:val="en-GB"/>
        </w:rPr>
        <w:t xml:space="preserve">Public awareness and community engagement are crucial, as they can drive demand for cleaner practices and support for regulatory measures. </w:t>
      </w:r>
      <w:r w:rsidR="4407E264">
        <w:t>The pilot application of the proposed methodology to the key affected areas of the city of Thessaloniki indicated that the willingness of local authorities to participate in collaborative efforts, along with the active involvement of citizen groups with an environmental orientation, creates a conducive environment f</w:t>
      </w:r>
      <w:r w:rsidR="114A4551">
        <w:t>acilitating decision making towards addressing the problem</w:t>
      </w:r>
      <w:r w:rsidR="4407E264">
        <w:t xml:space="preserve">. The establishment of meteorological and ambient air quality monitoring stations within the area further enhances the research infrastructure available for investigating odour </w:t>
      </w:r>
      <w:r w:rsidR="04B96074">
        <w:t>nuisance</w:t>
      </w:r>
      <w:r w:rsidR="4407E264">
        <w:t xml:space="preserve"> and its impacts on the community.</w:t>
      </w:r>
    </w:p>
    <w:p w14:paraId="386C865F" w14:textId="0D29F386" w:rsidR="483BF313" w:rsidRDefault="6C8E9A94" w:rsidP="75DC3DBB">
      <w:pPr>
        <w:pStyle w:val="CETBodytext"/>
        <w:rPr>
          <w:lang w:val="en-GB"/>
        </w:rPr>
      </w:pPr>
      <w:r w:rsidRPr="686DD68B">
        <w:rPr>
          <w:lang w:val="en-GB"/>
        </w:rPr>
        <w:t xml:space="preserve">The results also indicate the diversity of the affected pilot areas in terms of odour emitting activities covered, socio-cultural contexts, type of solutions that can be put in place to mitigate the problem and the level of complexity for implementing them, both at the technical and the stakeholder engagement levels. </w:t>
      </w:r>
      <w:r w:rsidR="3C976F17" w:rsidRPr="686DD68B">
        <w:rPr>
          <w:lang w:val="en-GB"/>
        </w:rPr>
        <w:t>There is a need of</w:t>
      </w:r>
      <w:r w:rsidR="7C9C2B48" w:rsidRPr="686DD68B">
        <w:rPr>
          <w:lang w:val="en-GB"/>
        </w:rPr>
        <w:t xml:space="preserve"> implementing comprehensive strategies to manage and reduce odour pollution</w:t>
      </w:r>
      <w:r w:rsidR="68093762" w:rsidRPr="686DD68B">
        <w:rPr>
          <w:lang w:val="en-GB"/>
        </w:rPr>
        <w:t xml:space="preserve"> in Thessaloniki to</w:t>
      </w:r>
      <w:r w:rsidR="7C9C2B48" w:rsidRPr="686DD68B">
        <w:rPr>
          <w:lang w:val="en-GB"/>
        </w:rPr>
        <w:t xml:space="preserve"> enhance the living conditions for their residents and promote healthier, more sustainable urban environments. </w:t>
      </w:r>
    </w:p>
    <w:p w14:paraId="438C525B" w14:textId="5AC99A6F" w:rsidR="1004FC46" w:rsidRDefault="035BD3C1" w:rsidP="75DC3DBB">
      <w:pPr>
        <w:pStyle w:val="CETBodytext"/>
        <w:rPr>
          <w:lang w:val="en-GB"/>
        </w:rPr>
      </w:pPr>
      <w:r w:rsidRPr="686DD68B">
        <w:rPr>
          <w:lang w:val="en-GB"/>
        </w:rPr>
        <w:t>Finally, it should be mentioned th</w:t>
      </w:r>
      <w:r w:rsidR="00B70DF6">
        <w:rPr>
          <w:lang w:val="en-GB"/>
        </w:rPr>
        <w:t>at</w:t>
      </w:r>
      <w:r w:rsidRPr="686DD68B">
        <w:rPr>
          <w:lang w:val="en-GB"/>
        </w:rPr>
        <w:t xml:space="preserve"> w</w:t>
      </w:r>
      <w:r w:rsidR="1E714856" w:rsidRPr="686DD68B">
        <w:rPr>
          <w:lang w:val="en-GB"/>
        </w:rPr>
        <w:t xml:space="preserve">ithout a harmonized </w:t>
      </w:r>
      <w:r w:rsidR="4287930F" w:rsidRPr="686DD68B">
        <w:rPr>
          <w:lang w:val="en-GB"/>
        </w:rPr>
        <w:t xml:space="preserve">national of event European </w:t>
      </w:r>
      <w:r w:rsidR="1E714856" w:rsidRPr="686DD68B">
        <w:rPr>
          <w:lang w:val="en-GB"/>
        </w:rPr>
        <w:t xml:space="preserve">approach, addressing odour at local level is challenging and leaves citizens who have to deal with odour </w:t>
      </w:r>
      <w:r w:rsidR="00F76097" w:rsidRPr="00F76097">
        <w:rPr>
          <w:lang w:val="en-GB"/>
        </w:rPr>
        <w:t>nuisance</w:t>
      </w:r>
      <w:r w:rsidR="1E714856" w:rsidRPr="686DD68B">
        <w:rPr>
          <w:lang w:val="en-GB"/>
        </w:rPr>
        <w:t xml:space="preserve"> in their daily lives, to their own devices, while odour emitting industries also do not have the benefit of a clear regulatory framework or a continuous monitoring system to adapt their activities.</w:t>
      </w:r>
    </w:p>
    <w:p w14:paraId="459D05E6" w14:textId="77777777" w:rsidR="00600535" w:rsidRPr="00B57B36" w:rsidRDefault="00600535" w:rsidP="00600535">
      <w:pPr>
        <w:pStyle w:val="CETAcknowledgementstitle"/>
      </w:pPr>
      <w:r w:rsidRPr="00B57B36">
        <w:t>Acknowledgments</w:t>
      </w:r>
    </w:p>
    <w:p w14:paraId="33F8138F" w14:textId="27F56519" w:rsidR="00600535" w:rsidRPr="00B57B36" w:rsidRDefault="1A86217D" w:rsidP="7100035D">
      <w:pPr>
        <w:pStyle w:val="CETBodytext"/>
      </w:pPr>
      <w:r w:rsidRPr="7100035D">
        <w:t>The paper is based on research implemented in the framework of the project “D-NOSES - Distributed Network for Odour Sensing Empowerment and Sustainability”. This project has received funding from the European Union’s Horizon 2020 Research and Innovation Programme under Grant Agreement No 789315. The paper’s content is the authors’ responsibility solely and does not necessarily reflect the views of the EC.</w:t>
      </w:r>
    </w:p>
    <w:p w14:paraId="4F1327F8" w14:textId="77777777" w:rsidR="00600535" w:rsidRPr="00B57B36" w:rsidRDefault="00600535" w:rsidP="00600535">
      <w:pPr>
        <w:pStyle w:val="CETReference"/>
      </w:pPr>
      <w:r>
        <w:t>References</w:t>
      </w:r>
    </w:p>
    <w:p w14:paraId="55DEF6E7" w14:textId="791D16B9" w:rsidR="00E65B91" w:rsidRDefault="70F57B3D" w:rsidP="75DC3DBB">
      <w:pPr>
        <w:pStyle w:val="CETReferencetext"/>
      </w:pPr>
      <w:r>
        <w:t>Arias R., Perucca Iannitelli C., Roniotes A., Salas Seoane N., Burbano J., Hernandez M., Capelli L., Uribe J., 2021, Green Paper on Odour Pollution, D-NOSES, H2020-SwafS-23-2017-789315.</w:t>
      </w:r>
    </w:p>
    <w:p w14:paraId="125CA557" w14:textId="5FCBD879" w:rsidR="23924571" w:rsidRDefault="3D44BFBC" w:rsidP="1B03CCBD">
      <w:pPr>
        <w:pStyle w:val="CETReferencetext"/>
      </w:pPr>
      <w:r>
        <w:t>Badach J., Kolasinska P., Paciorek M., Wojnowski W., Dymerski T., Gebeki J., Dymnicka M., N</w:t>
      </w:r>
      <w:r w:rsidR="7C55BAB2">
        <w:t>a</w:t>
      </w:r>
      <w:r>
        <w:t>miesnik, J.</w:t>
      </w:r>
      <w:r w:rsidR="44694A6E">
        <w:t xml:space="preserve">, </w:t>
      </w:r>
      <w:r>
        <w:t>2018</w:t>
      </w:r>
      <w:r w:rsidR="5D8C754F">
        <w:t>,</w:t>
      </w:r>
      <w:r>
        <w:t xml:space="preserve"> A case study of odour nuisance evaluation in the context of integrated urban planning</w:t>
      </w:r>
      <w:r w:rsidR="3E1698FD">
        <w:t>,</w:t>
      </w:r>
      <w:r>
        <w:t xml:space="preserve"> Journal of Environmental Management, 231, 417-424. </w:t>
      </w:r>
      <w:hyperlink r:id="rId18">
        <w:r w:rsidRPr="686DD68B">
          <w:rPr>
            <w:rStyle w:val="Hyperlink"/>
          </w:rPr>
          <w:t>https://doi.org/10.1016/j.jenvman.2018.02.086</w:t>
        </w:r>
      </w:hyperlink>
      <w:r w:rsidR="1F5A0A1B">
        <w:t>.</w:t>
      </w:r>
    </w:p>
    <w:p w14:paraId="0641134B" w14:textId="4E8FF28D" w:rsidR="23924571" w:rsidRDefault="1C0F5D22" w:rsidP="1B03CCBD">
      <w:pPr>
        <w:pStyle w:val="CETReferencetext"/>
      </w:pPr>
      <w:r>
        <w:t xml:space="preserve">Bokowa A., Diaz C., Koziel J.A., McGinley M., Barclay J., Schauberger G., Guillot J-M., Sneath R., Capelli L., Zorich V., </w:t>
      </w:r>
      <w:r w:rsidR="0041F979" w:rsidRPr="686DD68B">
        <w:rPr>
          <w:lang w:val="es-ES"/>
        </w:rPr>
        <w:t xml:space="preserve">Izquierdo C., Bilsen I., Romain A.-C., del Carmen Cabeza M., </w:t>
      </w:r>
      <w:r w:rsidR="0041F979">
        <w:t xml:space="preserve">del Carmen Cabeza M., Liu D., Both R., Van Belois H., Higuchi T., Wahe L., </w:t>
      </w:r>
      <w:r>
        <w:t xml:space="preserve">2021, Summary and Overview of the Odour Regulations Worldwide, Atmosphere, 12(2):206, </w:t>
      </w:r>
      <w:hyperlink r:id="rId19">
        <w:r w:rsidRPr="686DD68B">
          <w:rPr>
            <w:rStyle w:val="Hyperlink"/>
          </w:rPr>
          <w:t>https://doi.org/10.3390/atmos12020206</w:t>
        </w:r>
      </w:hyperlink>
      <w:r>
        <w:t>.</w:t>
      </w:r>
    </w:p>
    <w:p w14:paraId="4867F728" w14:textId="1AD6EE9D" w:rsidR="23924571" w:rsidRDefault="25BCC0DA" w:rsidP="1B03CCBD">
      <w:pPr>
        <w:pStyle w:val="CETReferencetext"/>
      </w:pPr>
      <w:r>
        <w:t xml:space="preserve">Capelli L., Arias R., Uribe-Echevarria J., Sironi S., 2020, Overview of odour measurement methods: the odour observatory as an informative tool for citizen science based approaches to odour management, Detritus, 12, 169-175, </w:t>
      </w:r>
      <w:hyperlink r:id="rId20">
        <w:r w:rsidRPr="686DD68B">
          <w:rPr>
            <w:rStyle w:val="Hyperlink"/>
          </w:rPr>
          <w:t>https://doi.org/10.31025/2611-4135/2020.14003</w:t>
        </w:r>
      </w:hyperlink>
      <w:r>
        <w:t>.</w:t>
      </w:r>
    </w:p>
    <w:p w14:paraId="7C01E863" w14:textId="219E3811" w:rsidR="3BE9C9D4" w:rsidRDefault="54FF34BA" w:rsidP="1B03CCBD">
      <w:pPr>
        <w:pStyle w:val="CETReferencetext"/>
      </w:pPr>
      <w:r>
        <w:t>D-NOSES, 2020, Odour Collect Application, D-NOSES, H2020-SwafS-23-2017-789315.</w:t>
      </w:r>
    </w:p>
    <w:p w14:paraId="1452B73D" w14:textId="2B027107" w:rsidR="00E65B91" w:rsidRDefault="03974FE7" w:rsidP="75DC3DBB">
      <w:pPr>
        <w:pStyle w:val="CETReferencetext"/>
      </w:pPr>
      <w:r>
        <w:t xml:space="preserve">Greenberg M., Curtis J., Vearrier D., 2013, The perception of odor is not a surrogate marker for chemical exposure: A review of factors influencing human odor perception, Clinical toxicology (Philadelphia, Pa.), 51, 70-6. 10.3109/15563650.2013.767908. </w:t>
      </w:r>
    </w:p>
    <w:p w14:paraId="587719CC" w14:textId="0E092E63" w:rsidR="00E65B91" w:rsidRDefault="20301E75" w:rsidP="75DC3DBB">
      <w:pPr>
        <w:pStyle w:val="CETReferencetext"/>
      </w:pPr>
      <w:r>
        <w:t xml:space="preserve">Hayes J.E., Fisher R.M., Stevenson R.J., Stuetz R.M., 2019, Investigation of non-community stakeholders regarding community engagement and environmental malodour, Science of The Total Environment, 665, 546-556, ISSN 0048-9697, </w:t>
      </w:r>
      <w:hyperlink r:id="rId21">
        <w:r w:rsidRPr="686DD68B">
          <w:rPr>
            <w:rStyle w:val="Hyperlink"/>
          </w:rPr>
          <w:t>https://doi.org/10.1016/j.scitotenv.2019.02.137</w:t>
        </w:r>
      </w:hyperlink>
      <w:r>
        <w:t>.</w:t>
      </w:r>
    </w:p>
    <w:p w14:paraId="341B6901" w14:textId="4E44E456" w:rsidR="00170775" w:rsidRPr="004D7AAF" w:rsidRDefault="00170775" w:rsidP="00170775">
      <w:pPr>
        <w:pStyle w:val="CETReferencetext"/>
      </w:pPr>
      <w:r w:rsidRPr="00170775">
        <w:t>Henshaw P</w:t>
      </w:r>
      <w:r>
        <w:t>.,</w:t>
      </w:r>
      <w:r w:rsidRPr="00170775">
        <w:t xml:space="preserve"> Nicell J</w:t>
      </w:r>
      <w:r w:rsidR="002239EB">
        <w:t>.,</w:t>
      </w:r>
      <w:r w:rsidRPr="00170775">
        <w:t xml:space="preserve"> Sikdar A.</w:t>
      </w:r>
      <w:r w:rsidR="00A033F4">
        <w:t xml:space="preserve">, </w:t>
      </w:r>
      <w:r w:rsidRPr="00170775">
        <w:t>2006</w:t>
      </w:r>
      <w:r w:rsidR="00A033F4">
        <w:t>,</w:t>
      </w:r>
      <w:r w:rsidRPr="00170775">
        <w:t xml:space="preserve"> Parameters for the Assessment of Odor Impacts on Communities</w:t>
      </w:r>
      <w:r w:rsidR="00A033F4">
        <w:t>,</w:t>
      </w:r>
      <w:r w:rsidRPr="00170775">
        <w:t xml:space="preserve"> Atmospheric Environment - ATMOS ENVIRON. 40. 1016-1029</w:t>
      </w:r>
      <w:r w:rsidR="00284017">
        <w:t xml:space="preserve">, </w:t>
      </w:r>
      <w:hyperlink r:id="rId22" w:tgtFrame="_blank" w:history="1">
        <w:r w:rsidR="004D7AAF" w:rsidRPr="004D7AAF">
          <w:rPr>
            <w:rStyle w:val="Hyperlink"/>
          </w:rPr>
          <w:t>10.1016/j.atmosenv.2005.11.014</w:t>
        </w:r>
      </w:hyperlink>
      <w:r w:rsidR="004D7AAF" w:rsidRPr="004D7AAF">
        <w:t>.</w:t>
      </w:r>
    </w:p>
    <w:p w14:paraId="0DE1151F" w14:textId="3970D84A" w:rsidR="76AE26FB" w:rsidRDefault="2FB45929" w:rsidP="1B03CCBD">
      <w:pPr>
        <w:pStyle w:val="CETReferencetext"/>
      </w:pPr>
      <w:r>
        <w:t xml:space="preserve">Spennemann D.H.R., Parker M., Bond, J., 2023, Attenuation of Odours in the Urban Outdoor Environment: A Rapid Review and Implications for the Conduct and Interpretation of Smell Walks, Environments, 10, 163. </w:t>
      </w:r>
      <w:hyperlink r:id="rId23">
        <w:r w:rsidRPr="686DD68B">
          <w:rPr>
            <w:rStyle w:val="Hyperlink"/>
          </w:rPr>
          <w:t>https://doi.org/10.3390/environments10090163</w:t>
        </w:r>
      </w:hyperlink>
      <w:r>
        <w:t>.</w:t>
      </w:r>
    </w:p>
    <w:p w14:paraId="3E94E636" w14:textId="73252F0B" w:rsidR="1B03CCBD" w:rsidRDefault="1ED6B23D" w:rsidP="1B03CCBD">
      <w:pPr>
        <w:pStyle w:val="CETReferencetext"/>
      </w:pPr>
      <w:r>
        <w:t xml:space="preserve">Taelman S.E., Tonini D., Wandl A., Dewulf J., 2018, A Holistic Sustainability Framework for Waste Management in European Cities: Concept Development, Sustainability, 10(7):2184, </w:t>
      </w:r>
      <w:hyperlink r:id="rId24">
        <w:r w:rsidRPr="686DD68B">
          <w:rPr>
            <w:rStyle w:val="Hyperlink"/>
          </w:rPr>
          <w:t>https://doi.org/10.3390/su10072184</w:t>
        </w:r>
      </w:hyperlink>
      <w:r>
        <w:t xml:space="preserve">. </w:t>
      </w:r>
    </w:p>
    <w:p w14:paraId="3EACC369" w14:textId="20BF1613" w:rsidR="1B03CCBD" w:rsidRDefault="2DDFC968" w:rsidP="1B03CCBD">
      <w:pPr>
        <w:pStyle w:val="CETReferencetext"/>
      </w:pPr>
      <w:r>
        <w:t>Vlachos S., Karakosta C., Sideri V., Antoniadis K., Siskos A., 2021, Improving the Impact of Odour Nuisance in Thessaloniki: a Stakeholder Engagement Approach, Chemical Engineering Transactions, 85, 133-138.</w:t>
      </w:r>
    </w:p>
    <w:p w14:paraId="215F4EF2" w14:textId="77777777" w:rsidR="00170775" w:rsidRDefault="00170775">
      <w:pPr>
        <w:pStyle w:val="CETReferencetext"/>
      </w:pPr>
    </w:p>
    <w:sectPr w:rsidR="00170775" w:rsidSect="00CA2DF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2D0DE" w14:textId="77777777" w:rsidR="001B0F7D" w:rsidRDefault="001B0F7D" w:rsidP="004F5E36">
      <w:r>
        <w:separator/>
      </w:r>
    </w:p>
  </w:endnote>
  <w:endnote w:type="continuationSeparator" w:id="0">
    <w:p w14:paraId="79244E21" w14:textId="77777777" w:rsidR="001B0F7D" w:rsidRDefault="001B0F7D" w:rsidP="004F5E36">
      <w:r>
        <w:continuationSeparator/>
      </w:r>
    </w:p>
  </w:endnote>
  <w:endnote w:type="continuationNotice" w:id="1">
    <w:p w14:paraId="38572911" w14:textId="77777777" w:rsidR="001B0F7D" w:rsidRDefault="001B0F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dvP6960">
    <w:altName w:val="Cambria"/>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E67EE" w14:textId="77777777" w:rsidR="001B0F7D" w:rsidRDefault="001B0F7D" w:rsidP="004F5E36">
      <w:r>
        <w:separator/>
      </w:r>
    </w:p>
  </w:footnote>
  <w:footnote w:type="continuationSeparator" w:id="0">
    <w:p w14:paraId="60345E6C" w14:textId="77777777" w:rsidR="001B0F7D" w:rsidRDefault="001B0F7D" w:rsidP="004F5E36">
      <w:r>
        <w:continuationSeparator/>
      </w:r>
    </w:p>
  </w:footnote>
  <w:footnote w:type="continuationNotice" w:id="1">
    <w:p w14:paraId="1C1BF38C" w14:textId="77777777" w:rsidR="001B0F7D" w:rsidRDefault="001B0F7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FFFFFFFF">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EF083F"/>
    <w:multiLevelType w:val="hybridMultilevel"/>
    <w:tmpl w:val="A0CAE0AE"/>
    <w:lvl w:ilvl="0" w:tplc="FF7A9718">
      <w:start w:val="1"/>
      <w:numFmt w:val="bullet"/>
      <w:lvlText w:val=""/>
      <w:lvlJc w:val="left"/>
      <w:pPr>
        <w:ind w:left="360" w:hanging="360"/>
      </w:pPr>
      <w:rPr>
        <w:rFonts w:ascii="Symbol" w:hAnsi="Symbol" w:hint="default"/>
      </w:rPr>
    </w:lvl>
    <w:lvl w:ilvl="1" w:tplc="23B8A0E4">
      <w:start w:val="1"/>
      <w:numFmt w:val="bullet"/>
      <w:lvlText w:val="o"/>
      <w:lvlJc w:val="left"/>
      <w:pPr>
        <w:ind w:left="1080" w:hanging="360"/>
      </w:pPr>
      <w:rPr>
        <w:rFonts w:ascii="Courier New" w:hAnsi="Courier New" w:hint="default"/>
      </w:rPr>
    </w:lvl>
    <w:lvl w:ilvl="2" w:tplc="DA6E66A6">
      <w:start w:val="1"/>
      <w:numFmt w:val="bullet"/>
      <w:lvlText w:val=""/>
      <w:lvlJc w:val="left"/>
      <w:pPr>
        <w:ind w:left="1800" w:hanging="360"/>
      </w:pPr>
      <w:rPr>
        <w:rFonts w:ascii="Wingdings" w:hAnsi="Wingdings" w:hint="default"/>
      </w:rPr>
    </w:lvl>
    <w:lvl w:ilvl="3" w:tplc="44D8A82E">
      <w:start w:val="1"/>
      <w:numFmt w:val="bullet"/>
      <w:lvlText w:val=""/>
      <w:lvlJc w:val="left"/>
      <w:pPr>
        <w:ind w:left="2520" w:hanging="360"/>
      </w:pPr>
      <w:rPr>
        <w:rFonts w:ascii="Symbol" w:hAnsi="Symbol" w:hint="default"/>
      </w:rPr>
    </w:lvl>
    <w:lvl w:ilvl="4" w:tplc="9FD0805A">
      <w:start w:val="1"/>
      <w:numFmt w:val="bullet"/>
      <w:lvlText w:val="o"/>
      <w:lvlJc w:val="left"/>
      <w:pPr>
        <w:ind w:left="3240" w:hanging="360"/>
      </w:pPr>
      <w:rPr>
        <w:rFonts w:ascii="Courier New" w:hAnsi="Courier New" w:hint="default"/>
      </w:rPr>
    </w:lvl>
    <w:lvl w:ilvl="5" w:tplc="75F0E3B6">
      <w:start w:val="1"/>
      <w:numFmt w:val="bullet"/>
      <w:lvlText w:val=""/>
      <w:lvlJc w:val="left"/>
      <w:pPr>
        <w:ind w:left="3960" w:hanging="360"/>
      </w:pPr>
      <w:rPr>
        <w:rFonts w:ascii="Wingdings" w:hAnsi="Wingdings" w:hint="default"/>
      </w:rPr>
    </w:lvl>
    <w:lvl w:ilvl="6" w:tplc="4FD63818">
      <w:start w:val="1"/>
      <w:numFmt w:val="bullet"/>
      <w:lvlText w:val=""/>
      <w:lvlJc w:val="left"/>
      <w:pPr>
        <w:ind w:left="4680" w:hanging="360"/>
      </w:pPr>
      <w:rPr>
        <w:rFonts w:ascii="Symbol" w:hAnsi="Symbol" w:hint="default"/>
      </w:rPr>
    </w:lvl>
    <w:lvl w:ilvl="7" w:tplc="3EAA5DFE">
      <w:start w:val="1"/>
      <w:numFmt w:val="bullet"/>
      <w:lvlText w:val="o"/>
      <w:lvlJc w:val="left"/>
      <w:pPr>
        <w:ind w:left="5400" w:hanging="360"/>
      </w:pPr>
      <w:rPr>
        <w:rFonts w:ascii="Courier New" w:hAnsi="Courier New" w:hint="default"/>
      </w:rPr>
    </w:lvl>
    <w:lvl w:ilvl="8" w:tplc="5060DFA4">
      <w:start w:val="1"/>
      <w:numFmt w:val="bullet"/>
      <w:lvlText w:val=""/>
      <w:lvlJc w:val="left"/>
      <w:pPr>
        <w:ind w:left="612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E7FD6"/>
    <w:multiLevelType w:val="hybridMultilevel"/>
    <w:tmpl w:val="A6629560"/>
    <w:lvl w:ilvl="0" w:tplc="149C1892">
      <w:start w:val="1"/>
      <w:numFmt w:val="bullet"/>
      <w:lvlText w:val=""/>
      <w:lvlJc w:val="left"/>
      <w:pPr>
        <w:ind w:left="720" w:hanging="360"/>
      </w:pPr>
      <w:rPr>
        <w:rFonts w:ascii="Symbol" w:hAnsi="Symbol" w:hint="default"/>
      </w:rPr>
    </w:lvl>
    <w:lvl w:ilvl="1" w:tplc="04EC13BC">
      <w:start w:val="1"/>
      <w:numFmt w:val="bullet"/>
      <w:lvlText w:val="o"/>
      <w:lvlJc w:val="left"/>
      <w:pPr>
        <w:ind w:left="1440" w:hanging="360"/>
      </w:pPr>
      <w:rPr>
        <w:rFonts w:ascii="Courier New" w:hAnsi="Courier New" w:hint="default"/>
      </w:rPr>
    </w:lvl>
    <w:lvl w:ilvl="2" w:tplc="50901E5E">
      <w:start w:val="1"/>
      <w:numFmt w:val="bullet"/>
      <w:lvlText w:val=""/>
      <w:lvlJc w:val="left"/>
      <w:pPr>
        <w:ind w:left="2160" w:hanging="360"/>
      </w:pPr>
      <w:rPr>
        <w:rFonts w:ascii="Wingdings" w:hAnsi="Wingdings" w:hint="default"/>
      </w:rPr>
    </w:lvl>
    <w:lvl w:ilvl="3" w:tplc="66E6FDC4">
      <w:start w:val="1"/>
      <w:numFmt w:val="bullet"/>
      <w:lvlText w:val=""/>
      <w:lvlJc w:val="left"/>
      <w:pPr>
        <w:ind w:left="2880" w:hanging="360"/>
      </w:pPr>
      <w:rPr>
        <w:rFonts w:ascii="Symbol" w:hAnsi="Symbol" w:hint="default"/>
      </w:rPr>
    </w:lvl>
    <w:lvl w:ilvl="4" w:tplc="0128C9F8">
      <w:start w:val="1"/>
      <w:numFmt w:val="bullet"/>
      <w:lvlText w:val="o"/>
      <w:lvlJc w:val="left"/>
      <w:pPr>
        <w:ind w:left="3600" w:hanging="360"/>
      </w:pPr>
      <w:rPr>
        <w:rFonts w:ascii="Courier New" w:hAnsi="Courier New" w:hint="default"/>
      </w:rPr>
    </w:lvl>
    <w:lvl w:ilvl="5" w:tplc="AF106C34">
      <w:start w:val="1"/>
      <w:numFmt w:val="bullet"/>
      <w:lvlText w:val=""/>
      <w:lvlJc w:val="left"/>
      <w:pPr>
        <w:ind w:left="4320" w:hanging="360"/>
      </w:pPr>
      <w:rPr>
        <w:rFonts w:ascii="Wingdings" w:hAnsi="Wingdings" w:hint="default"/>
      </w:rPr>
    </w:lvl>
    <w:lvl w:ilvl="6" w:tplc="6C6A8D34">
      <w:start w:val="1"/>
      <w:numFmt w:val="bullet"/>
      <w:lvlText w:val=""/>
      <w:lvlJc w:val="left"/>
      <w:pPr>
        <w:ind w:left="5040" w:hanging="360"/>
      </w:pPr>
      <w:rPr>
        <w:rFonts w:ascii="Symbol" w:hAnsi="Symbol" w:hint="default"/>
      </w:rPr>
    </w:lvl>
    <w:lvl w:ilvl="7" w:tplc="9D949DC6">
      <w:start w:val="1"/>
      <w:numFmt w:val="bullet"/>
      <w:lvlText w:val="o"/>
      <w:lvlJc w:val="left"/>
      <w:pPr>
        <w:ind w:left="5760" w:hanging="360"/>
      </w:pPr>
      <w:rPr>
        <w:rFonts w:ascii="Courier New" w:hAnsi="Courier New" w:hint="default"/>
      </w:rPr>
    </w:lvl>
    <w:lvl w:ilvl="8" w:tplc="249847F6">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928B42C"/>
    <w:multiLevelType w:val="hybridMultilevel"/>
    <w:tmpl w:val="68BC8BB0"/>
    <w:lvl w:ilvl="0" w:tplc="8B92D102">
      <w:start w:val="1"/>
      <w:numFmt w:val="bullet"/>
      <w:lvlText w:val=""/>
      <w:lvlJc w:val="left"/>
      <w:pPr>
        <w:ind w:left="720" w:hanging="360"/>
      </w:pPr>
      <w:rPr>
        <w:rFonts w:ascii="Symbol" w:hAnsi="Symbol" w:hint="default"/>
      </w:rPr>
    </w:lvl>
    <w:lvl w:ilvl="1" w:tplc="C0667C94">
      <w:start w:val="1"/>
      <w:numFmt w:val="bullet"/>
      <w:lvlText w:val="o"/>
      <w:lvlJc w:val="left"/>
      <w:pPr>
        <w:ind w:left="1440" w:hanging="360"/>
      </w:pPr>
      <w:rPr>
        <w:rFonts w:ascii="Courier New" w:hAnsi="Courier New" w:hint="default"/>
      </w:rPr>
    </w:lvl>
    <w:lvl w:ilvl="2" w:tplc="9966630C">
      <w:start w:val="1"/>
      <w:numFmt w:val="bullet"/>
      <w:lvlText w:val=""/>
      <w:lvlJc w:val="left"/>
      <w:pPr>
        <w:ind w:left="2160" w:hanging="360"/>
      </w:pPr>
      <w:rPr>
        <w:rFonts w:ascii="Wingdings" w:hAnsi="Wingdings" w:hint="default"/>
      </w:rPr>
    </w:lvl>
    <w:lvl w:ilvl="3" w:tplc="2EF0F168">
      <w:start w:val="1"/>
      <w:numFmt w:val="bullet"/>
      <w:lvlText w:val=""/>
      <w:lvlJc w:val="left"/>
      <w:pPr>
        <w:ind w:left="2880" w:hanging="360"/>
      </w:pPr>
      <w:rPr>
        <w:rFonts w:ascii="Symbol" w:hAnsi="Symbol" w:hint="default"/>
      </w:rPr>
    </w:lvl>
    <w:lvl w:ilvl="4" w:tplc="E75C4374">
      <w:start w:val="1"/>
      <w:numFmt w:val="bullet"/>
      <w:lvlText w:val="o"/>
      <w:lvlJc w:val="left"/>
      <w:pPr>
        <w:ind w:left="3600" w:hanging="360"/>
      </w:pPr>
      <w:rPr>
        <w:rFonts w:ascii="Courier New" w:hAnsi="Courier New" w:hint="default"/>
      </w:rPr>
    </w:lvl>
    <w:lvl w:ilvl="5" w:tplc="0CDC98C4">
      <w:start w:val="1"/>
      <w:numFmt w:val="bullet"/>
      <w:lvlText w:val=""/>
      <w:lvlJc w:val="left"/>
      <w:pPr>
        <w:ind w:left="4320" w:hanging="360"/>
      </w:pPr>
      <w:rPr>
        <w:rFonts w:ascii="Wingdings" w:hAnsi="Wingdings" w:hint="default"/>
      </w:rPr>
    </w:lvl>
    <w:lvl w:ilvl="6" w:tplc="095EC5AE">
      <w:start w:val="1"/>
      <w:numFmt w:val="bullet"/>
      <w:lvlText w:val=""/>
      <w:lvlJc w:val="left"/>
      <w:pPr>
        <w:ind w:left="5040" w:hanging="360"/>
      </w:pPr>
      <w:rPr>
        <w:rFonts w:ascii="Symbol" w:hAnsi="Symbol" w:hint="default"/>
      </w:rPr>
    </w:lvl>
    <w:lvl w:ilvl="7" w:tplc="4BF45484">
      <w:start w:val="1"/>
      <w:numFmt w:val="bullet"/>
      <w:lvlText w:val="o"/>
      <w:lvlJc w:val="left"/>
      <w:pPr>
        <w:ind w:left="5760" w:hanging="360"/>
      </w:pPr>
      <w:rPr>
        <w:rFonts w:ascii="Courier New" w:hAnsi="Courier New" w:hint="default"/>
      </w:rPr>
    </w:lvl>
    <w:lvl w:ilvl="8" w:tplc="BC94F98C">
      <w:start w:val="1"/>
      <w:numFmt w:val="bullet"/>
      <w:lvlText w:val=""/>
      <w:lvlJc w:val="left"/>
      <w:pPr>
        <w:ind w:left="6480" w:hanging="360"/>
      </w:pPr>
      <w:rPr>
        <w:rFonts w:ascii="Wingdings" w:hAnsi="Wingdings" w:hint="default"/>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43922B8"/>
    <w:multiLevelType w:val="hybridMultilevel"/>
    <w:tmpl w:val="B6B4C202"/>
    <w:lvl w:ilvl="0" w:tplc="6C5ECA30">
      <w:start w:val="1"/>
      <w:numFmt w:val="bullet"/>
      <w:lvlText w:val=""/>
      <w:lvlJc w:val="left"/>
      <w:pPr>
        <w:ind w:left="340" w:hanging="227"/>
      </w:pPr>
      <w:rPr>
        <w:rFonts w:ascii="Symbol" w:hAnsi="Symbol" w:hint="default"/>
      </w:rPr>
    </w:lvl>
    <w:lvl w:ilvl="1" w:tplc="13E80AC4">
      <w:start w:val="1"/>
      <w:numFmt w:val="bullet"/>
      <w:lvlText w:val="o"/>
      <w:lvlJc w:val="left"/>
      <w:pPr>
        <w:ind w:left="1440" w:hanging="360"/>
      </w:pPr>
      <w:rPr>
        <w:rFonts w:ascii="Courier New" w:hAnsi="Courier New" w:hint="default"/>
      </w:rPr>
    </w:lvl>
    <w:lvl w:ilvl="2" w:tplc="6212C048">
      <w:start w:val="1"/>
      <w:numFmt w:val="bullet"/>
      <w:lvlText w:val=""/>
      <w:lvlJc w:val="left"/>
      <w:pPr>
        <w:ind w:left="2160" w:hanging="360"/>
      </w:pPr>
      <w:rPr>
        <w:rFonts w:ascii="Wingdings" w:hAnsi="Wingdings" w:hint="default"/>
      </w:rPr>
    </w:lvl>
    <w:lvl w:ilvl="3" w:tplc="338CD7E4">
      <w:start w:val="1"/>
      <w:numFmt w:val="bullet"/>
      <w:lvlText w:val=""/>
      <w:lvlJc w:val="left"/>
      <w:pPr>
        <w:ind w:left="2880" w:hanging="360"/>
      </w:pPr>
      <w:rPr>
        <w:rFonts w:ascii="Symbol" w:hAnsi="Symbol" w:hint="default"/>
      </w:rPr>
    </w:lvl>
    <w:lvl w:ilvl="4" w:tplc="EF82DA3E">
      <w:start w:val="1"/>
      <w:numFmt w:val="bullet"/>
      <w:lvlText w:val="o"/>
      <w:lvlJc w:val="left"/>
      <w:pPr>
        <w:ind w:left="3600" w:hanging="360"/>
      </w:pPr>
      <w:rPr>
        <w:rFonts w:ascii="Courier New" w:hAnsi="Courier New" w:hint="default"/>
      </w:rPr>
    </w:lvl>
    <w:lvl w:ilvl="5" w:tplc="0D2E119C">
      <w:start w:val="1"/>
      <w:numFmt w:val="bullet"/>
      <w:lvlText w:val=""/>
      <w:lvlJc w:val="left"/>
      <w:pPr>
        <w:ind w:left="4320" w:hanging="360"/>
      </w:pPr>
      <w:rPr>
        <w:rFonts w:ascii="Wingdings" w:hAnsi="Wingdings" w:hint="default"/>
      </w:rPr>
    </w:lvl>
    <w:lvl w:ilvl="6" w:tplc="FA5425D6">
      <w:start w:val="1"/>
      <w:numFmt w:val="bullet"/>
      <w:lvlText w:val=""/>
      <w:lvlJc w:val="left"/>
      <w:pPr>
        <w:ind w:left="5040" w:hanging="360"/>
      </w:pPr>
      <w:rPr>
        <w:rFonts w:ascii="Symbol" w:hAnsi="Symbol" w:hint="default"/>
      </w:rPr>
    </w:lvl>
    <w:lvl w:ilvl="7" w:tplc="E49E4588">
      <w:start w:val="1"/>
      <w:numFmt w:val="bullet"/>
      <w:lvlText w:val="o"/>
      <w:lvlJc w:val="left"/>
      <w:pPr>
        <w:ind w:left="5760" w:hanging="360"/>
      </w:pPr>
      <w:rPr>
        <w:rFonts w:ascii="Courier New" w:hAnsi="Courier New" w:hint="default"/>
      </w:rPr>
    </w:lvl>
    <w:lvl w:ilvl="8" w:tplc="EEC6BCB4">
      <w:start w:val="1"/>
      <w:numFmt w:val="bullet"/>
      <w:lvlText w:val=""/>
      <w:lvlJc w:val="left"/>
      <w:pPr>
        <w:ind w:left="6480" w:hanging="360"/>
      </w:pPr>
      <w:rPr>
        <w:rFonts w:ascii="Wingdings" w:hAnsi="Wingdings" w:hint="default"/>
      </w:r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3772054">
    <w:abstractNumId w:val="15"/>
  </w:num>
  <w:num w:numId="2" w16cid:durableId="1358578743">
    <w:abstractNumId w:val="17"/>
  </w:num>
  <w:num w:numId="3" w16cid:durableId="1462456646">
    <w:abstractNumId w:val="13"/>
  </w:num>
  <w:num w:numId="4" w16cid:durableId="431822060">
    <w:abstractNumId w:val="22"/>
  </w:num>
  <w:num w:numId="5" w16cid:durableId="1316882765">
    <w:abstractNumId w:val="10"/>
  </w:num>
  <w:num w:numId="6" w16cid:durableId="1954094313">
    <w:abstractNumId w:val="8"/>
  </w:num>
  <w:num w:numId="7" w16cid:durableId="2001083081">
    <w:abstractNumId w:val="3"/>
  </w:num>
  <w:num w:numId="8" w16cid:durableId="665287687">
    <w:abstractNumId w:val="2"/>
  </w:num>
  <w:num w:numId="9" w16cid:durableId="1763211618">
    <w:abstractNumId w:val="1"/>
  </w:num>
  <w:num w:numId="10" w16cid:durableId="733351894">
    <w:abstractNumId w:val="0"/>
  </w:num>
  <w:num w:numId="11" w16cid:durableId="1265187038">
    <w:abstractNumId w:val="9"/>
  </w:num>
  <w:num w:numId="12" w16cid:durableId="458382672">
    <w:abstractNumId w:val="7"/>
  </w:num>
  <w:num w:numId="13" w16cid:durableId="652636510">
    <w:abstractNumId w:val="6"/>
  </w:num>
  <w:num w:numId="14" w16cid:durableId="1972591888">
    <w:abstractNumId w:val="5"/>
  </w:num>
  <w:num w:numId="15" w16cid:durableId="1179278139">
    <w:abstractNumId w:val="4"/>
  </w:num>
  <w:num w:numId="16" w16cid:durableId="1575509198">
    <w:abstractNumId w:val="20"/>
  </w:num>
  <w:num w:numId="17" w16cid:durableId="695733619">
    <w:abstractNumId w:val="12"/>
  </w:num>
  <w:num w:numId="18" w16cid:durableId="145903400">
    <w:abstractNumId w:val="21"/>
  </w:num>
  <w:num w:numId="19" w16cid:durableId="19162326">
    <w:abstractNumId w:val="24"/>
  </w:num>
  <w:num w:numId="20" w16cid:durableId="1977102699">
    <w:abstractNumId w:val="23"/>
  </w:num>
  <w:num w:numId="21" w16cid:durableId="860774865">
    <w:abstractNumId w:val="11"/>
  </w:num>
  <w:num w:numId="22" w16cid:durableId="313221457">
    <w:abstractNumId w:val="12"/>
  </w:num>
  <w:num w:numId="23" w16cid:durableId="534971577">
    <w:abstractNumId w:val="19"/>
  </w:num>
  <w:num w:numId="24" w16cid:durableId="1150947773">
    <w:abstractNumId w:val="18"/>
  </w:num>
  <w:num w:numId="25" w16cid:durableId="124660497">
    <w:abstractNumId w:val="16"/>
  </w:num>
  <w:num w:numId="26" w16cid:durableId="20998614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D94"/>
    <w:rsid w:val="000027C0"/>
    <w:rsid w:val="000052FB"/>
    <w:rsid w:val="00005A19"/>
    <w:rsid w:val="000117CB"/>
    <w:rsid w:val="0003148D"/>
    <w:rsid w:val="00031EEC"/>
    <w:rsid w:val="00047907"/>
    <w:rsid w:val="00051566"/>
    <w:rsid w:val="00054288"/>
    <w:rsid w:val="000562A9"/>
    <w:rsid w:val="00062A9A"/>
    <w:rsid w:val="00065058"/>
    <w:rsid w:val="00086C39"/>
    <w:rsid w:val="000A03B2"/>
    <w:rsid w:val="000C33FC"/>
    <w:rsid w:val="000C7377"/>
    <w:rsid w:val="000D0268"/>
    <w:rsid w:val="000D34BE"/>
    <w:rsid w:val="000E102F"/>
    <w:rsid w:val="000E36F1"/>
    <w:rsid w:val="000E3A73"/>
    <w:rsid w:val="000E414A"/>
    <w:rsid w:val="000F093C"/>
    <w:rsid w:val="000F787B"/>
    <w:rsid w:val="001135BC"/>
    <w:rsid w:val="0012091F"/>
    <w:rsid w:val="00126BC2"/>
    <w:rsid w:val="001308B6"/>
    <w:rsid w:val="0013121F"/>
    <w:rsid w:val="00131FE6"/>
    <w:rsid w:val="0013263F"/>
    <w:rsid w:val="001331DF"/>
    <w:rsid w:val="00134DE4"/>
    <w:rsid w:val="0014034D"/>
    <w:rsid w:val="00144D16"/>
    <w:rsid w:val="00150E59"/>
    <w:rsid w:val="00152DE3"/>
    <w:rsid w:val="00156A97"/>
    <w:rsid w:val="00164CF9"/>
    <w:rsid w:val="001667A6"/>
    <w:rsid w:val="00170775"/>
    <w:rsid w:val="001740BE"/>
    <w:rsid w:val="00184AD6"/>
    <w:rsid w:val="00197A04"/>
    <w:rsid w:val="001A4AF7"/>
    <w:rsid w:val="001B0349"/>
    <w:rsid w:val="001B0F7D"/>
    <w:rsid w:val="001B1E93"/>
    <w:rsid w:val="001B65C1"/>
    <w:rsid w:val="001B767E"/>
    <w:rsid w:val="001C586B"/>
    <w:rsid w:val="001C684B"/>
    <w:rsid w:val="001D0CFB"/>
    <w:rsid w:val="001D21AF"/>
    <w:rsid w:val="001D53FC"/>
    <w:rsid w:val="001E6255"/>
    <w:rsid w:val="001F42A5"/>
    <w:rsid w:val="001F7B9D"/>
    <w:rsid w:val="00201C93"/>
    <w:rsid w:val="002224B4"/>
    <w:rsid w:val="002239EB"/>
    <w:rsid w:val="002447EF"/>
    <w:rsid w:val="00251550"/>
    <w:rsid w:val="00263B05"/>
    <w:rsid w:val="0027221A"/>
    <w:rsid w:val="00274108"/>
    <w:rsid w:val="00275B61"/>
    <w:rsid w:val="00280FAF"/>
    <w:rsid w:val="00282656"/>
    <w:rsid w:val="00284017"/>
    <w:rsid w:val="00296B83"/>
    <w:rsid w:val="0029A5D3"/>
    <w:rsid w:val="002B4015"/>
    <w:rsid w:val="002B78CE"/>
    <w:rsid w:val="002C2FB6"/>
    <w:rsid w:val="002D459C"/>
    <w:rsid w:val="002E5FA7"/>
    <w:rsid w:val="002F3309"/>
    <w:rsid w:val="003008CE"/>
    <w:rsid w:val="003009B7"/>
    <w:rsid w:val="00300E56"/>
    <w:rsid w:val="0030152C"/>
    <w:rsid w:val="00302226"/>
    <w:rsid w:val="0030469C"/>
    <w:rsid w:val="00321CA6"/>
    <w:rsid w:val="00323763"/>
    <w:rsid w:val="00323C5F"/>
    <w:rsid w:val="00325CDC"/>
    <w:rsid w:val="00329B91"/>
    <w:rsid w:val="00334C09"/>
    <w:rsid w:val="00344084"/>
    <w:rsid w:val="00344FAF"/>
    <w:rsid w:val="00353395"/>
    <w:rsid w:val="00354B12"/>
    <w:rsid w:val="003621AB"/>
    <w:rsid w:val="00362C7C"/>
    <w:rsid w:val="003723D4"/>
    <w:rsid w:val="00374F0E"/>
    <w:rsid w:val="003761BC"/>
    <w:rsid w:val="00381905"/>
    <w:rsid w:val="00384CC8"/>
    <w:rsid w:val="003871FD"/>
    <w:rsid w:val="003A1E30"/>
    <w:rsid w:val="003A2829"/>
    <w:rsid w:val="003A7D1C"/>
    <w:rsid w:val="003B0866"/>
    <w:rsid w:val="003B304B"/>
    <w:rsid w:val="003B3146"/>
    <w:rsid w:val="003B34A1"/>
    <w:rsid w:val="003C26CF"/>
    <w:rsid w:val="003E3273"/>
    <w:rsid w:val="003F015E"/>
    <w:rsid w:val="003F0C18"/>
    <w:rsid w:val="00400414"/>
    <w:rsid w:val="00403149"/>
    <w:rsid w:val="00411B26"/>
    <w:rsid w:val="0041446B"/>
    <w:rsid w:val="0041F979"/>
    <w:rsid w:val="0042169B"/>
    <w:rsid w:val="00431D67"/>
    <w:rsid w:val="0044071E"/>
    <w:rsid w:val="0044329C"/>
    <w:rsid w:val="00453E24"/>
    <w:rsid w:val="00457456"/>
    <w:rsid w:val="004577FE"/>
    <w:rsid w:val="00457B9C"/>
    <w:rsid w:val="0046019D"/>
    <w:rsid w:val="0046164A"/>
    <w:rsid w:val="004628D2"/>
    <w:rsid w:val="00462DCD"/>
    <w:rsid w:val="004648AD"/>
    <w:rsid w:val="004703A9"/>
    <w:rsid w:val="004760DE"/>
    <w:rsid w:val="004763D7"/>
    <w:rsid w:val="00494C9F"/>
    <w:rsid w:val="004A004E"/>
    <w:rsid w:val="004A24CF"/>
    <w:rsid w:val="004C1B40"/>
    <w:rsid w:val="004C3A1D"/>
    <w:rsid w:val="004C3D1D"/>
    <w:rsid w:val="004C3D84"/>
    <w:rsid w:val="004C7913"/>
    <w:rsid w:val="004D7AAF"/>
    <w:rsid w:val="004E20DD"/>
    <w:rsid w:val="004E4DD6"/>
    <w:rsid w:val="004F5E36"/>
    <w:rsid w:val="004F66A5"/>
    <w:rsid w:val="00507B47"/>
    <w:rsid w:val="00507BEF"/>
    <w:rsid w:val="00507CC9"/>
    <w:rsid w:val="005119A5"/>
    <w:rsid w:val="005278B7"/>
    <w:rsid w:val="00532016"/>
    <w:rsid w:val="005346C8"/>
    <w:rsid w:val="005370DA"/>
    <w:rsid w:val="00543656"/>
    <w:rsid w:val="00543E7D"/>
    <w:rsid w:val="00546086"/>
    <w:rsid w:val="00547A68"/>
    <w:rsid w:val="005531C9"/>
    <w:rsid w:val="00557E00"/>
    <w:rsid w:val="00570C43"/>
    <w:rsid w:val="00572F1B"/>
    <w:rsid w:val="00596CF4"/>
    <w:rsid w:val="005A7945"/>
    <w:rsid w:val="005B2110"/>
    <w:rsid w:val="005B61E6"/>
    <w:rsid w:val="005C77E1"/>
    <w:rsid w:val="005D668A"/>
    <w:rsid w:val="005D6A2F"/>
    <w:rsid w:val="005E1A82"/>
    <w:rsid w:val="005E794C"/>
    <w:rsid w:val="005F0A28"/>
    <w:rsid w:val="005F0E5E"/>
    <w:rsid w:val="005F3B70"/>
    <w:rsid w:val="005F50C1"/>
    <w:rsid w:val="00600535"/>
    <w:rsid w:val="00610CD6"/>
    <w:rsid w:val="006156E6"/>
    <w:rsid w:val="00620DEE"/>
    <w:rsid w:val="00621F92"/>
    <w:rsid w:val="0062280A"/>
    <w:rsid w:val="00625639"/>
    <w:rsid w:val="00631B33"/>
    <w:rsid w:val="006356BA"/>
    <w:rsid w:val="0063597F"/>
    <w:rsid w:val="0064184D"/>
    <w:rsid w:val="006422CC"/>
    <w:rsid w:val="00660E3E"/>
    <w:rsid w:val="00662E74"/>
    <w:rsid w:val="00674ECA"/>
    <w:rsid w:val="00680C23"/>
    <w:rsid w:val="00693766"/>
    <w:rsid w:val="006A3281"/>
    <w:rsid w:val="006B4888"/>
    <w:rsid w:val="006C2E45"/>
    <w:rsid w:val="006C359C"/>
    <w:rsid w:val="006C5579"/>
    <w:rsid w:val="006D5903"/>
    <w:rsid w:val="006D6E8B"/>
    <w:rsid w:val="006E633E"/>
    <w:rsid w:val="006E737D"/>
    <w:rsid w:val="006F70AE"/>
    <w:rsid w:val="00702F59"/>
    <w:rsid w:val="00707DD1"/>
    <w:rsid w:val="00713973"/>
    <w:rsid w:val="00720A24"/>
    <w:rsid w:val="00732386"/>
    <w:rsid w:val="00733AB2"/>
    <w:rsid w:val="0073514D"/>
    <w:rsid w:val="007447F3"/>
    <w:rsid w:val="0075499F"/>
    <w:rsid w:val="007661C8"/>
    <w:rsid w:val="007666C6"/>
    <w:rsid w:val="0077098D"/>
    <w:rsid w:val="00781631"/>
    <w:rsid w:val="007931FA"/>
    <w:rsid w:val="007A2952"/>
    <w:rsid w:val="007A4861"/>
    <w:rsid w:val="007A7BBA"/>
    <w:rsid w:val="007B0C50"/>
    <w:rsid w:val="007B48F9"/>
    <w:rsid w:val="007C1A43"/>
    <w:rsid w:val="007D0951"/>
    <w:rsid w:val="007D76FC"/>
    <w:rsid w:val="0080013E"/>
    <w:rsid w:val="0081046A"/>
    <w:rsid w:val="00813288"/>
    <w:rsid w:val="008168FC"/>
    <w:rsid w:val="00830996"/>
    <w:rsid w:val="00833B6E"/>
    <w:rsid w:val="008345F1"/>
    <w:rsid w:val="008376B3"/>
    <w:rsid w:val="00837EAB"/>
    <w:rsid w:val="0084670F"/>
    <w:rsid w:val="008566C8"/>
    <w:rsid w:val="00865B07"/>
    <w:rsid w:val="008667EA"/>
    <w:rsid w:val="0087637F"/>
    <w:rsid w:val="00892AD5"/>
    <w:rsid w:val="008A1512"/>
    <w:rsid w:val="008A3CC2"/>
    <w:rsid w:val="008B27A2"/>
    <w:rsid w:val="008C462D"/>
    <w:rsid w:val="008D32B9"/>
    <w:rsid w:val="008D433B"/>
    <w:rsid w:val="008D4A16"/>
    <w:rsid w:val="008E566E"/>
    <w:rsid w:val="008F11FD"/>
    <w:rsid w:val="0090161A"/>
    <w:rsid w:val="00901EB6"/>
    <w:rsid w:val="00904C62"/>
    <w:rsid w:val="00922BA8"/>
    <w:rsid w:val="00924DAC"/>
    <w:rsid w:val="00927058"/>
    <w:rsid w:val="00942750"/>
    <w:rsid w:val="00943984"/>
    <w:rsid w:val="009450CE"/>
    <w:rsid w:val="009459BB"/>
    <w:rsid w:val="00947179"/>
    <w:rsid w:val="0095164B"/>
    <w:rsid w:val="00954090"/>
    <w:rsid w:val="009573E7"/>
    <w:rsid w:val="00963E05"/>
    <w:rsid w:val="00964A45"/>
    <w:rsid w:val="00967843"/>
    <w:rsid w:val="00967D54"/>
    <w:rsid w:val="00971028"/>
    <w:rsid w:val="00993B84"/>
    <w:rsid w:val="00996483"/>
    <w:rsid w:val="00996F5A"/>
    <w:rsid w:val="009A5EA0"/>
    <w:rsid w:val="009B041A"/>
    <w:rsid w:val="009C37C3"/>
    <w:rsid w:val="009C7C86"/>
    <w:rsid w:val="009D2FF7"/>
    <w:rsid w:val="009E1590"/>
    <w:rsid w:val="009E7884"/>
    <w:rsid w:val="009E788A"/>
    <w:rsid w:val="009F0E08"/>
    <w:rsid w:val="009F2F27"/>
    <w:rsid w:val="00A0071C"/>
    <w:rsid w:val="00A033F4"/>
    <w:rsid w:val="00A1763D"/>
    <w:rsid w:val="00A17CEC"/>
    <w:rsid w:val="00A2599D"/>
    <w:rsid w:val="00A27EF0"/>
    <w:rsid w:val="00A42361"/>
    <w:rsid w:val="00A50B20"/>
    <w:rsid w:val="00A51390"/>
    <w:rsid w:val="00A60D13"/>
    <w:rsid w:val="00A714EF"/>
    <w:rsid w:val="00A7223D"/>
    <w:rsid w:val="00A72745"/>
    <w:rsid w:val="00A76EFC"/>
    <w:rsid w:val="00A8625F"/>
    <w:rsid w:val="00A87D50"/>
    <w:rsid w:val="00A91010"/>
    <w:rsid w:val="00A97F29"/>
    <w:rsid w:val="00AA29E4"/>
    <w:rsid w:val="00AA702E"/>
    <w:rsid w:val="00AA7D26"/>
    <w:rsid w:val="00AB0964"/>
    <w:rsid w:val="00AB5011"/>
    <w:rsid w:val="00AC7368"/>
    <w:rsid w:val="00AD0503"/>
    <w:rsid w:val="00AD16B9"/>
    <w:rsid w:val="00AE377D"/>
    <w:rsid w:val="00AF0EBA"/>
    <w:rsid w:val="00B02C8A"/>
    <w:rsid w:val="00B1446D"/>
    <w:rsid w:val="00B17FBD"/>
    <w:rsid w:val="00B315A6"/>
    <w:rsid w:val="00B31813"/>
    <w:rsid w:val="00B33365"/>
    <w:rsid w:val="00B53D1A"/>
    <w:rsid w:val="00B57B36"/>
    <w:rsid w:val="00B57E6F"/>
    <w:rsid w:val="00B70DF6"/>
    <w:rsid w:val="00B8686D"/>
    <w:rsid w:val="00B93F69"/>
    <w:rsid w:val="00B96277"/>
    <w:rsid w:val="00B96A53"/>
    <w:rsid w:val="00BA6621"/>
    <w:rsid w:val="00BA77DA"/>
    <w:rsid w:val="00BB1DDC"/>
    <w:rsid w:val="00BC30C9"/>
    <w:rsid w:val="00BD077D"/>
    <w:rsid w:val="00BD0892"/>
    <w:rsid w:val="00BE3E58"/>
    <w:rsid w:val="00C01616"/>
    <w:rsid w:val="00C0162B"/>
    <w:rsid w:val="00C06670"/>
    <w:rsid w:val="00C068ED"/>
    <w:rsid w:val="00C22E0C"/>
    <w:rsid w:val="00C345B1"/>
    <w:rsid w:val="00C40142"/>
    <w:rsid w:val="00C467C9"/>
    <w:rsid w:val="00C52C3C"/>
    <w:rsid w:val="00C57182"/>
    <w:rsid w:val="00C57863"/>
    <w:rsid w:val="00C640AF"/>
    <w:rsid w:val="00C655FD"/>
    <w:rsid w:val="00C752BE"/>
    <w:rsid w:val="00C75407"/>
    <w:rsid w:val="00C841C6"/>
    <w:rsid w:val="00C85974"/>
    <w:rsid w:val="00C870A8"/>
    <w:rsid w:val="00C94434"/>
    <w:rsid w:val="00C97334"/>
    <w:rsid w:val="00CA0D75"/>
    <w:rsid w:val="00CA1C95"/>
    <w:rsid w:val="00CA2DFE"/>
    <w:rsid w:val="00CA5134"/>
    <w:rsid w:val="00CA5A9C"/>
    <w:rsid w:val="00CA7377"/>
    <w:rsid w:val="00CC4C20"/>
    <w:rsid w:val="00CD3517"/>
    <w:rsid w:val="00CD5FE2"/>
    <w:rsid w:val="00CE7C68"/>
    <w:rsid w:val="00D02B4C"/>
    <w:rsid w:val="00D040C4"/>
    <w:rsid w:val="00D138B8"/>
    <w:rsid w:val="00D14ED4"/>
    <w:rsid w:val="00D20AD1"/>
    <w:rsid w:val="00D2582C"/>
    <w:rsid w:val="00D46B7E"/>
    <w:rsid w:val="00D57C84"/>
    <w:rsid w:val="00D6057D"/>
    <w:rsid w:val="00D71640"/>
    <w:rsid w:val="00D76C2A"/>
    <w:rsid w:val="00D770DF"/>
    <w:rsid w:val="00D836C5"/>
    <w:rsid w:val="00D84576"/>
    <w:rsid w:val="00D877E5"/>
    <w:rsid w:val="00D91CA9"/>
    <w:rsid w:val="00DA1399"/>
    <w:rsid w:val="00DA24C6"/>
    <w:rsid w:val="00DA4D7B"/>
    <w:rsid w:val="00DD271C"/>
    <w:rsid w:val="00DE264A"/>
    <w:rsid w:val="00DF0B47"/>
    <w:rsid w:val="00DF5072"/>
    <w:rsid w:val="00E02D18"/>
    <w:rsid w:val="00E041E7"/>
    <w:rsid w:val="00E225B0"/>
    <w:rsid w:val="00E23CA1"/>
    <w:rsid w:val="00E409A8"/>
    <w:rsid w:val="00E50C12"/>
    <w:rsid w:val="00E626BE"/>
    <w:rsid w:val="00E65B91"/>
    <w:rsid w:val="00E7209D"/>
    <w:rsid w:val="00E72EAD"/>
    <w:rsid w:val="00E77223"/>
    <w:rsid w:val="00E8528B"/>
    <w:rsid w:val="00E85B94"/>
    <w:rsid w:val="00E9227C"/>
    <w:rsid w:val="00E978D0"/>
    <w:rsid w:val="00EA4613"/>
    <w:rsid w:val="00EA7F91"/>
    <w:rsid w:val="00EB1523"/>
    <w:rsid w:val="00EB2BE1"/>
    <w:rsid w:val="00EC0E49"/>
    <w:rsid w:val="00EC101F"/>
    <w:rsid w:val="00EC1D9F"/>
    <w:rsid w:val="00EE0131"/>
    <w:rsid w:val="00EE0F63"/>
    <w:rsid w:val="00EE17B0"/>
    <w:rsid w:val="00EEFC15"/>
    <w:rsid w:val="00EF06D9"/>
    <w:rsid w:val="00EF2470"/>
    <w:rsid w:val="00F22DA1"/>
    <w:rsid w:val="00F2DE35"/>
    <w:rsid w:val="00F3049E"/>
    <w:rsid w:val="00F30C64"/>
    <w:rsid w:val="00F32BA2"/>
    <w:rsid w:val="00F32CDB"/>
    <w:rsid w:val="00F565FE"/>
    <w:rsid w:val="00F63A70"/>
    <w:rsid w:val="00F63D8C"/>
    <w:rsid w:val="00F653C7"/>
    <w:rsid w:val="00F66807"/>
    <w:rsid w:val="00F66E4C"/>
    <w:rsid w:val="00F7534E"/>
    <w:rsid w:val="00F76097"/>
    <w:rsid w:val="00F93EDF"/>
    <w:rsid w:val="00F94913"/>
    <w:rsid w:val="00FA1802"/>
    <w:rsid w:val="00FA21D0"/>
    <w:rsid w:val="00FA5F5F"/>
    <w:rsid w:val="00FB730C"/>
    <w:rsid w:val="00FC2695"/>
    <w:rsid w:val="00FC3E03"/>
    <w:rsid w:val="00FC3FC1"/>
    <w:rsid w:val="00FC6E99"/>
    <w:rsid w:val="00FC77F0"/>
    <w:rsid w:val="00FE5721"/>
    <w:rsid w:val="01553199"/>
    <w:rsid w:val="0169510E"/>
    <w:rsid w:val="01C76373"/>
    <w:rsid w:val="01D252AC"/>
    <w:rsid w:val="0202EA35"/>
    <w:rsid w:val="021776D1"/>
    <w:rsid w:val="0291CDFB"/>
    <w:rsid w:val="02944391"/>
    <w:rsid w:val="02AE7AAE"/>
    <w:rsid w:val="033B5AD4"/>
    <w:rsid w:val="03533641"/>
    <w:rsid w:val="035BD3C1"/>
    <w:rsid w:val="03974FE7"/>
    <w:rsid w:val="03FF908F"/>
    <w:rsid w:val="041F86AB"/>
    <w:rsid w:val="0422F307"/>
    <w:rsid w:val="04894EBF"/>
    <w:rsid w:val="048CD25B"/>
    <w:rsid w:val="0496CF03"/>
    <w:rsid w:val="04B96074"/>
    <w:rsid w:val="04C4C720"/>
    <w:rsid w:val="051C911B"/>
    <w:rsid w:val="054313BC"/>
    <w:rsid w:val="056B5E05"/>
    <w:rsid w:val="0585CEA9"/>
    <w:rsid w:val="0590BFD8"/>
    <w:rsid w:val="05C26124"/>
    <w:rsid w:val="05CFC77E"/>
    <w:rsid w:val="06609781"/>
    <w:rsid w:val="068CCA08"/>
    <w:rsid w:val="06CCB2C8"/>
    <w:rsid w:val="06D44828"/>
    <w:rsid w:val="07024649"/>
    <w:rsid w:val="07085226"/>
    <w:rsid w:val="0752840C"/>
    <w:rsid w:val="07617D42"/>
    <w:rsid w:val="07897A95"/>
    <w:rsid w:val="07BE5DF5"/>
    <w:rsid w:val="07C4731D"/>
    <w:rsid w:val="07DDE7F5"/>
    <w:rsid w:val="07EE3EF6"/>
    <w:rsid w:val="07F61EF7"/>
    <w:rsid w:val="07FE1E9A"/>
    <w:rsid w:val="080F4452"/>
    <w:rsid w:val="0836A4F7"/>
    <w:rsid w:val="085CE4A3"/>
    <w:rsid w:val="086E5D9B"/>
    <w:rsid w:val="0879A60D"/>
    <w:rsid w:val="08BEC6EB"/>
    <w:rsid w:val="08CEFE0A"/>
    <w:rsid w:val="08DE97C3"/>
    <w:rsid w:val="08E9472F"/>
    <w:rsid w:val="08ED62F3"/>
    <w:rsid w:val="08F57483"/>
    <w:rsid w:val="08FC26BA"/>
    <w:rsid w:val="0902C863"/>
    <w:rsid w:val="09722841"/>
    <w:rsid w:val="09B8F8AD"/>
    <w:rsid w:val="09F9A5CB"/>
    <w:rsid w:val="09FAE231"/>
    <w:rsid w:val="0A454A07"/>
    <w:rsid w:val="0A547C2B"/>
    <w:rsid w:val="0A719734"/>
    <w:rsid w:val="0A918F7B"/>
    <w:rsid w:val="0ACE9380"/>
    <w:rsid w:val="0BB8F8A2"/>
    <w:rsid w:val="0CB1E656"/>
    <w:rsid w:val="0CCFD905"/>
    <w:rsid w:val="0CF0EB7B"/>
    <w:rsid w:val="0CFEF6E4"/>
    <w:rsid w:val="0D3B0A93"/>
    <w:rsid w:val="0D622916"/>
    <w:rsid w:val="0D96B879"/>
    <w:rsid w:val="0D9AD2EF"/>
    <w:rsid w:val="0DFA372C"/>
    <w:rsid w:val="0E22792C"/>
    <w:rsid w:val="0E2DDB5A"/>
    <w:rsid w:val="0E33B4A1"/>
    <w:rsid w:val="0E400F6E"/>
    <w:rsid w:val="0E55A7E9"/>
    <w:rsid w:val="0E8584B6"/>
    <w:rsid w:val="0EEC827E"/>
    <w:rsid w:val="0FAE2A48"/>
    <w:rsid w:val="0FCF8502"/>
    <w:rsid w:val="1004FC46"/>
    <w:rsid w:val="1083CA4A"/>
    <w:rsid w:val="10892E68"/>
    <w:rsid w:val="10960C0F"/>
    <w:rsid w:val="10C52133"/>
    <w:rsid w:val="10EF5F72"/>
    <w:rsid w:val="10F10BA8"/>
    <w:rsid w:val="10F1A55F"/>
    <w:rsid w:val="114A4551"/>
    <w:rsid w:val="11FE4B62"/>
    <w:rsid w:val="1208027A"/>
    <w:rsid w:val="1219C788"/>
    <w:rsid w:val="12BC617D"/>
    <w:rsid w:val="12C8AF9F"/>
    <w:rsid w:val="130A1A21"/>
    <w:rsid w:val="1357973B"/>
    <w:rsid w:val="137F273E"/>
    <w:rsid w:val="1394B5D2"/>
    <w:rsid w:val="1440D7DF"/>
    <w:rsid w:val="14486E41"/>
    <w:rsid w:val="1456E11D"/>
    <w:rsid w:val="145D6BD3"/>
    <w:rsid w:val="1461474D"/>
    <w:rsid w:val="148F2D6A"/>
    <w:rsid w:val="14B3326C"/>
    <w:rsid w:val="1537A384"/>
    <w:rsid w:val="1564058B"/>
    <w:rsid w:val="16895D3C"/>
    <w:rsid w:val="1697D003"/>
    <w:rsid w:val="174B40D4"/>
    <w:rsid w:val="17A06360"/>
    <w:rsid w:val="17ABA63D"/>
    <w:rsid w:val="17E59DA7"/>
    <w:rsid w:val="17E62BF4"/>
    <w:rsid w:val="18128BAC"/>
    <w:rsid w:val="184D1AC0"/>
    <w:rsid w:val="187637B2"/>
    <w:rsid w:val="18781729"/>
    <w:rsid w:val="18AC6595"/>
    <w:rsid w:val="195FA763"/>
    <w:rsid w:val="198C5CE4"/>
    <w:rsid w:val="199581D9"/>
    <w:rsid w:val="19D147E1"/>
    <w:rsid w:val="19DC48D5"/>
    <w:rsid w:val="1A277DAA"/>
    <w:rsid w:val="1A35FEE7"/>
    <w:rsid w:val="1A86217D"/>
    <w:rsid w:val="1A86E253"/>
    <w:rsid w:val="1AC0FD5A"/>
    <w:rsid w:val="1AC55797"/>
    <w:rsid w:val="1AE4908D"/>
    <w:rsid w:val="1B03CCBD"/>
    <w:rsid w:val="1B4325E8"/>
    <w:rsid w:val="1B4B60BA"/>
    <w:rsid w:val="1B692976"/>
    <w:rsid w:val="1C0F5D22"/>
    <w:rsid w:val="1C538026"/>
    <w:rsid w:val="1CAA733B"/>
    <w:rsid w:val="1CF08229"/>
    <w:rsid w:val="1D44DAA1"/>
    <w:rsid w:val="1E714856"/>
    <w:rsid w:val="1EAAA331"/>
    <w:rsid w:val="1EAF02E8"/>
    <w:rsid w:val="1ED6B23D"/>
    <w:rsid w:val="1F0CA0E5"/>
    <w:rsid w:val="1F20124B"/>
    <w:rsid w:val="1F526FBE"/>
    <w:rsid w:val="1F5A0A1B"/>
    <w:rsid w:val="2014AE79"/>
    <w:rsid w:val="20301E75"/>
    <w:rsid w:val="206B7E25"/>
    <w:rsid w:val="207AFD63"/>
    <w:rsid w:val="20B443F6"/>
    <w:rsid w:val="20ECE7F5"/>
    <w:rsid w:val="21080315"/>
    <w:rsid w:val="2159A5AF"/>
    <w:rsid w:val="216B452D"/>
    <w:rsid w:val="218826F7"/>
    <w:rsid w:val="219667D5"/>
    <w:rsid w:val="21BA55E9"/>
    <w:rsid w:val="21E5784C"/>
    <w:rsid w:val="22074E86"/>
    <w:rsid w:val="224AFDE2"/>
    <w:rsid w:val="228F404E"/>
    <w:rsid w:val="22F7851B"/>
    <w:rsid w:val="23924571"/>
    <w:rsid w:val="23ADB9A2"/>
    <w:rsid w:val="23F3724A"/>
    <w:rsid w:val="243CDFAD"/>
    <w:rsid w:val="24666862"/>
    <w:rsid w:val="248FDFDD"/>
    <w:rsid w:val="24A75B92"/>
    <w:rsid w:val="24B15A42"/>
    <w:rsid w:val="2512D78A"/>
    <w:rsid w:val="2553C9BD"/>
    <w:rsid w:val="255531D3"/>
    <w:rsid w:val="25762B72"/>
    <w:rsid w:val="25BCC0DA"/>
    <w:rsid w:val="26183334"/>
    <w:rsid w:val="269E9C0B"/>
    <w:rsid w:val="26AEA7EB"/>
    <w:rsid w:val="26C2E4B5"/>
    <w:rsid w:val="26DF28F3"/>
    <w:rsid w:val="26FAE353"/>
    <w:rsid w:val="2701FA84"/>
    <w:rsid w:val="2753F90B"/>
    <w:rsid w:val="27FE455A"/>
    <w:rsid w:val="28220D34"/>
    <w:rsid w:val="28A94502"/>
    <w:rsid w:val="292BF299"/>
    <w:rsid w:val="29BAA262"/>
    <w:rsid w:val="29BE24B9"/>
    <w:rsid w:val="29E51F27"/>
    <w:rsid w:val="2A0FBA5A"/>
    <w:rsid w:val="2A279295"/>
    <w:rsid w:val="2A3F547D"/>
    <w:rsid w:val="2A46C68E"/>
    <w:rsid w:val="2AA37611"/>
    <w:rsid w:val="2AAF7854"/>
    <w:rsid w:val="2AC0215F"/>
    <w:rsid w:val="2AC02F25"/>
    <w:rsid w:val="2AE943E6"/>
    <w:rsid w:val="2AF7358C"/>
    <w:rsid w:val="2AF99789"/>
    <w:rsid w:val="2AFE17A3"/>
    <w:rsid w:val="2B590F94"/>
    <w:rsid w:val="2B683DBE"/>
    <w:rsid w:val="2BDB1AD3"/>
    <w:rsid w:val="2BE2BD34"/>
    <w:rsid w:val="2C137853"/>
    <w:rsid w:val="2C2CB632"/>
    <w:rsid w:val="2C3302CD"/>
    <w:rsid w:val="2C56B1CC"/>
    <w:rsid w:val="2D494178"/>
    <w:rsid w:val="2D755890"/>
    <w:rsid w:val="2DD2605F"/>
    <w:rsid w:val="2DDFC968"/>
    <w:rsid w:val="2DE190C9"/>
    <w:rsid w:val="2EE00EE7"/>
    <w:rsid w:val="2EF186AC"/>
    <w:rsid w:val="2F3D2B3D"/>
    <w:rsid w:val="2FB45929"/>
    <w:rsid w:val="30A5EAE1"/>
    <w:rsid w:val="30D18011"/>
    <w:rsid w:val="30EF0EA6"/>
    <w:rsid w:val="3142E18D"/>
    <w:rsid w:val="31467EF3"/>
    <w:rsid w:val="316BDF34"/>
    <w:rsid w:val="319555C4"/>
    <w:rsid w:val="3216B7AA"/>
    <w:rsid w:val="321E386C"/>
    <w:rsid w:val="3257A65A"/>
    <w:rsid w:val="325ECCF3"/>
    <w:rsid w:val="3294589D"/>
    <w:rsid w:val="32A7E7C6"/>
    <w:rsid w:val="32C9DA57"/>
    <w:rsid w:val="32CD1B62"/>
    <w:rsid w:val="333ACDDB"/>
    <w:rsid w:val="33592D5D"/>
    <w:rsid w:val="337EB524"/>
    <w:rsid w:val="33ACCBE2"/>
    <w:rsid w:val="33D21986"/>
    <w:rsid w:val="33F490AF"/>
    <w:rsid w:val="34EB4F4B"/>
    <w:rsid w:val="351D9371"/>
    <w:rsid w:val="35522151"/>
    <w:rsid w:val="35842CB4"/>
    <w:rsid w:val="35CABD19"/>
    <w:rsid w:val="3602E1CC"/>
    <w:rsid w:val="363AFFE0"/>
    <w:rsid w:val="3674F2E3"/>
    <w:rsid w:val="3688DAB9"/>
    <w:rsid w:val="3692EA2D"/>
    <w:rsid w:val="36A94AAA"/>
    <w:rsid w:val="36D65508"/>
    <w:rsid w:val="36F0A8FC"/>
    <w:rsid w:val="370B65F1"/>
    <w:rsid w:val="3712AB4E"/>
    <w:rsid w:val="37438B13"/>
    <w:rsid w:val="376E9B9D"/>
    <w:rsid w:val="37B66446"/>
    <w:rsid w:val="38716068"/>
    <w:rsid w:val="3899600A"/>
    <w:rsid w:val="38A3927C"/>
    <w:rsid w:val="38B4A0A2"/>
    <w:rsid w:val="39511EB2"/>
    <w:rsid w:val="39D054E9"/>
    <w:rsid w:val="39EA7D82"/>
    <w:rsid w:val="3A2A25AA"/>
    <w:rsid w:val="3A9A9AA7"/>
    <w:rsid w:val="3AD7070D"/>
    <w:rsid w:val="3B5544A4"/>
    <w:rsid w:val="3B57E799"/>
    <w:rsid w:val="3BE9C9D4"/>
    <w:rsid w:val="3BEDB1A1"/>
    <w:rsid w:val="3C58FC1E"/>
    <w:rsid w:val="3C976F17"/>
    <w:rsid w:val="3CC7CC3D"/>
    <w:rsid w:val="3CC9E57A"/>
    <w:rsid w:val="3CDB9DCC"/>
    <w:rsid w:val="3CFC3BC8"/>
    <w:rsid w:val="3CFC927B"/>
    <w:rsid w:val="3D00156C"/>
    <w:rsid w:val="3D44BFBC"/>
    <w:rsid w:val="3D7F437E"/>
    <w:rsid w:val="3DDECCAA"/>
    <w:rsid w:val="3DEDD15B"/>
    <w:rsid w:val="3E1698FD"/>
    <w:rsid w:val="3E56E292"/>
    <w:rsid w:val="3E855DE2"/>
    <w:rsid w:val="3E9E032B"/>
    <w:rsid w:val="3EA71D5D"/>
    <w:rsid w:val="3EC97EE0"/>
    <w:rsid w:val="3EF13F64"/>
    <w:rsid w:val="3F33081C"/>
    <w:rsid w:val="3F3F7FBE"/>
    <w:rsid w:val="3F4B90E2"/>
    <w:rsid w:val="3F4D2AE4"/>
    <w:rsid w:val="3FD464DF"/>
    <w:rsid w:val="403F966D"/>
    <w:rsid w:val="409160D7"/>
    <w:rsid w:val="40A95FE3"/>
    <w:rsid w:val="40C23BE0"/>
    <w:rsid w:val="41CD3350"/>
    <w:rsid w:val="422EAE87"/>
    <w:rsid w:val="42343777"/>
    <w:rsid w:val="4287930F"/>
    <w:rsid w:val="42933D3A"/>
    <w:rsid w:val="42C02480"/>
    <w:rsid w:val="43333486"/>
    <w:rsid w:val="435849A2"/>
    <w:rsid w:val="4407E264"/>
    <w:rsid w:val="44244213"/>
    <w:rsid w:val="4452376B"/>
    <w:rsid w:val="44694A6E"/>
    <w:rsid w:val="44F3E3EE"/>
    <w:rsid w:val="450D44AF"/>
    <w:rsid w:val="4564B710"/>
    <w:rsid w:val="459AE08A"/>
    <w:rsid w:val="45BC0928"/>
    <w:rsid w:val="4633B829"/>
    <w:rsid w:val="46593728"/>
    <w:rsid w:val="46D617F4"/>
    <w:rsid w:val="46D8E8F8"/>
    <w:rsid w:val="4748DA47"/>
    <w:rsid w:val="4754927A"/>
    <w:rsid w:val="4787CA39"/>
    <w:rsid w:val="47990576"/>
    <w:rsid w:val="47A39B20"/>
    <w:rsid w:val="47B6BD74"/>
    <w:rsid w:val="47EA10BA"/>
    <w:rsid w:val="483BF313"/>
    <w:rsid w:val="490FFD95"/>
    <w:rsid w:val="4944B946"/>
    <w:rsid w:val="49BAB2F3"/>
    <w:rsid w:val="4A1219BC"/>
    <w:rsid w:val="4A69BA08"/>
    <w:rsid w:val="4A6E9217"/>
    <w:rsid w:val="4B0D94CE"/>
    <w:rsid w:val="4B50AC9D"/>
    <w:rsid w:val="4B54C045"/>
    <w:rsid w:val="4B8586C6"/>
    <w:rsid w:val="4BC7127A"/>
    <w:rsid w:val="4BFFA93B"/>
    <w:rsid w:val="4C0A02A0"/>
    <w:rsid w:val="4C183BBA"/>
    <w:rsid w:val="4CA2EF7A"/>
    <w:rsid w:val="4CA729E9"/>
    <w:rsid w:val="4D01DC2C"/>
    <w:rsid w:val="4D25ED51"/>
    <w:rsid w:val="4D4FA9E5"/>
    <w:rsid w:val="4D9FFE22"/>
    <w:rsid w:val="4DC8B592"/>
    <w:rsid w:val="4DCA4C6F"/>
    <w:rsid w:val="4DF13216"/>
    <w:rsid w:val="4E18B395"/>
    <w:rsid w:val="4E29B94E"/>
    <w:rsid w:val="4E46C160"/>
    <w:rsid w:val="4E6EBA76"/>
    <w:rsid w:val="4EBA41C6"/>
    <w:rsid w:val="4F301B53"/>
    <w:rsid w:val="4F3EE3A3"/>
    <w:rsid w:val="4F5199FE"/>
    <w:rsid w:val="4FAD77A2"/>
    <w:rsid w:val="4FC9CAB6"/>
    <w:rsid w:val="502DD3B6"/>
    <w:rsid w:val="50303E1E"/>
    <w:rsid w:val="50416CDE"/>
    <w:rsid w:val="504D431C"/>
    <w:rsid w:val="50815B40"/>
    <w:rsid w:val="50CF819F"/>
    <w:rsid w:val="516477A5"/>
    <w:rsid w:val="5164F652"/>
    <w:rsid w:val="51CC8990"/>
    <w:rsid w:val="5217E6F2"/>
    <w:rsid w:val="5228967E"/>
    <w:rsid w:val="52510AD5"/>
    <w:rsid w:val="52AC0C01"/>
    <w:rsid w:val="53FD580F"/>
    <w:rsid w:val="54478E4A"/>
    <w:rsid w:val="5466C6BD"/>
    <w:rsid w:val="5469D9B1"/>
    <w:rsid w:val="5471EB5A"/>
    <w:rsid w:val="5495E2C9"/>
    <w:rsid w:val="54A6DEDC"/>
    <w:rsid w:val="54FF34BA"/>
    <w:rsid w:val="551CD404"/>
    <w:rsid w:val="55331FBA"/>
    <w:rsid w:val="55483208"/>
    <w:rsid w:val="556DF4C0"/>
    <w:rsid w:val="56488F56"/>
    <w:rsid w:val="56A53A11"/>
    <w:rsid w:val="56F021C2"/>
    <w:rsid w:val="56FDC7B2"/>
    <w:rsid w:val="5705A7D4"/>
    <w:rsid w:val="5749F588"/>
    <w:rsid w:val="574DDE41"/>
    <w:rsid w:val="57BAFFC7"/>
    <w:rsid w:val="57CFF0E9"/>
    <w:rsid w:val="57D24A7D"/>
    <w:rsid w:val="57D446D4"/>
    <w:rsid w:val="57EE3B6C"/>
    <w:rsid w:val="58026729"/>
    <w:rsid w:val="58410B0A"/>
    <w:rsid w:val="586628C1"/>
    <w:rsid w:val="588123C7"/>
    <w:rsid w:val="58939736"/>
    <w:rsid w:val="58C9126C"/>
    <w:rsid w:val="58E5C5E9"/>
    <w:rsid w:val="5920C6FB"/>
    <w:rsid w:val="59248BEF"/>
    <w:rsid w:val="5929BBFA"/>
    <w:rsid w:val="5953D523"/>
    <w:rsid w:val="59E86A0F"/>
    <w:rsid w:val="5A4218D6"/>
    <w:rsid w:val="5A6B8A83"/>
    <w:rsid w:val="5A81964A"/>
    <w:rsid w:val="5A88B8D4"/>
    <w:rsid w:val="5A9EB950"/>
    <w:rsid w:val="5AABD3A5"/>
    <w:rsid w:val="5B1D68DB"/>
    <w:rsid w:val="5B4A351B"/>
    <w:rsid w:val="5B678B7C"/>
    <w:rsid w:val="5C09AA1E"/>
    <w:rsid w:val="5C32960C"/>
    <w:rsid w:val="5C434A00"/>
    <w:rsid w:val="5C442CC2"/>
    <w:rsid w:val="5C514AAE"/>
    <w:rsid w:val="5C730774"/>
    <w:rsid w:val="5C7DB55B"/>
    <w:rsid w:val="5C987039"/>
    <w:rsid w:val="5C9B3F08"/>
    <w:rsid w:val="5CF8F8D9"/>
    <w:rsid w:val="5CFCDB1D"/>
    <w:rsid w:val="5D05DC71"/>
    <w:rsid w:val="5D71D6B2"/>
    <w:rsid w:val="5D8C754F"/>
    <w:rsid w:val="5DB86D2F"/>
    <w:rsid w:val="5E0ED7D5"/>
    <w:rsid w:val="5E7F306A"/>
    <w:rsid w:val="5E8C774F"/>
    <w:rsid w:val="5EAAA5D1"/>
    <w:rsid w:val="5EBA0827"/>
    <w:rsid w:val="5EBBD2F4"/>
    <w:rsid w:val="5FEEF69A"/>
    <w:rsid w:val="6026FF86"/>
    <w:rsid w:val="6052BA97"/>
    <w:rsid w:val="6084C550"/>
    <w:rsid w:val="609307F9"/>
    <w:rsid w:val="612CB43E"/>
    <w:rsid w:val="616BA518"/>
    <w:rsid w:val="617A745C"/>
    <w:rsid w:val="61C86C85"/>
    <w:rsid w:val="6219E256"/>
    <w:rsid w:val="622ED85A"/>
    <w:rsid w:val="623B3BC6"/>
    <w:rsid w:val="624739AA"/>
    <w:rsid w:val="6276AF8C"/>
    <w:rsid w:val="62A093A3"/>
    <w:rsid w:val="62D4DA23"/>
    <w:rsid w:val="62E069A0"/>
    <w:rsid w:val="62F0BAA2"/>
    <w:rsid w:val="62F96863"/>
    <w:rsid w:val="63031F91"/>
    <w:rsid w:val="63055CFC"/>
    <w:rsid w:val="6310FE6C"/>
    <w:rsid w:val="63274F4B"/>
    <w:rsid w:val="6327D75F"/>
    <w:rsid w:val="6360E5F4"/>
    <w:rsid w:val="63B5FF22"/>
    <w:rsid w:val="63BCD8F6"/>
    <w:rsid w:val="63E3EAA3"/>
    <w:rsid w:val="63E8DEAF"/>
    <w:rsid w:val="63EEAA83"/>
    <w:rsid w:val="63F73E56"/>
    <w:rsid w:val="641F5077"/>
    <w:rsid w:val="645B0125"/>
    <w:rsid w:val="6469726B"/>
    <w:rsid w:val="64A805D8"/>
    <w:rsid w:val="64C305DC"/>
    <w:rsid w:val="65575839"/>
    <w:rsid w:val="656C6FA0"/>
    <w:rsid w:val="657ABB4A"/>
    <w:rsid w:val="65902EEB"/>
    <w:rsid w:val="65B57353"/>
    <w:rsid w:val="65F52EAB"/>
    <w:rsid w:val="65FE628B"/>
    <w:rsid w:val="660CD1C6"/>
    <w:rsid w:val="6671C9E4"/>
    <w:rsid w:val="66D49E14"/>
    <w:rsid w:val="671CEF46"/>
    <w:rsid w:val="68093762"/>
    <w:rsid w:val="68479CC3"/>
    <w:rsid w:val="686DD68B"/>
    <w:rsid w:val="68C9CCC1"/>
    <w:rsid w:val="68CD9313"/>
    <w:rsid w:val="68FD3F3B"/>
    <w:rsid w:val="6927ADAD"/>
    <w:rsid w:val="694EE752"/>
    <w:rsid w:val="69A0CA80"/>
    <w:rsid w:val="6A32F574"/>
    <w:rsid w:val="6A464DAB"/>
    <w:rsid w:val="6A9B662A"/>
    <w:rsid w:val="6ACD56E1"/>
    <w:rsid w:val="6ADFFDA9"/>
    <w:rsid w:val="6AF54863"/>
    <w:rsid w:val="6B326C47"/>
    <w:rsid w:val="6B36C01C"/>
    <w:rsid w:val="6B6B60A5"/>
    <w:rsid w:val="6B729A60"/>
    <w:rsid w:val="6B9F2B7F"/>
    <w:rsid w:val="6BBB6822"/>
    <w:rsid w:val="6BD43294"/>
    <w:rsid w:val="6C18E112"/>
    <w:rsid w:val="6C350D2A"/>
    <w:rsid w:val="6C4F4D20"/>
    <w:rsid w:val="6C82F5E4"/>
    <w:rsid w:val="6C8E9A94"/>
    <w:rsid w:val="6CF50E69"/>
    <w:rsid w:val="6D47E2D2"/>
    <w:rsid w:val="6D8F81F3"/>
    <w:rsid w:val="6DE03710"/>
    <w:rsid w:val="6DFB1ED0"/>
    <w:rsid w:val="6E0C85A9"/>
    <w:rsid w:val="6E213486"/>
    <w:rsid w:val="6E2C2AB8"/>
    <w:rsid w:val="6E6BB27B"/>
    <w:rsid w:val="6EAC7124"/>
    <w:rsid w:val="6EDF2EF0"/>
    <w:rsid w:val="6EE96B3D"/>
    <w:rsid w:val="6F285B87"/>
    <w:rsid w:val="6F48645D"/>
    <w:rsid w:val="6F48D8BE"/>
    <w:rsid w:val="6F6F2E3A"/>
    <w:rsid w:val="6F96EF31"/>
    <w:rsid w:val="6FCDE625"/>
    <w:rsid w:val="6FF49F56"/>
    <w:rsid w:val="7002EF1F"/>
    <w:rsid w:val="701AF5AC"/>
    <w:rsid w:val="7031FD7A"/>
    <w:rsid w:val="708F2DD8"/>
    <w:rsid w:val="70C01944"/>
    <w:rsid w:val="70D25490"/>
    <w:rsid w:val="70F36E7C"/>
    <w:rsid w:val="70F57B3D"/>
    <w:rsid w:val="70F5C0C1"/>
    <w:rsid w:val="7100035D"/>
    <w:rsid w:val="71487CE9"/>
    <w:rsid w:val="7171C284"/>
    <w:rsid w:val="71D4C5F4"/>
    <w:rsid w:val="71E1BE74"/>
    <w:rsid w:val="71E71B3C"/>
    <w:rsid w:val="720AEAEB"/>
    <w:rsid w:val="72C9F32E"/>
    <w:rsid w:val="72CE8FF3"/>
    <w:rsid w:val="72E3EBB6"/>
    <w:rsid w:val="7300606A"/>
    <w:rsid w:val="7334235C"/>
    <w:rsid w:val="7341885B"/>
    <w:rsid w:val="73739CAD"/>
    <w:rsid w:val="739C91D4"/>
    <w:rsid w:val="73A2597C"/>
    <w:rsid w:val="73B58463"/>
    <w:rsid w:val="7405888F"/>
    <w:rsid w:val="7428DD9D"/>
    <w:rsid w:val="74860A25"/>
    <w:rsid w:val="749C2AA9"/>
    <w:rsid w:val="74A3ACEB"/>
    <w:rsid w:val="74E8CA3F"/>
    <w:rsid w:val="752D2ABF"/>
    <w:rsid w:val="75D45C08"/>
    <w:rsid w:val="75DC3DBB"/>
    <w:rsid w:val="76135133"/>
    <w:rsid w:val="764B8E3E"/>
    <w:rsid w:val="76A3F3B8"/>
    <w:rsid w:val="76AE26FB"/>
    <w:rsid w:val="76B50751"/>
    <w:rsid w:val="76C49500"/>
    <w:rsid w:val="77128B08"/>
    <w:rsid w:val="77231B70"/>
    <w:rsid w:val="7752C778"/>
    <w:rsid w:val="7830F1D1"/>
    <w:rsid w:val="786519A6"/>
    <w:rsid w:val="788A91A5"/>
    <w:rsid w:val="7904E1F5"/>
    <w:rsid w:val="794D3FC7"/>
    <w:rsid w:val="7950B08E"/>
    <w:rsid w:val="79864DC2"/>
    <w:rsid w:val="7995169C"/>
    <w:rsid w:val="79E5AF7B"/>
    <w:rsid w:val="7A5735AA"/>
    <w:rsid w:val="7A8D796E"/>
    <w:rsid w:val="7A9BD902"/>
    <w:rsid w:val="7AD9F518"/>
    <w:rsid w:val="7AF6B866"/>
    <w:rsid w:val="7B503468"/>
    <w:rsid w:val="7B8DFD82"/>
    <w:rsid w:val="7BBB54DA"/>
    <w:rsid w:val="7BDF1AA4"/>
    <w:rsid w:val="7C002F5C"/>
    <w:rsid w:val="7C55BAB2"/>
    <w:rsid w:val="7C6BF518"/>
    <w:rsid w:val="7C7978E8"/>
    <w:rsid w:val="7C81C075"/>
    <w:rsid w:val="7C9C2B48"/>
    <w:rsid w:val="7D11B39F"/>
    <w:rsid w:val="7DD0B60D"/>
    <w:rsid w:val="7E022975"/>
    <w:rsid w:val="7E8C3243"/>
    <w:rsid w:val="7EC59E44"/>
    <w:rsid w:val="7EC8BF2C"/>
    <w:rsid w:val="7ECF4CD1"/>
    <w:rsid w:val="7F2A7842"/>
    <w:rsid w:val="7F719A89"/>
    <w:rsid w:val="7F90BB80"/>
    <w:rsid w:val="7FCB952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5"/>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5"/>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5"/>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6"/>
      </w:numPr>
      <w:contextualSpacing/>
    </w:pPr>
  </w:style>
  <w:style w:type="paragraph" w:styleId="ListNumber2">
    <w:name w:val="List Number 2"/>
    <w:basedOn w:val="Normal"/>
    <w:uiPriority w:val="99"/>
    <w:semiHidden/>
    <w:unhideWhenUsed/>
    <w:rsid w:val="0003148D"/>
    <w:pPr>
      <w:numPr>
        <w:numId w:val="7"/>
      </w:numPr>
      <w:contextualSpacing/>
    </w:pPr>
  </w:style>
  <w:style w:type="paragraph" w:styleId="ListNumber3">
    <w:name w:val="List Number 3"/>
    <w:basedOn w:val="Normal"/>
    <w:uiPriority w:val="99"/>
    <w:semiHidden/>
    <w:unhideWhenUsed/>
    <w:rsid w:val="0003148D"/>
    <w:pPr>
      <w:numPr>
        <w:numId w:val="8"/>
      </w:numPr>
      <w:contextualSpacing/>
    </w:pPr>
  </w:style>
  <w:style w:type="paragraph" w:styleId="ListNumber4">
    <w:name w:val="List Number 4"/>
    <w:basedOn w:val="Normal"/>
    <w:uiPriority w:val="99"/>
    <w:semiHidden/>
    <w:unhideWhenUsed/>
    <w:rsid w:val="0003148D"/>
    <w:pPr>
      <w:numPr>
        <w:numId w:val="9"/>
      </w:numPr>
      <w:contextualSpacing/>
    </w:pPr>
  </w:style>
  <w:style w:type="paragraph" w:styleId="ListNumber5">
    <w:name w:val="List Number 5"/>
    <w:basedOn w:val="Normal"/>
    <w:uiPriority w:val="99"/>
    <w:semiHidden/>
    <w:unhideWhenUsed/>
    <w:rsid w:val="0003148D"/>
    <w:pPr>
      <w:numPr>
        <w:numId w:val="10"/>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11"/>
      </w:numPr>
      <w:contextualSpacing/>
    </w:pPr>
  </w:style>
  <w:style w:type="paragraph" w:styleId="ListBullet2">
    <w:name w:val="List Bullet 2"/>
    <w:basedOn w:val="Normal"/>
    <w:uiPriority w:val="99"/>
    <w:semiHidden/>
    <w:unhideWhenUsed/>
    <w:rsid w:val="0003148D"/>
    <w:pPr>
      <w:numPr>
        <w:numId w:val="12"/>
      </w:numPr>
      <w:contextualSpacing/>
    </w:pPr>
  </w:style>
  <w:style w:type="paragraph" w:styleId="ListBullet3">
    <w:name w:val="List Bullet 3"/>
    <w:basedOn w:val="Normal"/>
    <w:uiPriority w:val="99"/>
    <w:semiHidden/>
    <w:unhideWhenUsed/>
    <w:rsid w:val="0003148D"/>
    <w:pPr>
      <w:numPr>
        <w:numId w:val="13"/>
      </w:numPr>
      <w:contextualSpacing/>
    </w:pPr>
  </w:style>
  <w:style w:type="paragraph" w:styleId="ListBullet4">
    <w:name w:val="List Bullet 4"/>
    <w:basedOn w:val="Normal"/>
    <w:uiPriority w:val="99"/>
    <w:semiHidden/>
    <w:unhideWhenUsed/>
    <w:rsid w:val="0003148D"/>
    <w:pPr>
      <w:numPr>
        <w:numId w:val="14"/>
      </w:numPr>
      <w:contextualSpacing/>
    </w:pPr>
  </w:style>
  <w:style w:type="paragraph" w:styleId="ListBullet5">
    <w:name w:val="List Bullet 5"/>
    <w:basedOn w:val="Normal"/>
    <w:uiPriority w:val="99"/>
    <w:semiHidden/>
    <w:unhideWhenUsed/>
    <w:rsid w:val="0003148D"/>
    <w:pPr>
      <w:numPr>
        <w:numId w:val="15"/>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7"/>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8"/>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9"/>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paragraph" w:styleId="Revision">
    <w:name w:val="Revision"/>
    <w:hidden/>
    <w:uiPriority w:val="99"/>
    <w:semiHidden/>
    <w:rsid w:val="007D76FC"/>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4941642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sideri@envirometrics.gr" TargetMode="External"/><Relationship Id="rId18" Type="http://schemas.openxmlformats.org/officeDocument/2006/relationships/hyperlink" Target="https://doi.org/10.1016/j.jenvman.2018.02.08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i.org/10.1016/j.scitotenv.2019.02.137"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doi.org/10.31025/2611-4135/2020.140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oi.org/10.3390/su10072184" TargetMode="Externa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doi.org/10.3390/environments10090163" TargetMode="External"/><Relationship Id="rId10" Type="http://schemas.openxmlformats.org/officeDocument/2006/relationships/endnotes" Target="endnotes.xml"/><Relationship Id="rId19" Type="http://schemas.openxmlformats.org/officeDocument/2006/relationships/hyperlink" Target="https://doi.org/10.3390/atmos120202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dx.doi.org/10.1016/j.atmosenv.2005.11.01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A7C9F60DDDA4B8A4F4F95DD52D0F7" ma:contentTypeVersion="4" ma:contentTypeDescription="Create a new document." ma:contentTypeScope="" ma:versionID="379eb70fc79f7e35327b7b42670e762f">
  <xsd:schema xmlns:xsd="http://www.w3.org/2001/XMLSchema" xmlns:xs="http://www.w3.org/2001/XMLSchema" xmlns:p="http://schemas.microsoft.com/office/2006/metadata/properties" xmlns:ns2="0b9e7757-a54d-45e4-96eb-45aa856714bf" targetNamespace="http://schemas.microsoft.com/office/2006/metadata/properties" ma:root="true" ma:fieldsID="40aff9901802cc1962ce4ea2dff778e7" ns2:_="">
    <xsd:import namespace="0b9e7757-a54d-45e4-96eb-45aa856714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7757-a54d-45e4-96eb-45aa85671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AE6F8-1F7B-4D04-9F23-FF6031BD1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e7757-a54d-45e4-96eb-45aa85671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6F7D79-2A78-4EF0-8C60-CF9933BAFE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BC1E97-F535-4EEE-99CF-E0BE9940681D}">
  <ds:schemaRefs>
    <ds:schemaRef ds:uri="http://schemas.microsoft.com/sharepoint/v3/contenttype/forms"/>
  </ds:schemaRefs>
</ds:datastoreItem>
</file>

<file path=customXml/itemProps4.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Metadata/LabelInfo.xml><?xml version="1.0" encoding="utf-8"?>
<clbl:labelList xmlns:clbl="http://schemas.microsoft.com/office/2020/mipLabelMetadata">
  <clbl:label id="{9cb837f7-5e49-4416-8776-fde66e005267}" enabled="1" method="Standard" siteId="{1998f5f4-507b-4bba-aec4-87754c64edc9}" removed="0"/>
</clbl:labelList>
</file>

<file path=docProps/app.xml><?xml version="1.0" encoding="utf-8"?>
<Properties xmlns="http://schemas.openxmlformats.org/officeDocument/2006/extended-properties" xmlns:vt="http://schemas.openxmlformats.org/officeDocument/2006/docPropsVTypes">
  <Template>Normal.dotm</Template>
  <TotalTime>180</TotalTime>
  <Pages>6</Pages>
  <Words>3305</Words>
  <Characters>17849</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Dipartimento CMIC - Politecnico di Milano</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Chara Karakosta</cp:lastModifiedBy>
  <cp:revision>59</cp:revision>
  <cp:lastPrinted>2015-05-12T18:31:00Z</cp:lastPrinted>
  <dcterms:created xsi:type="dcterms:W3CDTF">2024-06-21T12:22:00Z</dcterms:created>
  <dcterms:modified xsi:type="dcterms:W3CDTF">2024-07-01T15:39:00Z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0x010100EF6A7C9F60DDDA4B8A4F4F95DD52D0F7</vt:lpwstr>
  </property>
</Properties>
</file>