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405395"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405395" w:rsidRDefault="000A03B2" w:rsidP="001B64DE">
            <w:pPr>
              <w:tabs>
                <w:tab w:val="left" w:pos="-108"/>
              </w:tabs>
              <w:jc w:val="left"/>
              <w:rPr>
                <w:rFonts w:cs="Arial"/>
                <w:b/>
                <w:bCs/>
                <w:i/>
                <w:iCs/>
                <w:color w:val="000066"/>
                <w:sz w:val="12"/>
                <w:szCs w:val="12"/>
                <w:lang w:eastAsia="it-IT"/>
              </w:rPr>
            </w:pPr>
            <w:r w:rsidRPr="00405395">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405395">
              <w:rPr>
                <w:rFonts w:ascii="AdvP6960" w:hAnsi="AdvP6960" w:cs="AdvP6960"/>
                <w:color w:val="241F20"/>
                <w:szCs w:val="18"/>
                <w:lang w:eastAsia="it-IT"/>
              </w:rPr>
              <w:t xml:space="preserve"> </w:t>
            </w:r>
            <w:r w:rsidRPr="00405395">
              <w:rPr>
                <w:rFonts w:cs="Arial"/>
                <w:b/>
                <w:bCs/>
                <w:i/>
                <w:iCs/>
                <w:color w:val="000066"/>
                <w:sz w:val="24"/>
                <w:szCs w:val="24"/>
                <w:lang w:eastAsia="it-IT"/>
              </w:rPr>
              <w:t>CHEMICAL ENGINEERING</w:t>
            </w:r>
            <w:r w:rsidRPr="00405395">
              <w:rPr>
                <w:rFonts w:cs="Arial"/>
                <w:b/>
                <w:bCs/>
                <w:i/>
                <w:iCs/>
                <w:color w:val="0033FF"/>
                <w:sz w:val="24"/>
                <w:szCs w:val="24"/>
                <w:lang w:eastAsia="it-IT"/>
              </w:rPr>
              <w:t xml:space="preserve"> </w:t>
            </w:r>
            <w:r w:rsidRPr="00405395">
              <w:rPr>
                <w:rFonts w:cs="Arial"/>
                <w:b/>
                <w:bCs/>
                <w:i/>
                <w:iCs/>
                <w:color w:val="666666"/>
                <w:sz w:val="24"/>
                <w:szCs w:val="24"/>
                <w:lang w:eastAsia="it-IT"/>
              </w:rPr>
              <w:t>TRANSACTIONS</w:t>
            </w:r>
            <w:r w:rsidRPr="00405395">
              <w:rPr>
                <w:color w:val="333333"/>
                <w:sz w:val="24"/>
                <w:szCs w:val="24"/>
                <w:lang w:eastAsia="it-IT"/>
              </w:rPr>
              <w:t xml:space="preserve"> </w:t>
            </w:r>
            <w:r w:rsidRPr="00405395">
              <w:rPr>
                <w:rFonts w:cs="Arial"/>
                <w:b/>
                <w:bCs/>
                <w:i/>
                <w:iCs/>
                <w:color w:val="000066"/>
                <w:sz w:val="27"/>
                <w:szCs w:val="27"/>
                <w:lang w:eastAsia="it-IT"/>
              </w:rPr>
              <w:br/>
            </w:r>
          </w:p>
          <w:p w14:paraId="4B780582" w14:textId="6D43D9E9" w:rsidR="000A03B2" w:rsidRPr="00405395" w:rsidRDefault="00A76EFC" w:rsidP="001D21AF">
            <w:pPr>
              <w:tabs>
                <w:tab w:val="left" w:pos="-108"/>
              </w:tabs>
              <w:ind w:left="-108"/>
              <w:rPr>
                <w:rFonts w:cs="Arial"/>
                <w:b/>
                <w:bCs/>
                <w:i/>
                <w:iCs/>
                <w:color w:val="000066"/>
                <w:sz w:val="22"/>
                <w:szCs w:val="22"/>
                <w:lang w:eastAsia="it-IT"/>
              </w:rPr>
            </w:pPr>
            <w:r w:rsidRPr="00405395">
              <w:rPr>
                <w:rFonts w:cs="Arial"/>
                <w:b/>
                <w:bCs/>
                <w:i/>
                <w:iCs/>
                <w:color w:val="000066"/>
                <w:sz w:val="22"/>
                <w:szCs w:val="22"/>
                <w:lang w:eastAsia="it-IT"/>
              </w:rPr>
              <w:t xml:space="preserve">VOL. </w:t>
            </w:r>
            <w:r w:rsidR="001B64DE" w:rsidRPr="000D74A3">
              <w:rPr>
                <w:rFonts w:cs="Arial"/>
                <w:b/>
                <w:bCs/>
                <w:i/>
                <w:iCs/>
                <w:color w:val="000066"/>
                <w:sz w:val="22"/>
                <w:szCs w:val="22"/>
                <w:lang w:eastAsia="it-IT"/>
              </w:rPr>
              <w:t>xxx, 2024</w:t>
            </w:r>
          </w:p>
        </w:tc>
        <w:tc>
          <w:tcPr>
            <w:tcW w:w="1843" w:type="dxa"/>
            <w:tcBorders>
              <w:left w:val="single" w:sz="4" w:space="0" w:color="auto"/>
              <w:bottom w:val="nil"/>
              <w:right w:val="single" w:sz="4" w:space="0" w:color="auto"/>
            </w:tcBorders>
          </w:tcPr>
          <w:p w14:paraId="56782132" w14:textId="77777777" w:rsidR="000A03B2" w:rsidRPr="00405395" w:rsidRDefault="000A03B2" w:rsidP="00CD5FE2">
            <w:pPr>
              <w:spacing w:line="140" w:lineRule="atLeast"/>
              <w:jc w:val="right"/>
              <w:rPr>
                <w:rFonts w:cs="Arial"/>
                <w:sz w:val="14"/>
                <w:szCs w:val="14"/>
              </w:rPr>
            </w:pPr>
            <w:r w:rsidRPr="00405395">
              <w:rPr>
                <w:rFonts w:cs="Arial"/>
                <w:sz w:val="14"/>
                <w:szCs w:val="14"/>
              </w:rPr>
              <w:t>A publication of</w:t>
            </w:r>
          </w:p>
          <w:p w14:paraId="599E5441" w14:textId="77777777" w:rsidR="000A03B2" w:rsidRPr="00405395" w:rsidRDefault="000A03B2" w:rsidP="00CD5FE2">
            <w:pPr>
              <w:jc w:val="right"/>
            </w:pPr>
            <w:r w:rsidRPr="00405395">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405395" w14:paraId="380FA3CD" w14:textId="77777777" w:rsidTr="00DE264A">
        <w:trPr>
          <w:trHeight w:val="567"/>
          <w:jc w:val="center"/>
        </w:trPr>
        <w:tc>
          <w:tcPr>
            <w:tcW w:w="6946" w:type="dxa"/>
            <w:vMerge/>
            <w:tcBorders>
              <w:right w:val="single" w:sz="4" w:space="0" w:color="auto"/>
            </w:tcBorders>
          </w:tcPr>
          <w:p w14:paraId="39E5E4C1" w14:textId="77777777" w:rsidR="000A03B2" w:rsidRPr="00405395"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405395" w:rsidRDefault="000A03B2" w:rsidP="00CD5FE2">
            <w:pPr>
              <w:spacing w:line="140" w:lineRule="atLeast"/>
              <w:jc w:val="right"/>
              <w:rPr>
                <w:rFonts w:cs="Arial"/>
                <w:sz w:val="14"/>
                <w:szCs w:val="14"/>
              </w:rPr>
            </w:pPr>
            <w:r w:rsidRPr="00405395">
              <w:rPr>
                <w:rFonts w:cs="Arial"/>
                <w:sz w:val="14"/>
                <w:szCs w:val="14"/>
              </w:rPr>
              <w:t>The Italian Association</w:t>
            </w:r>
          </w:p>
          <w:p w14:paraId="7522B1D2" w14:textId="77777777" w:rsidR="000A03B2" w:rsidRPr="00405395" w:rsidRDefault="000A03B2" w:rsidP="00CD5FE2">
            <w:pPr>
              <w:spacing w:line="140" w:lineRule="atLeast"/>
              <w:jc w:val="right"/>
              <w:rPr>
                <w:rFonts w:cs="Arial"/>
                <w:sz w:val="14"/>
                <w:szCs w:val="14"/>
              </w:rPr>
            </w:pPr>
            <w:r w:rsidRPr="00405395">
              <w:rPr>
                <w:rFonts w:cs="Arial"/>
                <w:sz w:val="14"/>
                <w:szCs w:val="14"/>
              </w:rPr>
              <w:t>of Chemical Engineering</w:t>
            </w:r>
          </w:p>
          <w:p w14:paraId="4F0CC5DE" w14:textId="47FDB2FC" w:rsidR="000A03B2" w:rsidRPr="00405395" w:rsidRDefault="000D0268" w:rsidP="00CD5FE2">
            <w:pPr>
              <w:spacing w:line="140" w:lineRule="atLeast"/>
              <w:jc w:val="right"/>
              <w:rPr>
                <w:rFonts w:cs="Arial"/>
                <w:sz w:val="13"/>
                <w:szCs w:val="13"/>
              </w:rPr>
            </w:pPr>
            <w:r w:rsidRPr="00405395">
              <w:rPr>
                <w:rFonts w:cs="Arial"/>
                <w:sz w:val="13"/>
                <w:szCs w:val="13"/>
              </w:rPr>
              <w:t>Online at www.cetjournal.it</w:t>
            </w:r>
          </w:p>
        </w:tc>
      </w:tr>
      <w:tr w:rsidR="000A03B2" w:rsidRPr="00405395" w14:paraId="2D1B7169" w14:textId="77777777" w:rsidTr="00DE264A">
        <w:trPr>
          <w:trHeight w:val="68"/>
          <w:jc w:val="center"/>
        </w:trPr>
        <w:tc>
          <w:tcPr>
            <w:tcW w:w="8789" w:type="dxa"/>
            <w:gridSpan w:val="2"/>
          </w:tcPr>
          <w:p w14:paraId="4B0BB442" w14:textId="1EC8AE73" w:rsidR="00300E56" w:rsidRPr="009B4967" w:rsidRDefault="00300E56" w:rsidP="00B57E6F">
            <w:pPr>
              <w:ind w:left="-107"/>
              <w:outlineLvl w:val="2"/>
              <w:rPr>
                <w:rFonts w:ascii="Tahoma" w:hAnsi="Tahoma" w:cs="Tahoma"/>
                <w:bCs/>
                <w:color w:val="000000"/>
                <w:sz w:val="14"/>
                <w:szCs w:val="14"/>
                <w:lang w:val="it-IT" w:eastAsia="it-IT"/>
              </w:rPr>
            </w:pPr>
            <w:r w:rsidRPr="009B4967">
              <w:rPr>
                <w:rFonts w:ascii="Tahoma" w:hAnsi="Tahoma" w:cs="Tahoma"/>
                <w:iCs/>
                <w:color w:val="333333"/>
                <w:sz w:val="14"/>
                <w:szCs w:val="14"/>
                <w:lang w:val="it-IT" w:eastAsia="it-IT"/>
              </w:rPr>
              <w:t>Guest Editors:</w:t>
            </w:r>
            <w:r w:rsidR="001D21AF" w:rsidRPr="009B4967">
              <w:rPr>
                <w:rFonts w:ascii="Tahoma" w:hAnsi="Tahoma" w:cs="Tahoma"/>
                <w:color w:val="000000"/>
                <w:sz w:val="14"/>
                <w:szCs w:val="14"/>
                <w:shd w:val="clear" w:color="auto" w:fill="FFFFFF"/>
                <w:lang w:val="it-IT"/>
              </w:rPr>
              <w:t xml:space="preserve"> </w:t>
            </w:r>
            <w:r w:rsidR="00323C5F" w:rsidRPr="009B4967">
              <w:rPr>
                <w:sz w:val="14"/>
                <w:szCs w:val="14"/>
                <w:lang w:val="it-IT"/>
              </w:rPr>
              <w:t>Selena Sironi, Laura Capelli</w:t>
            </w:r>
          </w:p>
          <w:p w14:paraId="1B0F1814" w14:textId="1C3DE831" w:rsidR="000A03B2" w:rsidRPr="00405395" w:rsidRDefault="00FA5F5F" w:rsidP="001D21AF">
            <w:pPr>
              <w:tabs>
                <w:tab w:val="left" w:pos="-108"/>
              </w:tabs>
              <w:spacing w:line="140" w:lineRule="atLeast"/>
              <w:ind w:left="-107"/>
              <w:jc w:val="left"/>
            </w:pPr>
            <w:r w:rsidRPr="00405395">
              <w:rPr>
                <w:rFonts w:ascii="Tahoma" w:hAnsi="Tahoma" w:cs="Tahoma"/>
                <w:iCs/>
                <w:color w:val="333333"/>
                <w:sz w:val="14"/>
                <w:szCs w:val="14"/>
                <w:lang w:eastAsia="it-IT"/>
              </w:rPr>
              <w:t>Copyright © 20</w:t>
            </w:r>
            <w:r w:rsidR="00DF5072" w:rsidRPr="00405395">
              <w:rPr>
                <w:rFonts w:ascii="Tahoma" w:hAnsi="Tahoma" w:cs="Tahoma"/>
                <w:iCs/>
                <w:color w:val="333333"/>
                <w:sz w:val="14"/>
                <w:szCs w:val="14"/>
                <w:lang w:eastAsia="it-IT"/>
              </w:rPr>
              <w:t>2</w:t>
            </w:r>
            <w:r w:rsidR="00E72EAD" w:rsidRPr="00405395">
              <w:rPr>
                <w:rFonts w:ascii="Tahoma" w:hAnsi="Tahoma" w:cs="Tahoma"/>
                <w:iCs/>
                <w:color w:val="333333"/>
                <w:sz w:val="14"/>
                <w:szCs w:val="14"/>
                <w:lang w:eastAsia="it-IT"/>
              </w:rPr>
              <w:t>2</w:t>
            </w:r>
            <w:r w:rsidR="00904C62" w:rsidRPr="00405395">
              <w:rPr>
                <w:rFonts w:ascii="Tahoma" w:hAnsi="Tahoma" w:cs="Tahoma"/>
                <w:iCs/>
                <w:color w:val="333333"/>
                <w:sz w:val="14"/>
                <w:szCs w:val="14"/>
                <w:lang w:eastAsia="it-IT"/>
              </w:rPr>
              <w:t xml:space="preserve">, AIDIC </w:t>
            </w:r>
            <w:proofErr w:type="spellStart"/>
            <w:r w:rsidR="00904C62" w:rsidRPr="00405395">
              <w:rPr>
                <w:rFonts w:ascii="Tahoma" w:hAnsi="Tahoma" w:cs="Tahoma"/>
                <w:iCs/>
                <w:color w:val="333333"/>
                <w:sz w:val="14"/>
                <w:szCs w:val="14"/>
                <w:lang w:eastAsia="it-IT"/>
              </w:rPr>
              <w:t>Servizi</w:t>
            </w:r>
            <w:proofErr w:type="spellEnd"/>
            <w:r w:rsidR="00904C62" w:rsidRPr="00405395">
              <w:rPr>
                <w:rFonts w:ascii="Tahoma" w:hAnsi="Tahoma" w:cs="Tahoma"/>
                <w:iCs/>
                <w:color w:val="333333"/>
                <w:sz w:val="14"/>
                <w:szCs w:val="14"/>
                <w:lang w:eastAsia="it-IT"/>
              </w:rPr>
              <w:t xml:space="preserve"> </w:t>
            </w:r>
            <w:proofErr w:type="spellStart"/>
            <w:r w:rsidR="00904C62" w:rsidRPr="00405395">
              <w:rPr>
                <w:rFonts w:ascii="Tahoma" w:hAnsi="Tahoma" w:cs="Tahoma"/>
                <w:iCs/>
                <w:color w:val="333333"/>
                <w:sz w:val="14"/>
                <w:szCs w:val="14"/>
                <w:lang w:eastAsia="it-IT"/>
              </w:rPr>
              <w:t>S.r.l</w:t>
            </w:r>
            <w:proofErr w:type="spellEnd"/>
            <w:r w:rsidR="00904C62" w:rsidRPr="00405395">
              <w:rPr>
                <w:rFonts w:ascii="Tahoma" w:hAnsi="Tahoma" w:cs="Tahoma"/>
                <w:iCs/>
                <w:color w:val="333333"/>
                <w:sz w:val="14"/>
                <w:szCs w:val="14"/>
                <w:lang w:eastAsia="it-IT"/>
              </w:rPr>
              <w:t>.</w:t>
            </w:r>
            <w:r w:rsidR="00300E56" w:rsidRPr="00405395">
              <w:rPr>
                <w:rFonts w:ascii="Tahoma" w:hAnsi="Tahoma" w:cs="Tahoma"/>
                <w:iCs/>
                <w:color w:val="333333"/>
                <w:sz w:val="14"/>
                <w:szCs w:val="14"/>
                <w:lang w:eastAsia="it-IT"/>
              </w:rPr>
              <w:br/>
            </w:r>
            <w:r w:rsidR="00300E56" w:rsidRPr="00405395">
              <w:rPr>
                <w:rFonts w:ascii="Tahoma" w:hAnsi="Tahoma" w:cs="Tahoma"/>
                <w:b/>
                <w:iCs/>
                <w:color w:val="000000"/>
                <w:sz w:val="14"/>
                <w:szCs w:val="14"/>
                <w:lang w:eastAsia="it-IT"/>
              </w:rPr>
              <w:t>ISBN</w:t>
            </w:r>
            <w:r w:rsidR="00300E56" w:rsidRPr="00405395">
              <w:rPr>
                <w:rFonts w:ascii="Tahoma" w:hAnsi="Tahoma" w:cs="Tahoma"/>
                <w:iCs/>
                <w:color w:val="000000"/>
                <w:sz w:val="14"/>
                <w:szCs w:val="14"/>
                <w:lang w:eastAsia="it-IT"/>
              </w:rPr>
              <w:t xml:space="preserve"> </w:t>
            </w:r>
            <w:r w:rsidR="008D32B9" w:rsidRPr="00405395">
              <w:rPr>
                <w:rFonts w:ascii="Tahoma" w:hAnsi="Tahoma" w:cs="Tahoma"/>
                <w:sz w:val="14"/>
                <w:szCs w:val="14"/>
              </w:rPr>
              <w:t>978-88-95608</w:t>
            </w:r>
            <w:r w:rsidR="00D46B7E" w:rsidRPr="00405395">
              <w:rPr>
                <w:rFonts w:ascii="Tahoma" w:hAnsi="Tahoma" w:cs="Tahoma"/>
                <w:sz w:val="14"/>
                <w:szCs w:val="14"/>
              </w:rPr>
              <w:t>-</w:t>
            </w:r>
            <w:r w:rsidR="001D21AF" w:rsidRPr="00405395">
              <w:rPr>
                <w:rFonts w:ascii="Tahoma" w:hAnsi="Tahoma" w:cs="Tahoma"/>
                <w:sz w:val="14"/>
                <w:szCs w:val="14"/>
              </w:rPr>
              <w:t>9</w:t>
            </w:r>
            <w:r w:rsidR="00323C5F" w:rsidRPr="00405395">
              <w:rPr>
                <w:rFonts w:ascii="Tahoma" w:hAnsi="Tahoma" w:cs="Tahoma"/>
                <w:sz w:val="14"/>
                <w:szCs w:val="14"/>
              </w:rPr>
              <w:t>4</w:t>
            </w:r>
            <w:r w:rsidR="00D46B7E" w:rsidRPr="00405395">
              <w:rPr>
                <w:rFonts w:ascii="Tahoma" w:hAnsi="Tahoma" w:cs="Tahoma"/>
                <w:sz w:val="14"/>
                <w:szCs w:val="14"/>
              </w:rPr>
              <w:t>-</w:t>
            </w:r>
            <w:r w:rsidR="00323C5F" w:rsidRPr="00405395">
              <w:rPr>
                <w:rFonts w:ascii="Tahoma" w:hAnsi="Tahoma" w:cs="Tahoma"/>
                <w:sz w:val="14"/>
                <w:szCs w:val="14"/>
              </w:rPr>
              <w:t>5</w:t>
            </w:r>
            <w:r w:rsidR="007B48F9" w:rsidRPr="00405395">
              <w:rPr>
                <w:rFonts w:ascii="Tahoma" w:hAnsi="Tahoma" w:cs="Tahoma"/>
                <w:iCs/>
                <w:color w:val="333333"/>
                <w:sz w:val="14"/>
                <w:szCs w:val="14"/>
                <w:lang w:eastAsia="it-IT"/>
              </w:rPr>
              <w:t>;</w:t>
            </w:r>
            <w:r w:rsidR="00300E56" w:rsidRPr="00405395">
              <w:rPr>
                <w:rFonts w:ascii="Tahoma" w:hAnsi="Tahoma" w:cs="Tahoma"/>
                <w:iCs/>
                <w:color w:val="333333"/>
                <w:sz w:val="14"/>
                <w:szCs w:val="14"/>
                <w:lang w:eastAsia="it-IT"/>
              </w:rPr>
              <w:t xml:space="preserve"> </w:t>
            </w:r>
            <w:r w:rsidR="00300E56" w:rsidRPr="00405395">
              <w:rPr>
                <w:rFonts w:ascii="Tahoma" w:hAnsi="Tahoma" w:cs="Tahoma"/>
                <w:b/>
                <w:iCs/>
                <w:color w:val="333333"/>
                <w:sz w:val="14"/>
                <w:szCs w:val="14"/>
                <w:lang w:eastAsia="it-IT"/>
              </w:rPr>
              <w:t>ISSN</w:t>
            </w:r>
            <w:r w:rsidR="00300E56" w:rsidRPr="00405395">
              <w:rPr>
                <w:rFonts w:ascii="Tahoma" w:hAnsi="Tahoma" w:cs="Tahoma"/>
                <w:iCs/>
                <w:color w:val="333333"/>
                <w:sz w:val="14"/>
                <w:szCs w:val="14"/>
                <w:lang w:eastAsia="it-IT"/>
              </w:rPr>
              <w:t xml:space="preserve"> 2283-9216</w:t>
            </w:r>
          </w:p>
        </w:tc>
      </w:tr>
    </w:tbl>
    <w:p w14:paraId="2E667253" w14:textId="3B444E88" w:rsidR="00E978D0" w:rsidRPr="00405395" w:rsidRDefault="001C4E9F" w:rsidP="00E978D0">
      <w:pPr>
        <w:pStyle w:val="CETTitle"/>
      </w:pPr>
      <w:r w:rsidRPr="00405395">
        <w:t>S</w:t>
      </w:r>
      <w:r w:rsidR="0092328E" w:rsidRPr="00405395">
        <w:t>trategies for</w:t>
      </w:r>
      <w:r w:rsidRPr="00405395">
        <w:t xml:space="preserve"> the</w:t>
      </w:r>
      <w:r w:rsidR="0092328E" w:rsidRPr="00405395">
        <w:t xml:space="preserve"> reduc</w:t>
      </w:r>
      <w:r w:rsidRPr="00405395">
        <w:t>tion of odour</w:t>
      </w:r>
      <w:r w:rsidR="0092328E" w:rsidRPr="00405395">
        <w:t xml:space="preserve"> impact</w:t>
      </w:r>
      <w:r w:rsidRPr="00405395">
        <w:t xml:space="preserve"> via dispersion modelling: a case study of a</w:t>
      </w:r>
      <w:r w:rsidR="0092328E" w:rsidRPr="00405395">
        <w:t xml:space="preserve"> rendering plant</w:t>
      </w:r>
    </w:p>
    <w:p w14:paraId="1A4FB21D" w14:textId="70D3A514" w:rsidR="00783B5F" w:rsidRPr="009B4967" w:rsidRDefault="00783B5F" w:rsidP="00783B5F">
      <w:pPr>
        <w:pStyle w:val="CETAuthors"/>
        <w:rPr>
          <w:lang w:val="it-IT"/>
        </w:rPr>
      </w:pPr>
      <w:r w:rsidRPr="009B4967">
        <w:rPr>
          <w:lang w:val="it-IT"/>
        </w:rPr>
        <w:t xml:space="preserve">Francesca Tagliaferri*, Marzio Invernizzi, Selena Sironi </w:t>
      </w:r>
    </w:p>
    <w:p w14:paraId="7758B96F" w14:textId="37CA866B" w:rsidR="00783B5F" w:rsidRPr="009B4967" w:rsidRDefault="00783B5F" w:rsidP="00783B5F">
      <w:pPr>
        <w:rPr>
          <w:noProof/>
          <w:sz w:val="16"/>
          <w:lang w:val="it-IT"/>
        </w:rPr>
      </w:pPr>
      <w:r w:rsidRPr="009B4967">
        <w:rPr>
          <w:noProof/>
          <w:sz w:val="16"/>
          <w:lang w:val="it-IT"/>
        </w:rPr>
        <w:t>Politecnico di Milano, Department of Chemistry, Materials and Chemical Engineering “Giulio Natta”</w:t>
      </w:r>
      <w:r w:rsidR="00866DCE" w:rsidRPr="009B4967">
        <w:rPr>
          <w:noProof/>
          <w:sz w:val="16"/>
          <w:lang w:val="it-IT"/>
        </w:rPr>
        <w:t xml:space="preserve"> - </w:t>
      </w:r>
      <w:r w:rsidRPr="009B4967">
        <w:rPr>
          <w:noProof/>
          <w:sz w:val="16"/>
          <w:lang w:val="it-IT"/>
        </w:rPr>
        <w:t>Piazza Leonardo da Vinci 32, 20133 Milano, Italy</w:t>
      </w:r>
    </w:p>
    <w:p w14:paraId="44C4CDEF" w14:textId="77777777" w:rsidR="001B64DE" w:rsidRPr="009B4967" w:rsidRDefault="001B64DE" w:rsidP="00783B5F">
      <w:pPr>
        <w:rPr>
          <w:noProof/>
          <w:sz w:val="16"/>
          <w:lang w:val="it-IT"/>
        </w:rPr>
      </w:pPr>
    </w:p>
    <w:p w14:paraId="7949BB56" w14:textId="3F33E17D" w:rsidR="001B64DE" w:rsidRPr="00CE67FF" w:rsidRDefault="00000000" w:rsidP="001B64DE">
      <w:hyperlink r:id="rId10" w:history="1">
        <w:r w:rsidR="001B64DE" w:rsidRPr="00CE67FF">
          <w:rPr>
            <w:rStyle w:val="Collegamentoipertestuale"/>
            <w:color w:val="auto"/>
            <w:u w:val="none"/>
          </w:rPr>
          <w:t>francesca.tagliaferri@polimi.it</w:t>
        </w:r>
      </w:hyperlink>
    </w:p>
    <w:p w14:paraId="064663B7" w14:textId="77777777" w:rsidR="001B64DE" w:rsidRPr="001B64DE" w:rsidRDefault="001B64DE" w:rsidP="001B64DE">
      <w:pPr>
        <w:rPr>
          <w:noProof/>
          <w:sz w:val="16"/>
        </w:rPr>
      </w:pPr>
    </w:p>
    <w:p w14:paraId="08E8FCC4" w14:textId="7FB5B766" w:rsidR="00D36C8A" w:rsidRPr="00405395" w:rsidRDefault="00D36C8A" w:rsidP="00D36C8A">
      <w:pPr>
        <w:pStyle w:val="CETemail"/>
        <w:jc w:val="both"/>
      </w:pPr>
      <w:r w:rsidRPr="00405395">
        <w:rPr>
          <w:rFonts w:cs="Arial"/>
          <w:sz w:val="18"/>
          <w:szCs w:val="18"/>
        </w:rPr>
        <w:t xml:space="preserve">For several years, the application of versatile Lagrangian puff models like CALPUFF has been widely acknowledged as a standard practice in numerous countries globally for forecasting odour exposure levels in the vicinity of industrial facilities. In this case study, the CALPUFF model was adopted to assess the odour impact related to a rendering plant located in Italy. For the implementation of the emission scenario, data obtained from olfactometric monitoring conducted at the plant were taken into account. The modelling study was divided into two parts. Firstly, the odour impact resulting from the current emission condition of the plant was evaluated, distinguishing between different macro-areas of the plant: production department, cooking vats, and wastewater treatment plant. Secondly, simulations of predictive impact scenarios were conducted, assuming the introduction of odour emission containment systems for the macro-areas identified as the major contributors to impact. In particular, from the simulations, it emerged that the production department contributes negligibly to the </w:t>
      </w:r>
      <w:r w:rsidR="004457D8" w:rsidRPr="00405395">
        <w:rPr>
          <w:rFonts w:cs="Arial"/>
          <w:sz w:val="18"/>
          <w:szCs w:val="18"/>
        </w:rPr>
        <w:t>odour</w:t>
      </w:r>
      <w:r w:rsidRPr="00405395">
        <w:rPr>
          <w:rFonts w:cs="Arial"/>
          <w:sz w:val="18"/>
          <w:szCs w:val="18"/>
        </w:rPr>
        <w:t xml:space="preserve"> impacts on the surrounding area</w:t>
      </w:r>
      <w:r w:rsidR="005F21EF" w:rsidRPr="00405395">
        <w:rPr>
          <w:rFonts w:cs="Arial"/>
          <w:sz w:val="18"/>
          <w:szCs w:val="18"/>
        </w:rPr>
        <w:t>. T</w:t>
      </w:r>
      <w:r w:rsidRPr="00405395">
        <w:rPr>
          <w:rFonts w:cs="Arial"/>
          <w:sz w:val="18"/>
          <w:szCs w:val="18"/>
        </w:rPr>
        <w:t>he cooking tanks revealed odour concentrations, at the 98</w:t>
      </w:r>
      <w:r w:rsidRPr="00405395">
        <w:rPr>
          <w:rFonts w:cs="Arial"/>
          <w:sz w:val="18"/>
          <w:szCs w:val="18"/>
          <w:vertAlign w:val="superscript"/>
        </w:rPr>
        <w:t>th</w:t>
      </w:r>
      <w:r w:rsidRPr="00405395">
        <w:rPr>
          <w:rFonts w:cs="Arial"/>
          <w:sz w:val="18"/>
          <w:szCs w:val="18"/>
        </w:rPr>
        <w:t xml:space="preserve"> percentile on an annual basis, near the closest residential areas to the plant, </w:t>
      </w:r>
      <w:r w:rsidR="001C4E9F" w:rsidRPr="00EB7CDE">
        <w:rPr>
          <w:rFonts w:cs="Arial"/>
          <w:sz w:val="18"/>
          <w:szCs w:val="18"/>
        </w:rPr>
        <w:t>reaching</w:t>
      </w:r>
      <w:r w:rsidR="001C4E9F" w:rsidRPr="00405395">
        <w:rPr>
          <w:rFonts w:cs="Arial"/>
          <w:sz w:val="18"/>
          <w:szCs w:val="18"/>
        </w:rPr>
        <w:t xml:space="preserve"> </w:t>
      </w:r>
      <w:r w:rsidRPr="00405395">
        <w:rPr>
          <w:rFonts w:cs="Arial"/>
          <w:sz w:val="18"/>
          <w:szCs w:val="18"/>
        </w:rPr>
        <w:t>the odour perception threshold (1 ou</w:t>
      </w:r>
      <w:r w:rsidRPr="00405395">
        <w:rPr>
          <w:rFonts w:cs="Arial"/>
          <w:sz w:val="18"/>
          <w:szCs w:val="18"/>
          <w:vertAlign w:val="subscript"/>
        </w:rPr>
        <w:t>E</w:t>
      </w:r>
      <w:r w:rsidRPr="00405395">
        <w:rPr>
          <w:rFonts w:cs="Arial"/>
          <w:sz w:val="18"/>
          <w:szCs w:val="18"/>
        </w:rPr>
        <w:t>/m</w:t>
      </w:r>
      <w:r w:rsidRPr="00405395">
        <w:rPr>
          <w:rFonts w:cs="Arial"/>
          <w:sz w:val="18"/>
          <w:szCs w:val="18"/>
          <w:vertAlign w:val="superscript"/>
        </w:rPr>
        <w:t>3</w:t>
      </w:r>
      <w:r w:rsidRPr="00405395">
        <w:rPr>
          <w:rFonts w:cs="Arial"/>
          <w:sz w:val="18"/>
          <w:szCs w:val="18"/>
        </w:rPr>
        <w:t>). The contribution of the water treatment plant proved to be significant, with concentrations</w:t>
      </w:r>
      <w:r w:rsidR="009D3553" w:rsidRPr="00405395">
        <w:rPr>
          <w:rFonts w:cs="Arial"/>
          <w:sz w:val="18"/>
          <w:szCs w:val="18"/>
        </w:rPr>
        <w:t xml:space="preserve"> estimated on some sensitive receptors</w:t>
      </w:r>
      <w:r w:rsidRPr="00405395">
        <w:rPr>
          <w:rFonts w:cs="Arial"/>
          <w:sz w:val="18"/>
          <w:szCs w:val="18"/>
        </w:rPr>
        <w:t xml:space="preserve"> </w:t>
      </w:r>
      <w:r w:rsidR="009D3553" w:rsidRPr="00405395">
        <w:rPr>
          <w:rFonts w:cs="Arial"/>
          <w:sz w:val="18"/>
          <w:szCs w:val="18"/>
        </w:rPr>
        <w:t>around</w:t>
      </w:r>
      <w:r w:rsidRPr="00405395">
        <w:rPr>
          <w:rFonts w:cs="Arial"/>
          <w:sz w:val="18"/>
          <w:szCs w:val="18"/>
        </w:rPr>
        <w:t xml:space="preserve"> the odour nuisance threshold (5 ou</w:t>
      </w:r>
      <w:r w:rsidRPr="00405395">
        <w:rPr>
          <w:rFonts w:cs="Arial"/>
          <w:sz w:val="18"/>
          <w:szCs w:val="18"/>
          <w:vertAlign w:val="subscript"/>
        </w:rPr>
        <w:t>E</w:t>
      </w:r>
      <w:r w:rsidRPr="00405395">
        <w:rPr>
          <w:rFonts w:cs="Arial"/>
          <w:sz w:val="18"/>
          <w:szCs w:val="18"/>
        </w:rPr>
        <w:t>/m</w:t>
      </w:r>
      <w:r w:rsidRPr="00405395">
        <w:rPr>
          <w:rFonts w:cs="Arial"/>
          <w:sz w:val="18"/>
          <w:szCs w:val="18"/>
          <w:vertAlign w:val="superscript"/>
        </w:rPr>
        <w:t>3</w:t>
      </w:r>
      <w:r w:rsidRPr="00405395">
        <w:rPr>
          <w:rFonts w:cs="Arial"/>
          <w:sz w:val="18"/>
          <w:szCs w:val="18"/>
        </w:rPr>
        <w:t xml:space="preserve">). For this reason, it was hypothesized to introduce cooling systems that facilitate the condensation of </w:t>
      </w:r>
      <w:r w:rsidR="001C4E9F" w:rsidRPr="00405395">
        <w:rPr>
          <w:rFonts w:cs="Arial"/>
          <w:sz w:val="18"/>
          <w:szCs w:val="18"/>
        </w:rPr>
        <w:t xml:space="preserve">vapours </w:t>
      </w:r>
      <w:r w:rsidRPr="00405395">
        <w:rPr>
          <w:rFonts w:cs="Arial"/>
          <w:sz w:val="18"/>
          <w:szCs w:val="18"/>
        </w:rPr>
        <w:t xml:space="preserve">emitted from the cooking </w:t>
      </w:r>
      <w:r w:rsidR="00333273" w:rsidRPr="00405395">
        <w:rPr>
          <w:rFonts w:cs="Arial"/>
          <w:sz w:val="18"/>
          <w:szCs w:val="18"/>
        </w:rPr>
        <w:t>vats</w:t>
      </w:r>
      <w:r w:rsidRPr="00405395">
        <w:rPr>
          <w:rFonts w:cs="Arial"/>
          <w:sz w:val="18"/>
          <w:szCs w:val="18"/>
        </w:rPr>
        <w:t xml:space="preserve"> before </w:t>
      </w:r>
      <w:r w:rsidR="001C4E9F" w:rsidRPr="00405395">
        <w:rPr>
          <w:rFonts w:cs="Arial"/>
          <w:sz w:val="18"/>
          <w:szCs w:val="18"/>
        </w:rPr>
        <w:t xml:space="preserve">the </w:t>
      </w:r>
      <w:r w:rsidRPr="00405395">
        <w:rPr>
          <w:rFonts w:cs="Arial"/>
          <w:sz w:val="18"/>
          <w:szCs w:val="18"/>
        </w:rPr>
        <w:t xml:space="preserve">release into the atmosphere. In this way, based on the simulation results, receptor concentrations lower than 1 </w:t>
      </w:r>
      <w:r w:rsidR="004457D8" w:rsidRPr="00405395">
        <w:rPr>
          <w:rFonts w:cs="Arial"/>
          <w:sz w:val="18"/>
          <w:szCs w:val="18"/>
        </w:rPr>
        <w:t>ou</w:t>
      </w:r>
      <w:r w:rsidR="004457D8" w:rsidRPr="00405395">
        <w:rPr>
          <w:rFonts w:cs="Arial"/>
          <w:sz w:val="18"/>
          <w:szCs w:val="18"/>
          <w:vertAlign w:val="subscript"/>
        </w:rPr>
        <w:t>E</w:t>
      </w:r>
      <w:r w:rsidR="004457D8" w:rsidRPr="00405395">
        <w:rPr>
          <w:rFonts w:cs="Arial"/>
          <w:sz w:val="18"/>
          <w:szCs w:val="18"/>
        </w:rPr>
        <w:t>/m</w:t>
      </w:r>
      <w:r w:rsidR="004457D8" w:rsidRPr="00405395">
        <w:rPr>
          <w:rFonts w:cs="Arial"/>
          <w:sz w:val="18"/>
          <w:szCs w:val="18"/>
          <w:vertAlign w:val="superscript"/>
        </w:rPr>
        <w:t xml:space="preserve">3 </w:t>
      </w:r>
      <w:r w:rsidRPr="00405395">
        <w:rPr>
          <w:rFonts w:cs="Arial"/>
          <w:sz w:val="18"/>
          <w:szCs w:val="18"/>
        </w:rPr>
        <w:t xml:space="preserve">would be achieved. Regarding the </w:t>
      </w:r>
      <w:r w:rsidR="004457D8" w:rsidRPr="00405395">
        <w:rPr>
          <w:rFonts w:cs="Arial"/>
          <w:sz w:val="18"/>
          <w:szCs w:val="18"/>
        </w:rPr>
        <w:t>waste</w:t>
      </w:r>
      <w:r w:rsidRPr="00405395">
        <w:rPr>
          <w:rFonts w:cs="Arial"/>
          <w:sz w:val="18"/>
          <w:szCs w:val="18"/>
        </w:rPr>
        <w:t>water treatment plant, various predictive scenarios were hypothesized, assuming the covering of one or more tanks and the conveyance of air streams to be treated. The results of the different scenarios highlighted that the configuration ensuring the greatest reduction in impacts, among those analyzed, involves covering three tanks</w:t>
      </w:r>
      <w:r w:rsidR="004457D8" w:rsidRPr="00405395">
        <w:rPr>
          <w:rFonts w:cs="Arial"/>
          <w:sz w:val="18"/>
          <w:szCs w:val="18"/>
        </w:rPr>
        <w:t>.</w:t>
      </w:r>
      <w:r w:rsidRPr="00405395">
        <w:rPr>
          <w:rFonts w:cs="Arial"/>
          <w:sz w:val="18"/>
          <w:szCs w:val="18"/>
        </w:rPr>
        <w:t xml:space="preserve"> </w:t>
      </w:r>
      <w:r w:rsidR="003323EB" w:rsidRPr="00405395">
        <w:rPr>
          <w:rFonts w:cs="Arial"/>
          <w:sz w:val="18"/>
          <w:szCs w:val="18"/>
        </w:rPr>
        <w:t>This</w:t>
      </w:r>
      <w:r w:rsidRPr="00405395">
        <w:rPr>
          <w:rFonts w:cs="Arial"/>
          <w:sz w:val="18"/>
          <w:szCs w:val="18"/>
        </w:rPr>
        <w:t xml:space="preserve"> way, the odour impact could be reduced by approximately 80% compared to the current scenario. However, the solution that appears to be of greater interest seem</w:t>
      </w:r>
      <w:r w:rsidR="001C4E9F" w:rsidRPr="00405395">
        <w:rPr>
          <w:rFonts w:cs="Arial"/>
          <w:sz w:val="18"/>
          <w:szCs w:val="18"/>
        </w:rPr>
        <w:t>ed</w:t>
      </w:r>
      <w:r w:rsidRPr="00405395">
        <w:rPr>
          <w:rFonts w:cs="Arial"/>
          <w:sz w:val="18"/>
          <w:szCs w:val="18"/>
        </w:rPr>
        <w:t xml:space="preserve"> to be the closure of only </w:t>
      </w:r>
      <w:r w:rsidR="00534979" w:rsidRPr="00405395">
        <w:rPr>
          <w:rFonts w:cs="Arial"/>
          <w:sz w:val="18"/>
          <w:szCs w:val="18"/>
        </w:rPr>
        <w:t xml:space="preserve">one </w:t>
      </w:r>
      <w:r w:rsidRPr="00405395">
        <w:rPr>
          <w:rFonts w:cs="Arial"/>
          <w:sz w:val="18"/>
          <w:szCs w:val="18"/>
        </w:rPr>
        <w:t>tank: in this way, by intervening on a single emission source, receptor concentrations could be reduced by an average of 60%.</w:t>
      </w:r>
    </w:p>
    <w:p w14:paraId="476B2F2E" w14:textId="77777777" w:rsidR="00600535" w:rsidRPr="00405395" w:rsidRDefault="00600535" w:rsidP="00600535">
      <w:pPr>
        <w:pStyle w:val="CETHeading1"/>
        <w:rPr>
          <w:lang w:val="en-GB"/>
        </w:rPr>
      </w:pPr>
      <w:r w:rsidRPr="00405395">
        <w:rPr>
          <w:lang w:val="en-GB"/>
        </w:rPr>
        <w:t>Introduction</w:t>
      </w:r>
    </w:p>
    <w:p w14:paraId="70EA01E4" w14:textId="6D3853FE" w:rsidR="00E354BD" w:rsidRPr="00405395" w:rsidRDefault="00E354BD" w:rsidP="00E354BD">
      <w:pPr>
        <w:pStyle w:val="CETBodytext"/>
        <w:rPr>
          <w:lang w:val="en-GB"/>
        </w:rPr>
      </w:pPr>
      <w:r w:rsidRPr="00405395">
        <w:rPr>
          <w:lang w:val="en-GB"/>
        </w:rPr>
        <w:t>Rendering, a process that converts animal waste tissue into valuable byproducts like poultry fat and protein meals, is gaining traction due to its applications in animal feed and food industries, alongside growing concerns for environmental sustainability</w:t>
      </w:r>
      <w:r w:rsidR="002A0C66" w:rsidRPr="00405395">
        <w:rPr>
          <w:lang w:val="en-GB"/>
        </w:rPr>
        <w:t xml:space="preserve"> </w:t>
      </w:r>
      <w:r w:rsidR="002A0C66" w:rsidRPr="00405395">
        <w:rPr>
          <w:lang w:val="en-GB"/>
        </w:rPr>
        <w:fldChar w:fldCharType="begin" w:fldLock="1"/>
      </w:r>
      <w:r w:rsidR="00AE5900" w:rsidRPr="00405395">
        <w:rPr>
          <w:lang w:val="en-GB"/>
        </w:rPr>
        <w:instrText>ADDIN CSL_CITATION {"citationItems":[{"id":"ITEM-1","itemData":{"DOI":"10.22358/jafs/65548/2016","ISSN":"12301388","abstract":"Animal by-products (ABPs), such as processed animal proteins, animal fats, milk and egg products, and former food products represent a potentially valuable resource for feeding livestock. According to Europe s authorities, around 18 million t of animal fat and meat industry by-products arise annually in the European Union (EU) from slaughterhouses, dairies and plants producing food for human consumption. Another 8 to 12 million t emerge every year as former foodstuffs. Recycling of slaughter by-products and other animal products, sometimes considered as waste materials, into animal feed can bring major benefits to the economics of livestock production and the environment in the EU. Nevertheless, improper and unregulated use of ABPs and food waste, as could be noticed from a number of food crises in the recent past, have a strong public health and economic impact. For a safety reasons most ABP materials have been subject to severe restrictions in their use for feed farm animals in the EU. However, due to the decreasing risk of transmissible spongiform encephalopathies, important positive changes of animal by-product processing industry in Europe and developing validated diagnostic methods to test for species-specific material in feed, the European Commission started to reform these stringent rules, thus non-ruminant processed animal proteins has been authorized in aqua feed starting from 1 June 2013. The aim of this review was to describe the status of ABPs in the feed industry, to identify new opportunities, and to place these residue materials in the framework of the EU legislation for safety.","author":[{"dropping-particle":"","family":"Jȩdrejek","given":"D.","non-dropping-particle":"","parse-names":false,"suffix":""},{"dropping-particle":"","family":"Levic","given":"J.","non-dropping-particle":"","parse-names":false,"suffix":""},{"dropping-particle":"","family":"Wallace","given":"J.","non-dropping-particle":"","parse-names":false,"suffix":""},{"dropping-particle":"","family":"Oleszek","given":"W.","non-dropping-particle":"","parse-names":false,"suffix":""}],"container-title":"Journal of Animal and Feed Sciences","id":"ITEM-1","issue":"3","issued":{"date-parts":[["2016"]]},"page":"189-202","title":"Animal by-products for feed: Characteristics, European regulatory framework, and potential impacts on human and animal health and the environment","type":"article-journal","volume":"25"},"uris":["http://www.mendeley.com/documents/?uuid=87d6fe9e-173b-4fea-b7dd-d28c98b95322"]},{"id":"ITEM-2","itemData":{"DOI":"10.1016/j.jwpe.2022.103480","ISSN":"22147144","abstract":"The consumption of products of animal origin (PAO) has drastically increased in the last 50 years. Alongside, animal by-products' residues generation increased as they were generated during PAO processing. Rendering industries are the main route to add value to these residues, leading to a higher amount of raw material that increases production and residue generation, such as gaseous effluents and wastewater. Regarding rendering wastewater treatment, literature is still scarce on treatments and valorisation processes. In this context, this paper is the first review and bibliometric analysis of rendering wastewater, focusing on approaching treatment and valorisation processes proposed in the literature, pointing out its gaps and future perspectives. Biological and physicochemical processes are approached by literature. The majority of research papers addresses biological process, meanwhile recent literature focus on physicochemical processes. Literature indicates that whereas different streams of wastewater are generated in the rendering industry, the possibility of segregation plays a major role in the wastewater treatment plant (WWTP) configuration. Valorisation of the rendering wastewater can generate added value products, such as FOG-rich sludge (reprocessed as raw material), protein and biogas, besides treated water for irrigation, hygiene and vapour generation. Therefore, combining different steps of biological and physicochemical processes during the rendering wastewater treatment can enhance its efficiency, enabling its valorisation.","author":[{"dropping-particle":"","family":"Müller","given":"Felipe Matheus","non-dropping-particle":"","parse-names":false,"suffix":""},{"dropping-particle":"","family":"Oliveira","given":"Débora","non-dropping-particle":"de","parse-names":false,"suffix":""},{"dropping-particle":"","family":"Michels","given":"Camila","non-dropping-particle":"","parse-names":false,"suffix":""}],"container-title":"Journal of Water Process Engineering","id":"ITEM-2","issue":"December 2022","issued":{"date-parts":[["2023"]]},"title":"Current status, gaps and challenges of rendering industries wastewater","type":"article-journal","volume":"52"},"uris":["http://www.mendeley.com/documents/?uuid=a8fb4711-3ed0-421a-85ec-7cdbebd926ae"]}],"mendeley":{"formattedCitation":"(Jȩdrejek et al., 2016; Müller et al., 2023)","plainTextFormattedCitation":"(Jȩdrejek et al., 2016; Müller et al., 2023)","previouslyFormattedCitation":"(Jȩdrejek et al., 2016; Müller et al., 2023)"},"properties":{"noteIndex":0},"schema":"https://github.com/citation-style-language/schema/raw/master/csl-citation.json"}</w:instrText>
      </w:r>
      <w:r w:rsidR="002A0C66" w:rsidRPr="00405395">
        <w:rPr>
          <w:lang w:val="en-GB"/>
        </w:rPr>
        <w:fldChar w:fldCharType="separate"/>
      </w:r>
      <w:r w:rsidR="002A0C66" w:rsidRPr="00405395">
        <w:rPr>
          <w:noProof/>
          <w:lang w:val="en-GB"/>
        </w:rPr>
        <w:t>(Jȩdrejek et al., 2016; Müller et al., 2023)</w:t>
      </w:r>
      <w:r w:rsidR="002A0C66" w:rsidRPr="00405395">
        <w:rPr>
          <w:lang w:val="en-GB"/>
        </w:rPr>
        <w:fldChar w:fldCharType="end"/>
      </w:r>
      <w:r w:rsidRPr="00405395">
        <w:rPr>
          <w:lang w:val="en-GB"/>
        </w:rPr>
        <w:t>. Major industry players are making significant investments to meet the rising demand. For instance, Tyson Foods Inc. invested USD 208 million in April 2022 to establish a new rendering facility in Hanceville, Alabama. The global rendered products market, valued at $22.34 billion in 2023, is anticipated to witness substantial growth, reaching $28.64 billion by 2032</w:t>
      </w:r>
      <w:r w:rsidR="00961C1D" w:rsidRPr="00405395">
        <w:rPr>
          <w:lang w:val="en-GB"/>
        </w:rPr>
        <w:t xml:space="preserve"> </w:t>
      </w:r>
      <w:r w:rsidR="00961C1D" w:rsidRPr="00405395">
        <w:rPr>
          <w:lang w:val="en-GB"/>
        </w:rPr>
        <w:fldChar w:fldCharType="begin" w:fldLock="1"/>
      </w:r>
      <w:r w:rsidR="00961C1D" w:rsidRPr="00405395">
        <w:rPr>
          <w:lang w:val="en-GB"/>
        </w:rPr>
        <w:instrText>ADDIN CSL_CITATION {"citationItems":[{"id":"ITEM-1","itemData":{"URL":"https://www.fortunebusinessinsights.com/industry-reports/rendered-products-market-100806","author":[{"dropping-particle":"","family":"Fortune Business Insight","given":"","non-dropping-particle":"","parse-names":false,"suffix":""}],"id":"ITEM-1","issued":{"date-parts":[["2024"]]},"title":"Rendered Products Market Size, Share &amp; Industry Analysis, By Source (Sheep, Poultry, Cattle, Hogs, and Others), By Type (Tallow, Poultry Fat, Grease, Protein Meal, and Others), By Grade (Food Grade, Feed Grade, and Industrial Grade), and Regional Forecast","type":"webpage"},"uris":["http://www.mendeley.com/documents/?uuid=134ca9b2-ccc7-469d-b3d3-9e7ab5ccc045"]}],"mendeley":{"formattedCitation":"(Fortune Business Insight, 2024)","plainTextFormattedCitation":"(Fortune Business Insight, 2024)","previouslyFormattedCitation":"(Fortune Business Insight, 2024)"},"properties":{"noteIndex":0},"schema":"https://github.com/citation-style-language/schema/raw/master/csl-citation.json"}</w:instrText>
      </w:r>
      <w:r w:rsidR="00961C1D" w:rsidRPr="00405395">
        <w:rPr>
          <w:lang w:val="en-GB"/>
        </w:rPr>
        <w:fldChar w:fldCharType="separate"/>
      </w:r>
      <w:r w:rsidR="00961C1D" w:rsidRPr="00405395">
        <w:rPr>
          <w:noProof/>
          <w:lang w:val="en-GB"/>
        </w:rPr>
        <w:t>(Fortune Business Insight, 2024)</w:t>
      </w:r>
      <w:r w:rsidR="00961C1D" w:rsidRPr="00405395">
        <w:rPr>
          <w:lang w:val="en-GB"/>
        </w:rPr>
        <w:fldChar w:fldCharType="end"/>
      </w:r>
      <w:r w:rsidRPr="00405395">
        <w:rPr>
          <w:lang w:val="en-GB"/>
        </w:rPr>
        <w:t>.</w:t>
      </w:r>
    </w:p>
    <w:p w14:paraId="5C577A04" w14:textId="60F510B5" w:rsidR="00E354BD" w:rsidRPr="00405395" w:rsidRDefault="00E354BD" w:rsidP="00E354BD">
      <w:pPr>
        <w:pStyle w:val="CETBodytext"/>
        <w:rPr>
          <w:lang w:val="en-GB"/>
        </w:rPr>
      </w:pPr>
      <w:r w:rsidRPr="00405395">
        <w:rPr>
          <w:lang w:val="en-GB"/>
        </w:rPr>
        <w:t xml:space="preserve">North America, home to around 300 rendering facilities, plays a crucial role in </w:t>
      </w:r>
      <w:r w:rsidR="00F36819" w:rsidRPr="00405395">
        <w:rPr>
          <w:lang w:val="en-GB"/>
        </w:rPr>
        <w:t>managing</w:t>
      </w:r>
      <w:r w:rsidRPr="00405395">
        <w:rPr>
          <w:lang w:val="en-GB"/>
        </w:rPr>
        <w:t xml:space="preserve"> </w:t>
      </w:r>
      <w:r w:rsidR="00F36819" w:rsidRPr="00405395">
        <w:rPr>
          <w:lang w:val="en-GB"/>
        </w:rPr>
        <w:t xml:space="preserve">animal </w:t>
      </w:r>
      <w:r w:rsidRPr="00405395">
        <w:rPr>
          <w:lang w:val="en-GB"/>
        </w:rPr>
        <w:t xml:space="preserve">by-products. </w:t>
      </w:r>
      <w:r w:rsidR="00F36819" w:rsidRPr="00405395">
        <w:rPr>
          <w:lang w:val="en-GB"/>
        </w:rPr>
        <w:t xml:space="preserve">The </w:t>
      </w:r>
      <w:r w:rsidRPr="00405395">
        <w:rPr>
          <w:lang w:val="en-GB"/>
        </w:rPr>
        <w:t xml:space="preserve">United States alone </w:t>
      </w:r>
      <w:r w:rsidR="00F36819" w:rsidRPr="00405395">
        <w:rPr>
          <w:lang w:val="en-GB"/>
        </w:rPr>
        <w:t>process</w:t>
      </w:r>
      <w:r w:rsidRPr="00405395">
        <w:rPr>
          <w:lang w:val="en-GB"/>
        </w:rPr>
        <w:t xml:space="preserve"> roughly 100 million hogs, 35 million cattle, and eight billion chickens annually.</w:t>
      </w:r>
    </w:p>
    <w:p w14:paraId="22F0E4C4" w14:textId="3704C5E8" w:rsidR="00E354BD" w:rsidRPr="00405395" w:rsidRDefault="00E354BD" w:rsidP="00E354BD">
      <w:pPr>
        <w:pStyle w:val="CETBodytext"/>
        <w:rPr>
          <w:lang w:val="en-GB"/>
        </w:rPr>
      </w:pPr>
      <w:r w:rsidRPr="00405395">
        <w:rPr>
          <w:lang w:val="en-GB"/>
        </w:rPr>
        <w:t>Europe stands out as a significant market driving notable demand for rendering products</w:t>
      </w:r>
      <w:r w:rsidR="002A0C66" w:rsidRPr="00405395">
        <w:rPr>
          <w:lang w:val="en-GB"/>
        </w:rPr>
        <w:t xml:space="preserve"> </w:t>
      </w:r>
      <w:r w:rsidR="00AE5900" w:rsidRPr="00405395">
        <w:rPr>
          <w:lang w:val="en-GB"/>
        </w:rPr>
        <w:fldChar w:fldCharType="begin" w:fldLock="1"/>
      </w:r>
      <w:r w:rsidR="00F90E7F" w:rsidRPr="00405395">
        <w:rPr>
          <w:lang w:val="en-GB"/>
        </w:rPr>
        <w:instrText>ADDIN CSL_CITATION {"citationItems":[{"id":"ITEM-1","itemData":{"ISBN":"0-9654660-3-5","abstract":"One-third to one-half of each animal produced for meat, milk, eggs, and fiber is not consumed by humans. These raw materials are subjected to rendering processes resulting in many useful products. Meat and bone meal, meat meal, poultry meal, hydrolyzed feather meal, blood meal, fish meal, and animal fats are the primary products resulting from the rendering process. The most important and valuable use for these animal by-products is as feed ingredients for livestock, poultry, aquaculture, and companion animals. There are volumes of scientific references validating the nutritional qualities of these products, and there are no scientific reasons for altering the practice of feeding rendered products to animals. Government agencies regulate the processing of food and feed, and the rendering industry is scrutinized often. In addition, industry programs include the use of good manufacturing practices, hazard analysis and critical control point (HACCP), codes of practice, and third-party certification. The Food and Drug Administration (FDA) regulates animal feeds and prohibits certain ruminant proteins from being used in ruminant diets to prevent the spread of bovine spongiform encephalopathy (BSE). Though often frustrated by the attention it receives, the rendering industry clearly understands its role in the safe and nutritious production of animal feed ingredients and has done it very effectively for over 100 years. The availability of rendered products for animal feeds in the future depends on regulation and the market. Renderers are innovative and competitive and will adapt to changes in both. Regulatory agencies will determine whether certain raw materials can be used for animal feed. The National Renderers Association (NRA) supports the use of science as the basis for regulation while aesthetics, product specifications, and quality differences should be left to the marketplace. Customer expectations, consumer demand, and economic considerations will dictate product specifications and prices. Without the continuing efforts of the rendering industry, the accumulation of unprocessed animal by-products would impede the meat industries and pose a serious potential hazard to animal and human health. Raw","author":[{"dropping-particle":"","family":"Meeker","given":"David L","non-dropping-particle":"","parse-names":false,"suffix":""},{"dropping-particle":"","family":"Hamilton","given":"C R","non-dropping-particle":"","parse-names":false,"suffix":""}],"container-title":"Essential Rendering","id":"ITEM-1","issue":"September","issued":{"date-parts":[["2006"]]},"page":"1-16","title":"An overview of the rendering industry","type":"article-journal"},"uris":["http://www.mendeley.com/documents/?uuid=5570b96b-daab-4cd6-a253-0cf9d7c78671"]},{"id":"ITEM-2","itemData":{"DOI":"10.1111/j.1530-9290.2011.00430.x","ISSN":"10881980","abstract":"This article presents a tool and data for calculation of the carbon footprint of rendering operations in North America, quantifying Scope 1 (direct) and Scope 2 (indirect) greenhouse gas emissions. Scope 3 (life cycle) emissions are not included. According to the sample data, in one year an average-size rendering plant in North America processes 100,000 tonnes (t) of meat by-products, fallen animals, and restaurant grease and produces 40,000 t of marketable fats and proteins. A plant of this size emits directly about 20,000 t of carbon dioxide (CO 2), mostly by burning fuels to operate cookers that destroy pathogens, drive off moisture, and separate the fat and protein. Another 4,000 t of CO 2 is emitted by utility companies to provide electricity for the rendering process. These direct and indirect emissions are equivalent to about 30% of the CO 2 that would be released if all of the carbon in the rendered raw material were decomposed into CO 2. © 2012 by Yale University.","author":[{"dropping-particle":"","family":"Gooding","given":"Charles H.","non-dropping-particle":"","parse-names":false,"suffix":""}],"container-title":"Journal of Industrial Ecology","id":"ITEM-2","issue":"2","issued":{"date-parts":[["2012"]]},"page":"223-230","title":"Data for the Carbon Footprinting of Rendering Operations","type":"article-journal","volume":"16"},"uris":["http://www.mendeley.com/documents/?uuid=d979f528-a1c2-4f07-b35f-3c1d905815e5"]}],"mendeley":{"formattedCitation":"(Gooding, 2012; Meeker and Hamilton, 2006)","plainTextFormattedCitation":"(Gooding, 2012; Meeker and Hamilton, 2006)","previouslyFormattedCitation":"(Gooding, 2012; Meeker and Hamilton, 2006)"},"properties":{"noteIndex":0},"schema":"https://github.com/citation-style-language/schema/raw/master/csl-citation.json"}</w:instrText>
      </w:r>
      <w:r w:rsidR="00AE5900" w:rsidRPr="00405395">
        <w:rPr>
          <w:lang w:val="en-GB"/>
        </w:rPr>
        <w:fldChar w:fldCharType="separate"/>
      </w:r>
      <w:r w:rsidR="00AE5900" w:rsidRPr="00405395">
        <w:rPr>
          <w:noProof/>
          <w:lang w:val="en-GB"/>
        </w:rPr>
        <w:t>(Gooding, 2012; Meeker and Hamilton, 2006)</w:t>
      </w:r>
      <w:r w:rsidR="00AE5900" w:rsidRPr="00405395">
        <w:rPr>
          <w:lang w:val="en-GB"/>
        </w:rPr>
        <w:fldChar w:fldCharType="end"/>
      </w:r>
      <w:r w:rsidR="00AE5900" w:rsidRPr="00405395">
        <w:rPr>
          <w:lang w:val="en-GB"/>
        </w:rPr>
        <w:t>.</w:t>
      </w:r>
      <w:r w:rsidR="00E17E61" w:rsidRPr="00405395">
        <w:rPr>
          <w:lang w:val="en-GB"/>
        </w:rPr>
        <w:t xml:space="preserve"> </w:t>
      </w:r>
      <w:r w:rsidRPr="00405395">
        <w:rPr>
          <w:lang w:val="en-GB"/>
        </w:rPr>
        <w:t xml:space="preserve">The increasing need for high quality animal feed and the growing utilization of </w:t>
      </w:r>
      <w:r w:rsidRPr="00405395">
        <w:rPr>
          <w:lang w:val="en-GB"/>
        </w:rPr>
        <w:lastRenderedPageBreak/>
        <w:t>animal byproducts in pet foods are poised to elevate the market share of rendered products in Europe in the foreseeable future. As per the Global Feed LCA Institute (GFLI), an estimated 18 million tons of animal materials undergo processing annually in Europe</w:t>
      </w:r>
      <w:r w:rsidR="00961C1D" w:rsidRPr="00405395">
        <w:rPr>
          <w:lang w:val="en-GB"/>
        </w:rPr>
        <w:t xml:space="preserve"> </w:t>
      </w:r>
      <w:r w:rsidR="00961C1D" w:rsidRPr="00405395">
        <w:rPr>
          <w:lang w:val="en-GB"/>
        </w:rPr>
        <w:fldChar w:fldCharType="begin" w:fldLock="1"/>
      </w:r>
      <w:r w:rsidR="00A6644F" w:rsidRPr="00405395">
        <w:rPr>
          <w:lang w:val="en-GB"/>
        </w:rPr>
        <w:instrText>ADDIN CSL_CITATION {"citationItems":[{"id":"ITEM-1","itemData":{"URL":"https://www.fortunebusinessinsights.com/industry-reports/rendered-products-market-100806","author":[{"dropping-particle":"","family":"Fortune Business Insight","given":"","non-dropping-particle":"","parse-names":false,"suffix":""}],"id":"ITEM-1","issued":{"date-parts":[["2024"]]},"title":"Rendered Products Market Size, Share &amp; Industry Analysis, By Source (Sheep, Poultry, Cattle, Hogs, and Others), By Type (Tallow, Poultry Fat, Grease, Protein Meal, and Others), By Grade (Food Grade, Feed Grade, and Industrial Grade), and Regional Forecast","type":"webpage"},"uris":["http://www.mendeley.com/documents/?uuid=134ca9b2-ccc7-469d-b3d3-9e7ab5ccc045"]}],"mendeley":{"formattedCitation":"(Fortune Business Insight, 2024)","plainTextFormattedCitation":"(Fortune Business Insight, 2024)","previouslyFormattedCitation":"(Fortune Business Insight, 2024)"},"properties":{"noteIndex":0},"schema":"https://github.com/citation-style-language/schema/raw/master/csl-citation.json"}</w:instrText>
      </w:r>
      <w:r w:rsidR="00961C1D" w:rsidRPr="00405395">
        <w:rPr>
          <w:lang w:val="en-GB"/>
        </w:rPr>
        <w:fldChar w:fldCharType="separate"/>
      </w:r>
      <w:r w:rsidR="00961C1D" w:rsidRPr="00405395">
        <w:rPr>
          <w:noProof/>
          <w:lang w:val="en-GB"/>
        </w:rPr>
        <w:t>(Fortune Business Insight, 2024)</w:t>
      </w:r>
      <w:r w:rsidR="00961C1D" w:rsidRPr="00405395">
        <w:rPr>
          <w:lang w:val="en-GB"/>
        </w:rPr>
        <w:fldChar w:fldCharType="end"/>
      </w:r>
      <w:r w:rsidRPr="00405395">
        <w:rPr>
          <w:lang w:val="en-GB"/>
        </w:rPr>
        <w:t>.</w:t>
      </w:r>
    </w:p>
    <w:p w14:paraId="0E84E99B" w14:textId="60310634" w:rsidR="00E354BD" w:rsidRPr="00405395" w:rsidRDefault="00E354BD" w:rsidP="00E354BD">
      <w:pPr>
        <w:pStyle w:val="CETBodytext"/>
        <w:rPr>
          <w:lang w:val="en-GB"/>
        </w:rPr>
      </w:pPr>
      <w:r w:rsidRPr="00405395">
        <w:rPr>
          <w:lang w:val="en-GB"/>
        </w:rPr>
        <w:t xml:space="preserve">The rendering industry contributes to environmental sustainability </w:t>
      </w:r>
      <w:r w:rsidR="00AE5900" w:rsidRPr="00405395">
        <w:rPr>
          <w:lang w:val="en-GB"/>
        </w:rPr>
        <w:t>by ensuring safe disposal, processing and subsequent reuse of animal by-products thus</w:t>
      </w:r>
      <w:r w:rsidRPr="00405395">
        <w:rPr>
          <w:lang w:val="en-GB"/>
        </w:rPr>
        <w:t xml:space="preserve"> reducing the need for landfill space to dispose of animal waste</w:t>
      </w:r>
      <w:r w:rsidR="00AE5900" w:rsidRPr="00405395">
        <w:rPr>
          <w:lang w:val="en-GB"/>
        </w:rPr>
        <w:t>. At the same time, it reduces</w:t>
      </w:r>
      <w:r w:rsidRPr="00405395">
        <w:rPr>
          <w:lang w:val="en-GB"/>
        </w:rPr>
        <w:t xml:space="preserve"> excess carbon dioxide emissions from such waste, thus mitigating greenhouse gas emissions</w:t>
      </w:r>
      <w:r w:rsidR="00F90E7F" w:rsidRPr="00405395">
        <w:rPr>
          <w:lang w:val="en-GB"/>
        </w:rPr>
        <w:t>, although it entails a significant consumption of potable water and generate</w:t>
      </w:r>
      <w:r w:rsidR="006C5442" w:rsidRPr="00405395">
        <w:rPr>
          <w:lang w:val="en-GB"/>
        </w:rPr>
        <w:t>s</w:t>
      </w:r>
      <w:r w:rsidR="00F90E7F" w:rsidRPr="00405395">
        <w:rPr>
          <w:lang w:val="en-GB"/>
        </w:rPr>
        <w:t xml:space="preserve"> substantial quantities of wastewater </w:t>
      </w:r>
      <w:r w:rsidR="00F90E7F" w:rsidRPr="00405395">
        <w:rPr>
          <w:lang w:val="en-GB"/>
        </w:rPr>
        <w:fldChar w:fldCharType="begin" w:fldLock="1"/>
      </w:r>
      <w:r w:rsidR="00961C1D" w:rsidRPr="00405395">
        <w:rPr>
          <w:lang w:val="en-GB"/>
        </w:rPr>
        <w:instrText>ADDIN CSL_CITATION {"citationItems":[{"id":"ITEM-1","itemData":{"author":[{"dropping-particle":"","family":"Sindt","given":"Gregory L","non-dropping-particle":"","parse-names":false,"suffix":""}],"container-title":"Essential Rendering","id":"ITEM-1","issued":{"date-parts":[["2017"]]},"page":"14","title":"Environmental issues in the rendering industry","type":"article-journal"},"uris":["http://www.mendeley.com/documents/?uuid=735f7e49-c9e8-4837-903d-cfb38b48956e"]},{"id":"ITEM-2","itemData":{"DOI":"10.1016/j.chemosphere.2019.04.045","ISSN":"18791298","PMID":"30986603","abstract":"The rendering plant secondary effluent (SE) was reclaimed with coagulation, sand filtration and ultrafiltration for reuse in the plant and for potential reuse in irrigation. The best coagulant was selected and the pH and coagulant dosage were optimized with response surface methodology (RSM) to achieve low turbidity, conductivity, and content of carbon at a higher pH. Residual flocs from the coagulation were separated with sand filtration, and afterward, the effluent was treated with six ultrafiltration membranes. The pretreatment (coagulation and sand filtration) drastically reduced fouling (50–95%). The main water parameters (turbidity, conductivity, pH, content of carbon, chemical oxygen demand, and content of cations and anions) were determined in each treatment step. The physico-chemical parameters and microbiological analysis of the resulting permeate showed that it could be reused in the rendering plant for washing purposes, and it satisfies the main regulations and guidelines for wastewater reuse, i.e. US EPA and FAO.","author":[{"dropping-particle":"","family":"Racar","given":"M.","non-dropping-particle":"","parse-names":false,"suffix":""},{"dropping-particle":"","family":"Dolar","given":"D.","non-dropping-particle":"","parse-names":false,"suffix":""},{"dropping-particle":"","family":"Farkaš","given":"M.","non-dropping-particle":"","parse-names":false,"suffix":""},{"dropping-particle":"","family":"Milčić","given":"N.","non-dropping-particle":"","parse-names":false,"suffix":""},{"dropping-particle":"","family":"Špehar","given":"A.","non-dropping-particle":"","parse-names":false,"suffix":""},{"dropping-particle":"","family":"Košutić","given":"K.","non-dropping-particle":"","parse-names":false,"suffix":""}],"container-title":"Chemosphere","id":"ITEM-2","issued":{"date-parts":[["2019"]]},"page":"207-215","title":"Rendering plant wastewater reclamation by coagulation, sand filtration, and ultrafiltration","type":"article-journal","volume":"227"},"uris":["http://www.mendeley.com/documents/?uuid=324a81cd-2fe3-450f-986c-83ce1d62926a"]}],"mendeley":{"formattedCitation":"(Racar et al., 2019; Sindt, 2017)","plainTextFormattedCitation":"(Racar et al., 2019; Sindt, 2017)","previouslyFormattedCitation":"(Racar et al., 2019; Sindt, 2017)"},"properties":{"noteIndex":0},"schema":"https://github.com/citation-style-language/schema/raw/master/csl-citation.json"}</w:instrText>
      </w:r>
      <w:r w:rsidR="00F90E7F" w:rsidRPr="00405395">
        <w:rPr>
          <w:lang w:val="en-GB"/>
        </w:rPr>
        <w:fldChar w:fldCharType="separate"/>
      </w:r>
      <w:r w:rsidR="00F90E7F" w:rsidRPr="00405395">
        <w:rPr>
          <w:noProof/>
          <w:lang w:val="en-GB"/>
        </w:rPr>
        <w:t>(Racar et al., 2019; Sindt, 2017)</w:t>
      </w:r>
      <w:r w:rsidR="00F90E7F" w:rsidRPr="00405395">
        <w:rPr>
          <w:lang w:val="en-GB"/>
        </w:rPr>
        <w:fldChar w:fldCharType="end"/>
      </w:r>
      <w:r w:rsidR="00F90E7F" w:rsidRPr="00405395">
        <w:rPr>
          <w:lang w:val="en-GB"/>
        </w:rPr>
        <w:t>.</w:t>
      </w:r>
    </w:p>
    <w:p w14:paraId="3D07E4E8" w14:textId="0114B339" w:rsidR="00E354BD" w:rsidRPr="00405395" w:rsidRDefault="00E354BD" w:rsidP="00E354BD">
      <w:pPr>
        <w:pStyle w:val="CETBodytext"/>
        <w:rPr>
          <w:lang w:val="en-GB"/>
        </w:rPr>
      </w:pPr>
      <w:r w:rsidRPr="00405395">
        <w:rPr>
          <w:lang w:val="en-GB"/>
        </w:rPr>
        <w:t>Despite its considerable positive influence on environmental quality, the rendering industry worldwide still faces challenges with nuisance odo</w:t>
      </w:r>
      <w:r w:rsidR="00F36819" w:rsidRPr="00405395">
        <w:rPr>
          <w:lang w:val="en-GB"/>
        </w:rPr>
        <w:t>u</w:t>
      </w:r>
      <w:r w:rsidRPr="00405395">
        <w:rPr>
          <w:lang w:val="en-GB"/>
        </w:rPr>
        <w:t xml:space="preserve">rs that can lead to public complaints regarding health problems, social and individual life disruption </w:t>
      </w:r>
      <w:r w:rsidRPr="00405395">
        <w:rPr>
          <w:lang w:val="en-GB"/>
        </w:rPr>
        <w:fldChar w:fldCharType="begin" w:fldLock="1"/>
      </w:r>
      <w:r w:rsidR="001F63A6" w:rsidRPr="00405395">
        <w:rPr>
          <w:lang w:val="en-GB"/>
        </w:rPr>
        <w:instrText>ADDIN CSL_CITATION {"citationItems":[{"id":"ITEM-1","itemData":{"DOI":"10.1007/s11869-020-00935-2","ISBN":"1186902000","ISSN":"18739326","abstract":"Volatile organic compounds (VOCs) are generated from animal rendering facilities, some of which are malodorous, while others are considered hazardous. Odor annoyance potential, possible carcinogenic risks, and toxic effects due to VOC emissions from a rendering plant unit in Southwest Greece were evaluated for the general population residing in the near vicinity. Nine air samples were collected from the facilities of an integrated rendering plant and the surrounding area, over a 9-month period. Volatile compounds were absorbed onto solid sorbents containing Tenax TA/Sulficarb via active sampling and analyzed by thermal desorption-gas chromatography-mass spectrometry (TD-GC-MS). Sixty-three organic compounds, mainly volatile fatty acids, aldehydes, aromatic, and sulfur compounds, were quantified, in concentrations ranging from &lt; 0.01 to 210 μg m−3. The compounds contributing most to odor nuisance were butanoic acid, dimethyl trisulfide, and octanal, exceeding their odor threshold by up to 24, 36, and 117 times, respectively. Cancer and non-cancer risks were determined by a probabilistic risk assessment method. The cumulative lifetime cancer risk for the general population was calculated to be on average 10 times higher than the acceptable risk (one-in-a-million). The cumulative mean hazard quotient was 3.3 and its 95th percentile was 4.0, indicating a high risk of adverse health effects. Control measures to prevent the generation of the VOCs responsible for both odor nuisance and potential adverse health effects should be adopted.","author":[{"dropping-particle":"","family":"Sazakli","given":"Eleni","non-dropping-particle":"","parse-names":false,"suffix":""},{"dropping-particle":"","family":"Leotsinidis","given":"Michalis","non-dropping-particle":"","parse-names":false,"suffix":""}],"container-title":"Air Quality, Atmosphere and Health","id":"ITEM-1","issue":"3","issued":{"date-parts":[["2021"]]},"page":"301-312","publisher":"Air Quality, Atmosphere &amp; Health","title":"Odor nuisance and health risk assessment of VOC emissions from a rendering plant","type":"article-journal","volume":"14"},"uris":["http://www.mendeley.com/documents/?uuid=2687aa20-95af-4777-a7f8-7e6d222dc700"]},{"id":"ITEM-2","itemData":{"DOI":"10.4209/aaqr.220440","ISSN":"20711409","abstract":"Rendering plants treat dead livestock and produce grease and bone meal. In a rendering plant, the cooking and drying processes are the main sources of odor emissions. Non-fresh dead livestock reduce the performance of odor control devices, and in Taiwan, the treatment facilities in a rendering plant mostly are operated in a batch feeding, which causes volatile organic compound (VOC) emissions in the exhausted gas, that always caused complaints from the nearby neighborhood. This study used respectively ozone and hydrogen peroxide to evaluate the removal efficiencies of pentanal, hexanal and toluene those are common VOCs in the rendering exhaustion. Experimental results indicated that ozone could not effectively reduce aldehydes and toluene, and the residual ozone remaining in the exhaust gas is a secondary air pollutant and irritate the human respiratory tracts. Oppositely, hydrogen peroxide effectively removed pentanal as a feasible VOC treatment oxidant by adding into a contact reactor. When the pentanal exhaustion concentration from the rendering process was around 36.23 ppm in the flue with the flow rates from 100 to 250 Nm3 min–1, the reaction rate constant of pentanal for the first-order reaction by aqueous hydrogen peroxide of 1,000 mg L–1 was obtained as 0.536 1 s–1, and then the pentanal reduced to 0.68 to 2 ppm. Based on the simulation using the Gaussian dispersion model, the concentration ranges of pentanal in the exhausted stream resulted in the pentanal emission rate lower than 0.01 g s–1, which no longer causes surrounding residents’ complaints.","author":[{"dropping-particle":"","family":"Cheng","given":"Wen Hsi","non-dropping-particle":"","parse-names":false,"suffix":""},{"dropping-particle":"","family":"Lin","given":"Chun Hung","non-dropping-particle":"","parse-names":false,"suffix":""},{"dropping-particle":"","family":"Yuan","given":"Chung Shin","non-dropping-particle":"","parse-names":false,"suffix":""},{"dropping-particle":"","family":"Chang","given":"Ken Lin","non-dropping-particle":"","parse-names":false,"suffix":""}],"container-title":"Aerosol and Air Quality Research","id":"ITEM-2","issue":"4","issued":{"date-parts":[["2023"]]},"page":"1-10","title":"VOC Emissions from a Rendering Plant and Evaluation for Removal of Pentanal by Oxidization Using Hydrogen Peroxide","type":"article-journal","volume":"23"},"uris":["http://www.mendeley.com/documents/?uuid=3582ebea-2b19-4373-8c27-3ca77fc53bcf"]}],"mendeley":{"formattedCitation":"(Cheng et al., 2023; Sazakli and Leotsinidis, 2021)","plainTextFormattedCitation":"(Cheng et al., 2023; Sazakli and Leotsinidis, 2021)","previouslyFormattedCitation":"(Cheng et al., 2023; Sazakli and Leotsinidis, 2021)"},"properties":{"noteIndex":0},"schema":"https://github.com/citation-style-language/schema/raw/master/csl-citation.json"}</w:instrText>
      </w:r>
      <w:r w:rsidRPr="00405395">
        <w:rPr>
          <w:lang w:val="en-GB"/>
        </w:rPr>
        <w:fldChar w:fldCharType="separate"/>
      </w:r>
      <w:r w:rsidR="00A6644F" w:rsidRPr="00405395">
        <w:rPr>
          <w:noProof/>
          <w:lang w:val="en-GB"/>
        </w:rPr>
        <w:t>(Cheng et al., 2023; Sazakli and Leotsinidis, 2021)</w:t>
      </w:r>
      <w:r w:rsidRPr="00405395">
        <w:rPr>
          <w:lang w:val="en-GB"/>
        </w:rPr>
        <w:fldChar w:fldCharType="end"/>
      </w:r>
      <w:r w:rsidRPr="00405395">
        <w:rPr>
          <w:lang w:val="en-GB"/>
        </w:rPr>
        <w:t xml:space="preserve">. The blood storage area is typically the most malodorous section of a rendering plant as well as the </w:t>
      </w:r>
      <w:r w:rsidR="00EB7CDE">
        <w:rPr>
          <w:lang w:val="en-GB"/>
        </w:rPr>
        <w:t>cooking vats</w:t>
      </w:r>
      <w:r w:rsidRPr="00405395">
        <w:rPr>
          <w:lang w:val="en-GB"/>
        </w:rPr>
        <w:t xml:space="preserve">, the gut department, and the wastewater treatment facility </w:t>
      </w:r>
      <w:r w:rsidR="009A3333" w:rsidRPr="00405395">
        <w:rPr>
          <w:lang w:val="en-GB"/>
        </w:rPr>
        <w:fldChar w:fldCharType="begin" w:fldLock="1"/>
      </w:r>
      <w:r w:rsidR="0045435C" w:rsidRPr="00405395">
        <w:rPr>
          <w:lang w:val="en-GB"/>
        </w:rPr>
        <w:instrText>ADDIN CSL_CITATION {"citationItems":[{"id":"ITEM-1","itemData":{"DOI":"10.1016/j.cej.2005.03.006","ISSN":"13858947","abstract":"The rendering process consists of crushing and heating animal remains to produce by-products. The U.S. produces approximately 30 billion pounds of inedible animal by-products annually, exporting a market value of US$ 1.5 billion. Benefits of the rendering process include reducing total waste material, and helping the livestock industry stay competitive over vegetable protein manufacturers. However, the rendering process can have a negative effect on the environment through the emission of nuisance odorous compounds such as hydrogen sulfide, reduced sulfur compounds, ammonia, various fatty acids, ketones and aldehydes. Several strategies are currently used to combat odor in rendering facilities. In recent years, rendering facilities are increasingly selecting biofiltration for combating nuisance odor. This work describes modeling and design strategies used in building large-scale biofilter systems of up to 250,000 cfm (cubic feet per minute) capacity. The models facilitated in the design and evaluation of operating conditions and capital investment. This work demonstrates that models play an important role in the design of large-scale odor control systems that deliver predicted performance. © 2005 Elsevier B.V. All rights reserved.","author":[{"dropping-particle":"","family":"Shareefdeen","given":"Zarook","non-dropping-particle":"","parse-names":false,"suffix":""},{"dropping-particle":"","family":"Herner","given":"Brian","non-dropping-particle":"","parse-names":false,"suffix":""},{"dropping-particle":"","family":"Webb","given":"Derek","non-dropping-particle":"","parse-names":false,"suffix":""},{"dropping-particle":"","family":"Verhaeghe","given":"Laura","non-dropping-particle":"","parse-names":false,"suffix":""},{"dropping-particle":"","family":"Wilson","given":"Steve","non-dropping-particle":"","parse-names":false,"suffix":""}],"container-title":"Chemical Engineering Journal","id":"ITEM-1","issue":"2-3","issued":{"date-parts":[["2005"]]},"page":"215-220","title":"An odor predictive model for rendering applications","type":"article-journal","volume":"113"},"uris":["http://www.mendeley.com/documents/?uuid=fa7d7799-53a6-459a-9a60-99e32bf41c8f"]}],"mendeley":{"formattedCitation":"(Shareefdeen et al., 2005)","plainTextFormattedCitation":"(Shareefdeen et al., 2005)","previouslyFormattedCitation":"(Shareefdeen et al., 2005)"},"properties":{"noteIndex":0},"schema":"https://github.com/citation-style-language/schema/raw/master/csl-citation.json"}</w:instrText>
      </w:r>
      <w:r w:rsidR="009A3333" w:rsidRPr="00405395">
        <w:rPr>
          <w:lang w:val="en-GB"/>
        </w:rPr>
        <w:fldChar w:fldCharType="separate"/>
      </w:r>
      <w:r w:rsidR="009A3333" w:rsidRPr="00405395">
        <w:rPr>
          <w:noProof/>
          <w:lang w:val="en-GB"/>
        </w:rPr>
        <w:t>(Shareefdeen et al., 2005)</w:t>
      </w:r>
      <w:r w:rsidR="009A3333" w:rsidRPr="00405395">
        <w:rPr>
          <w:lang w:val="en-GB"/>
        </w:rPr>
        <w:fldChar w:fldCharType="end"/>
      </w:r>
      <w:r w:rsidR="009A3333" w:rsidRPr="00405395">
        <w:rPr>
          <w:lang w:val="en-GB"/>
        </w:rPr>
        <w:t>.</w:t>
      </w:r>
    </w:p>
    <w:p w14:paraId="486E9146" w14:textId="4909F378" w:rsidR="00D94BB8" w:rsidRPr="00405395" w:rsidRDefault="00D94BB8" w:rsidP="00E354BD">
      <w:pPr>
        <w:pStyle w:val="CETBodytext"/>
        <w:rPr>
          <w:lang w:val="en-GB"/>
        </w:rPr>
      </w:pPr>
      <w:r w:rsidRPr="00405395">
        <w:rPr>
          <w:lang w:val="en-GB"/>
        </w:rPr>
        <w:t xml:space="preserve">In this case study, the </w:t>
      </w:r>
      <w:proofErr w:type="spellStart"/>
      <w:r w:rsidRPr="00405395">
        <w:rPr>
          <w:lang w:val="en-GB"/>
        </w:rPr>
        <w:t>Lagrangian</w:t>
      </w:r>
      <w:proofErr w:type="spellEnd"/>
      <w:r w:rsidRPr="00405395">
        <w:rPr>
          <w:lang w:val="en-GB"/>
        </w:rPr>
        <w:t xml:space="preserve"> puff CALPUFF model was adopted to assess the odour impact related to a rendering plant located in Italy. Indeed, for several years, the application of versatile </w:t>
      </w:r>
      <w:proofErr w:type="spellStart"/>
      <w:r w:rsidRPr="00405395">
        <w:rPr>
          <w:lang w:val="en-GB"/>
        </w:rPr>
        <w:t>Lagrangian</w:t>
      </w:r>
      <w:proofErr w:type="spellEnd"/>
      <w:r w:rsidRPr="00405395">
        <w:rPr>
          <w:lang w:val="en-GB"/>
        </w:rPr>
        <w:t xml:space="preserve"> puff models has been widely acknowledged as a standard practice in numerous countries globally for forecasting odour exposure levels in the vicinity of industrial facilities</w:t>
      </w:r>
      <w:r w:rsidR="001F63A6" w:rsidRPr="00405395">
        <w:rPr>
          <w:lang w:val="en-GB"/>
        </w:rPr>
        <w:t xml:space="preserve"> </w:t>
      </w:r>
      <w:r w:rsidR="001F63A6" w:rsidRPr="00405395">
        <w:rPr>
          <w:lang w:val="en-GB"/>
        </w:rPr>
        <w:fldChar w:fldCharType="begin" w:fldLock="1"/>
      </w:r>
      <w:r w:rsidR="008D6BFD" w:rsidRPr="00405395">
        <w:rPr>
          <w:lang w:val="en-GB"/>
        </w:rPr>
        <w:instrText>ADDIN CSL_CITATION {"citationItems":[{"id":"ITEM-1","itemData":{"DOI":"10.1016/j.cscee.2023.100492","ISSN":"26660164","abstract":"For atmospheric dispersion models, Cloud Cover (CC) is an input that controls turbulent diffusion. This study analyses the influence of various approaches to estimate CC in odour dispersion modelling: given the normative relevance of these assessments, it is pivotal to understand the result of different operational choices about this parameter. Results seem largely comparable regardless the different CC approach. Both, micrometeorological parameters from CALMET simulations and CALPUFF odour impact maps appear almost overlapped. The outcome of the present study is that CC algorithms, do not significantly influence odour impact: this result strengthens the regulatory use of models for odour assessments.","author":[{"dropping-particle":"","family":"Tagliaferri","given":"Francesca","non-dropping-particle":"","parse-names":false,"suffix":""},{"dropping-particle":"","family":"Facagni","given":"Laura","non-dropping-particle":"","parse-names":false,"suffix":""},{"dropping-particle":"","family":"Invernizzi","given":"Marzio","non-dropping-particle":"","parse-names":false,"suffix":""},{"dropping-particle":"","family":"Sironi","given":"Selena","non-dropping-particle":"","parse-names":false,"suffix":""}],"container-title":"Case Studies in Chemical and Environmental Engineering","id":"ITEM-1","issue":"September","issued":{"date-parts":[["2023"]]},"page":"100492","publisher":"Elsevier Ltd","title":"Variability in odour impact assessment due to different cloud cover estimation approaches: A northern Italy case study","type":"article-journal","volume":"8"},"uris":["http://www.mendeley.com/documents/?uuid=1dd4c394-c00f-4133-8a42-0d706f616ff4"]},{"id":"ITEM-2","itemData":{"DOI":"10.31025/2611-4135/2020.13998","ISSN":"26114135","abstract":"Landfills are an important source of odour pollution, potentially causing nuisance to adjacent populations. The most commonly used odour impact assessment for this type of plants usually involves a combination of dynamic olfactometry with dispersion modelling. Despite the advantages associated with the use of dispersion mod-els, there are still some important issues related to their uncertainty. The dispersion model requires the Odour Emission Rate (OER) as input, expressed as units of odour emitted per unit time. Source term characterization and the estimation of the OER are typically the most important steps in the model’s implementation, accounting for the highest contribution to the overall uncertainty. Another important element of uncertainty when modelling emissions from landfill surfaces is the geometrical implementation of the emission source in the dispersion model. This entails the definition of the initial dimensions of the emission, which is critical in the case of large area sources. This paper discusses issues related to uncertainty in the use of dispersion models for the evaluation of landfill odour impacts, particularly focus-ing on the estimation of the OER and the emission’s initial vertical dimension. This study shows that modelling choices may lead to a variance in the resulting mod-elled odour concentrations at receptors differing by up to a factor 3. This variability should not cause distrust in the method, but rather indicates the importance of hav-ing odour dispersion modelling studies carried out by experts with deep knowledge of the physical-chemical mechanisms underlying atmospheric emissions.","author":[{"dropping-particle":"","family":"Tagliaferri","given":"Francesca","non-dropping-particle":"","parse-names":false,"suffix":""},{"dropping-particle":"","family":"Invernizzi","given":"Marzio","non-dropping-particle":"","parse-names":false,"suffix":""},{"dropping-particle":"","family":"Sironi","given":"Selena","non-dropping-particle":"","parse-names":false,"suffix":""},{"dropping-particle":"","family":"Capelli","given":"Laura","non-dropping-particle":"","parse-names":false,"suffix":""}],"container-title":"Detritus","id":"ITEM-2","issued":{"date-parts":[["2020"]]},"page":"92-99","title":"Influence of modelling choices on the results of landfill odour dispersion","type":"article-journal","volume":"12"},"uris":["http://www.mendeley.com/documents/?uuid=a16a8294-a307-4c05-bcf4-4e00f5c4b558"]},{"id":"ITEM-3","itemData":{"DOI":"10.3390/app14062457","abstract":"Dispersion modeling is a useful tool for reproducing the spatial–temporal distribution of pollutants emitted by industrial sites, particularly in the environmental odor field. One widely used tool, accepted by regulatory agencies for environmental impact assessments, is the CALPUFF model, which requires a large number of input variables, including meteorological and orographical variables. The reliability of model results depends on the accuracy of these input variables. The present research aims to discuss a comparative study of odor dispersion modeling by initializing the CALMET meteorological processor with different input data: surface and upper air observational meteorological data, 3D prognostic data, and a blend of prognostic and measured data. Two distinct sources (a point and an area source) and two different simulation domains in Cuba and Italy are considered. The analysis of results is based on odor impact criteria enforced in some Italian regions by computing the 98th percentile of odor peak concentrations on an annual basis. For the area source, simulation results reveal that the ‘OBS’ and ‘HYBRID’ modes are largely comparable, whereas prognostic data tend to underestimate the odor concentrations, likely due to a reduced percentage of wind calms. For point sources, different input meteorological settings provide comparable results, with no significant differences.","author":[{"dropping-particle":"","family":"Tagliaferri","given":"Francesca","non-dropping-particle":"","parse-names":false,"suffix":""},{"dropping-particle":"","family":"Facagni","given":"Laura","non-dropping-particle":"","parse-names":false,"suffix":""},{"dropping-particle":"","family":"Invernizzi","given":"Marzio","non-dropping-particle":"","parse-names":false,"suffix":""},{"dropping-particle":"","family":"Ferrer Hernández","given":"Adrian Luis","non-dropping-particle":"","parse-names":false,"suffix":""},{"dropping-particle":"","family":"Hernández-Garces","given":"Anel","non-dropping-particle":"","parse-names":false,"suffix":""},{"dropping-particle":"","family":"Sironi","given":"Selena","non-dropping-particle":"","parse-names":false,"suffix":""}],"container-title":"Applied Sciences","id":"ITEM-3","issue":"6","issued":{"date-parts":[["2024"]]},"page":"2457","title":"Odor Impact Assessment via Dispersion Model: Comparison of Different Input Meteorological Datasets","type":"article-journal","volume":"14"},"uris":["http://www.mendeley.com/documents/?uuid=6ccfd389-f049-452b-afa8-9b13e9416743"]},{"id":"ITEM-4","itemData":{"DOI":"10.1016/j.envint.2020.105990","ISSN":"18736750","PMID":"32795747","abstract":"Short-term events are one of the specific aspects that differentiate odour nuisance problems from conventional air quality pollutants. Atmospheric dispersion modelling has been considered the gold standard to realise odour impact assessments and to calculate separation distances. Most of these models provide predictions of concentrations of a pollutant in ambient air on an hourly basis. Even when the hourly mean odour concentration is lower than the perception threshold, concentration peaks above the threshold may occur during this period. The constant peak-to-mean factor is nowadays the most widespread method for evaluating short-term concentrations from the long-term ones. Different approaches have been proposed in the scientific literature to consider non-constant peak-to-mean factors. Two prominent approaches to do so are the i) variable peak-to-mean factor which considers the distance from the source and atmospheric stability and the ii) concentration-variance transport. In this sense, the aim of this work is to compare the results of three different freely available dispersion models (namely, CALPUFF, LAPMOD and GRAL), which implement three distinct ways to evaluate the short-term concentration values. Two sites, one in Austria and the other in Italy, were selected for the investigation. Dispersion model results were compared and discussed both in terms of long-term (hourly) concentrations and short-term. An important outcome of this work is that the dispersion models provided more equivalent results for hourly mean concentrations, in particular in the far-field. On the contrary, the method to evaluate short-term concentrations can deliver disparate results, thereby revealing a potential risk of poor assessment conclusions. The utilistion of a multiangle methodological approach (dispersion models, study site locations, algorithms to incorporate short-term concentrations) allowed providing useful information for future studies and policymaking in this field. Accordingly, our findings call for awareness on how the use of a particular dispersion model and its sub-hourly peak calculation method can affect odour impact assessment conclusions and compliance demonstrations.","author":[{"dropping-particle":"","family":"Invernizzi","given":"Marzio","non-dropping-particle":"","parse-names":false,"suffix":""},{"dropping-particle":"","family":"Brancher","given":"Marlon","non-dropping-particle":"","parse-names":false,"suffix":""},{"dropping-particle":"","family":"Sironi","given":"Selena","non-dropping-particle":"","parse-names":false,"suffix":""},{"dropping-particle":"","family":"Capelli","given":"Laura","non-dropping-particle":"","parse-names":false,"suffix":""},{"dropping-particle":"","family":"Piringer","given":"Martin","non-dropping-particle":"","parse-names":false,"suffix":""},{"dropping-particle":"","family":"Schauberger","given":"Günther","non-dropping-particle":"","parse-names":false,"suffix":""}],"container-title":"Environment International","id":"ITEM-4","issue":"June","issued":{"date-parts":[["2020"]]},"page":"105990","publisher":"Elsevier","title":"Odour impact assessment by considering short-term ambient concentrations: A multi-model and two-site comparison","type":"article-journal","volume":"144"},"uris":["http://www.mendeley.com/documents/?uuid=00e81443-5081-48bf-a1a8-9e6febaf8909"]},{"id":"ITEM-5","itemData":{"DOI":"10.3303/CET2295027","ISBN":"9788895608945","ISSN":"22839216","abstract":"Odour impact assessment can be a very complex issue for plants characterized by variable emissions associated to different operating conditions occurring with unpredictable frequencies. An example of this type of plants are foundries which, in general, are equipped to treat, transform and process a variety of raw materials in order to reach the required prerequisites of their final products (i.e., alloys). Thus, depending on the raw materials entering the plant, it could be necessary to change very often, even several times a day, the operating conditions of the plant, leading to a continuous variation of their emissions. In this context, the present work aims to describe a methodology to characterize such complex and variable emission scenario from an olfactory point of view. This case-study focuses on the evaluation of the odour impact assessment of a non-ferrous metal smelting and alloying plant whose odorous emissions demonstrated to strongly differ from each other depending on the processing phase and type of raw materials used. Firstly, several olfactometric campaigns were carried out in different seasons and considering different operating conditions. By analysing the odour concentration values by means of a one-way ANOVA test, two “macro-classes” of operating conditions characterized by statistically different odour emissions were identified: “Low” odour condition and “High” odour condition. Then, a randomized dispersion model was developed to simulate the variability of emissions of the plant through a statistical approach implementing a specific MATLAB® function to randomly distribute the occurrence of the higher-emission conditions over the year. Finally, 6 different scenarios have been simulated by CALPUFF and the results obtained have been compared and evaluated, proving the importance of investigating the model sensitivity towards the choice of the hours in which the higher-emissions conditions occur.","author":[{"dropping-particle":"","family":"Lotesoriere","given":"Beatrice J.","non-dropping-particle":"","parse-names":false,"suffix":""},{"dropping-particle":"","family":"Panzitta","given":"Alessandra","non-dropping-particle":"","parse-names":false,"suffix":""},{"dropping-particle":"","family":"Capelli","given":"Laura","non-dropping-particle":"","parse-names":false,"suffix":""}],"container-title":"Chemical Engineering Transactions","id":"ITEM-5","issue":"June","issued":{"date-parts":[["2022"]]},"page":"157-162","title":"A Method to Evaluate Odour Impacts in the Case of Highly Variable Emission Scenarios: a Case Study in a Foundry","type":"article-journal","volume":"95"},"uris":["http://www.mendeley.com/documents/?uuid=108b3e20-a216-473e-bfe6-67a3d71941fc"]}],"mendeley":{"formattedCitation":"(Invernizzi et al., 2020; Lotesoriere et al., 2022; Tagliaferri et al., 2024, 2023, 2020)","plainTextFormattedCitation":"(Invernizzi et al., 2020; Lotesoriere et al., 2022; Tagliaferri et al., 2024, 2023, 2020)","previouslyFormattedCitation":"(Invernizzi et al., 2020; Lotesoriere et al., 2022; Tagliaferri et al., 2024, 2023, 2020)"},"properties":{"noteIndex":0},"schema":"https://github.com/citation-style-language/schema/raw/master/csl-citation.json"}</w:instrText>
      </w:r>
      <w:r w:rsidR="001F63A6" w:rsidRPr="00405395">
        <w:rPr>
          <w:lang w:val="en-GB"/>
        </w:rPr>
        <w:fldChar w:fldCharType="separate"/>
      </w:r>
      <w:r w:rsidR="008F7FCF" w:rsidRPr="00405395">
        <w:rPr>
          <w:noProof/>
          <w:lang w:val="en-GB"/>
        </w:rPr>
        <w:t>(Invernizzi et al., 2020; Lotesoriere et al., 2022; Tagliaferri et al., 2024, 2023, 2020)</w:t>
      </w:r>
      <w:r w:rsidR="001F63A6" w:rsidRPr="00405395">
        <w:rPr>
          <w:lang w:val="en-GB"/>
        </w:rPr>
        <w:fldChar w:fldCharType="end"/>
      </w:r>
      <w:r w:rsidRPr="00405395">
        <w:rPr>
          <w:lang w:val="en-GB"/>
        </w:rPr>
        <w:t>. Additionally, CALPUFF is also mentioned by the US EPA for near-field simulations (&lt;</w:t>
      </w:r>
      <w:r w:rsidR="001C4E9F" w:rsidRPr="00405395">
        <w:rPr>
          <w:lang w:val="en-GB"/>
        </w:rPr>
        <w:t xml:space="preserve"> </w:t>
      </w:r>
      <w:r w:rsidRPr="00405395">
        <w:rPr>
          <w:lang w:val="en-GB"/>
        </w:rPr>
        <w:t>50 km)</w:t>
      </w:r>
      <w:r w:rsidR="001F63A6" w:rsidRPr="00405395">
        <w:rPr>
          <w:lang w:val="en-GB"/>
        </w:rPr>
        <w:t xml:space="preserve"> </w:t>
      </w:r>
      <w:r w:rsidR="001F63A6" w:rsidRPr="00405395">
        <w:rPr>
          <w:lang w:val="en-GB"/>
        </w:rPr>
        <w:fldChar w:fldCharType="begin" w:fldLock="1"/>
      </w:r>
      <w:r w:rsidR="001F63A6" w:rsidRPr="00405395">
        <w:rPr>
          <w:lang w:val="en-GB"/>
        </w:rPr>
        <w:instrText>ADDIN CSL_CITATION {"citationItems":[{"id":"ITEM-1","itemData":{"URL":"https://www.epa.gov/scram/air-quality-dispersion-modeling-alternative-models","author":[{"dropping-particle":"","family":"US-EPA","given":"","non-dropping-particle":"","parse-names":false,"suffix":""}],"id":"ITEM-1","issued":{"date-parts":[["2023"]]},"title":"Air Quality Dispersion Modeling - Alternative Models","type":"webpage"},"uris":["http://www.mendeley.com/documents/?uuid=ce3a7d2b-741c-47db-980c-18e042cb3451"]}],"mendeley":{"formattedCitation":"(US-EPA, 2023)","plainTextFormattedCitation":"(US-EPA, 2023)","previouslyFormattedCitation":"(US-EPA, 2023)"},"properties":{"noteIndex":0},"schema":"https://github.com/citation-style-language/schema/raw/master/csl-citation.json"}</w:instrText>
      </w:r>
      <w:r w:rsidR="001F63A6" w:rsidRPr="00405395">
        <w:rPr>
          <w:lang w:val="en-GB"/>
        </w:rPr>
        <w:fldChar w:fldCharType="separate"/>
      </w:r>
      <w:r w:rsidR="001F63A6" w:rsidRPr="00405395">
        <w:rPr>
          <w:noProof/>
          <w:lang w:val="en-GB"/>
        </w:rPr>
        <w:t>(US-EPA, 2023)</w:t>
      </w:r>
      <w:r w:rsidR="001F63A6" w:rsidRPr="00405395">
        <w:rPr>
          <w:lang w:val="en-GB"/>
        </w:rPr>
        <w:fldChar w:fldCharType="end"/>
      </w:r>
      <w:r w:rsidRPr="00405395">
        <w:rPr>
          <w:lang w:val="en-GB"/>
        </w:rPr>
        <w:t>.</w:t>
      </w:r>
    </w:p>
    <w:p w14:paraId="3782DCA9" w14:textId="35877282" w:rsidR="00E354BD" w:rsidRPr="00405395" w:rsidRDefault="00D94BB8" w:rsidP="00E354BD">
      <w:pPr>
        <w:pStyle w:val="CETBodytext"/>
        <w:rPr>
          <w:lang w:val="en-GB"/>
        </w:rPr>
      </w:pPr>
      <w:r w:rsidRPr="00405395">
        <w:rPr>
          <w:lang w:val="en-GB"/>
        </w:rPr>
        <w:t>For the implementation of the emission scenario</w:t>
      </w:r>
      <w:r w:rsidR="00405395" w:rsidRPr="00405395">
        <w:rPr>
          <w:lang w:val="en-GB"/>
        </w:rPr>
        <w:t>s</w:t>
      </w:r>
      <w:r w:rsidRPr="00405395">
        <w:rPr>
          <w:lang w:val="en-GB"/>
        </w:rPr>
        <w:t>, data obtained from olfactometric monitoring conducted at the plant</w:t>
      </w:r>
      <w:r w:rsidR="008F7FCF" w:rsidRPr="00405395">
        <w:rPr>
          <w:lang w:val="en-GB"/>
        </w:rPr>
        <w:t>,</w:t>
      </w:r>
      <w:r w:rsidRPr="00405395">
        <w:rPr>
          <w:lang w:val="en-GB"/>
        </w:rPr>
        <w:t xml:space="preserve"> </w:t>
      </w:r>
      <w:r w:rsidR="008F7FCF" w:rsidRPr="00405395">
        <w:rPr>
          <w:lang w:val="en-GB"/>
        </w:rPr>
        <w:t xml:space="preserve">during the summer season, </w:t>
      </w:r>
      <w:r w:rsidRPr="00405395">
        <w:rPr>
          <w:lang w:val="en-GB"/>
        </w:rPr>
        <w:t xml:space="preserve">were </w:t>
      </w:r>
      <w:proofErr w:type="gramStart"/>
      <w:r w:rsidRPr="00405395">
        <w:rPr>
          <w:lang w:val="en-GB"/>
        </w:rPr>
        <w:t>taken into account</w:t>
      </w:r>
      <w:proofErr w:type="gramEnd"/>
      <w:r w:rsidRPr="00405395">
        <w:rPr>
          <w:lang w:val="en-GB"/>
        </w:rPr>
        <w:t>. The modelling study was divided into two parts. Firstly, the odour impact resulting from the current emission condition of the plant, distinguishing between different macro-areas of the plant: the production department, cooking vats, and the wastewater treatment plant</w:t>
      </w:r>
      <w:r w:rsidR="004F2526" w:rsidRPr="00405395">
        <w:rPr>
          <w:lang w:val="en-GB"/>
        </w:rPr>
        <w:t xml:space="preserve"> (WWTP)</w:t>
      </w:r>
      <w:r w:rsidR="00BF27EE">
        <w:rPr>
          <w:lang w:val="en-GB"/>
        </w:rPr>
        <w:t>,</w:t>
      </w:r>
      <w:r w:rsidR="00BF27EE" w:rsidRPr="00BF27EE">
        <w:rPr>
          <w:lang w:val="en-GB"/>
        </w:rPr>
        <w:t xml:space="preserve"> </w:t>
      </w:r>
      <w:r w:rsidR="00BF27EE" w:rsidRPr="00405395">
        <w:rPr>
          <w:lang w:val="en-GB"/>
        </w:rPr>
        <w:t>was evaluated</w:t>
      </w:r>
      <w:r w:rsidRPr="00405395">
        <w:rPr>
          <w:lang w:val="en-GB"/>
        </w:rPr>
        <w:t>. Secondly, simulations of predictive impact scenarios, assuming the introduction of odour emission containment systems for the macro-areas identified as the major contributors to impact</w:t>
      </w:r>
      <w:r w:rsidR="00BF27EE">
        <w:rPr>
          <w:lang w:val="en-GB"/>
        </w:rPr>
        <w:t>,</w:t>
      </w:r>
      <w:r w:rsidR="00BF27EE" w:rsidRPr="00BF27EE">
        <w:rPr>
          <w:lang w:val="en-GB"/>
        </w:rPr>
        <w:t xml:space="preserve"> </w:t>
      </w:r>
      <w:r w:rsidR="00BF27EE" w:rsidRPr="00405395">
        <w:rPr>
          <w:lang w:val="en-GB"/>
        </w:rPr>
        <w:t>were conducted</w:t>
      </w:r>
      <w:r w:rsidRPr="00405395">
        <w:rPr>
          <w:lang w:val="en-GB"/>
        </w:rPr>
        <w:t>.</w:t>
      </w:r>
      <w:r w:rsidR="008F7FCF" w:rsidRPr="00405395">
        <w:rPr>
          <w:lang w:val="en-GB"/>
        </w:rPr>
        <w:t xml:space="preserve"> The post-processing of the modelling results was conducted in accordance with the provisions of Italian regulations, which mandates the calculation of the 98</w:t>
      </w:r>
      <w:r w:rsidR="008F7FCF" w:rsidRPr="00EB7CDE">
        <w:rPr>
          <w:vertAlign w:val="superscript"/>
          <w:lang w:val="en-GB"/>
        </w:rPr>
        <w:t>th</w:t>
      </w:r>
      <w:r w:rsidR="008F7FCF" w:rsidRPr="00405395">
        <w:rPr>
          <w:lang w:val="en-GB"/>
        </w:rPr>
        <w:t xml:space="preserve"> percentile of odo</w:t>
      </w:r>
      <w:r w:rsidR="00405395">
        <w:rPr>
          <w:lang w:val="en-GB"/>
        </w:rPr>
        <w:t>u</w:t>
      </w:r>
      <w:r w:rsidR="008F7FCF" w:rsidRPr="00405395">
        <w:rPr>
          <w:lang w:val="en-GB"/>
        </w:rPr>
        <w:t xml:space="preserve">r peak concentration </w:t>
      </w:r>
      <w:r w:rsidR="00436CDC">
        <w:rPr>
          <w:lang w:val="en-GB"/>
        </w:rPr>
        <w:t xml:space="preserve">(Cod) </w:t>
      </w:r>
      <w:r w:rsidR="008F7FCF" w:rsidRPr="00405395">
        <w:rPr>
          <w:lang w:val="en-GB"/>
        </w:rPr>
        <w:t>values on a yearly basis</w:t>
      </w:r>
      <w:r w:rsidR="008D6BFD" w:rsidRPr="00405395">
        <w:rPr>
          <w:lang w:val="en-GB"/>
        </w:rPr>
        <w:t xml:space="preserve"> </w:t>
      </w:r>
      <w:r w:rsidR="005F21EF" w:rsidRPr="00405395">
        <w:rPr>
          <w:lang w:val="en-GB"/>
        </w:rPr>
        <w:fldChar w:fldCharType="begin" w:fldLock="1"/>
      </w:r>
      <w:r w:rsidR="009A3333" w:rsidRPr="00405395">
        <w:rPr>
          <w:lang w:val="en-GB"/>
        </w:rPr>
        <w:instrText>ADDIN CSL_CITATION {"citationItems":[{"id":"ITEM-1","itemData":{"author":[{"dropping-particle":"","family":"MinAmbiente","given":"","non-dropping-particle":"","parse-names":false,"suffix":""}],"id":"ITEM-1","issued":{"date-parts":[["2023"]]},"title":"Decreto Direttoriale 28 giugno 2023, n. 309","type":"legislation"},"uris":["http://www.mendeley.com/documents/?uuid=28279063-c435-44c0-857e-3e3386ed366e"]}],"mendeley":{"formattedCitation":"(MinAmbiente, 2023)","plainTextFormattedCitation":"(MinAmbiente, 2023)","previouslyFormattedCitation":"(MinAmbiente, 2023)"},"properties":{"noteIndex":0},"schema":"https://github.com/citation-style-language/schema/raw/master/csl-citation.json"}</w:instrText>
      </w:r>
      <w:r w:rsidR="005F21EF" w:rsidRPr="00405395">
        <w:rPr>
          <w:lang w:val="en-GB"/>
        </w:rPr>
        <w:fldChar w:fldCharType="separate"/>
      </w:r>
      <w:r w:rsidR="005F21EF" w:rsidRPr="00405395">
        <w:rPr>
          <w:noProof/>
          <w:lang w:val="en-GB"/>
        </w:rPr>
        <w:t>(</w:t>
      </w:r>
      <w:r w:rsidR="00CE67FF">
        <w:rPr>
          <w:noProof/>
          <w:lang w:val="en-GB"/>
        </w:rPr>
        <w:t>MASE, 2023)</w:t>
      </w:r>
      <w:r w:rsidR="005F21EF" w:rsidRPr="00405395">
        <w:rPr>
          <w:lang w:val="en-GB"/>
        </w:rPr>
        <w:fldChar w:fldCharType="end"/>
      </w:r>
      <w:r w:rsidR="005F21EF" w:rsidRPr="00405395">
        <w:rPr>
          <w:lang w:val="en-GB"/>
        </w:rPr>
        <w:t>.</w:t>
      </w:r>
    </w:p>
    <w:p w14:paraId="5741900F" w14:textId="057AD8F5" w:rsidR="00453E24" w:rsidRPr="00405395" w:rsidRDefault="008D6BFD" w:rsidP="00453E24">
      <w:pPr>
        <w:pStyle w:val="CETHeading1"/>
        <w:rPr>
          <w:lang w:val="en-GB"/>
        </w:rPr>
      </w:pPr>
      <w:r w:rsidRPr="00405395">
        <w:rPr>
          <w:lang w:val="en-GB"/>
        </w:rPr>
        <w:t>Materials and methods</w:t>
      </w:r>
    </w:p>
    <w:p w14:paraId="0636B784" w14:textId="3AF4B460" w:rsidR="00453E24" w:rsidRPr="00405395" w:rsidRDefault="008D6BFD" w:rsidP="005A2EDB">
      <w:pPr>
        <w:pStyle w:val="CETheadingx"/>
        <w:rPr>
          <w:lang w:val="en-GB"/>
        </w:rPr>
      </w:pPr>
      <w:r w:rsidRPr="00405395">
        <w:rPr>
          <w:lang w:val="en-GB"/>
        </w:rPr>
        <w:t>Set-up of the simulations</w:t>
      </w:r>
    </w:p>
    <w:p w14:paraId="3899CD66" w14:textId="6B19C5EF" w:rsidR="006C0363" w:rsidRPr="00405395" w:rsidRDefault="006C0363" w:rsidP="00453E24">
      <w:pPr>
        <w:pStyle w:val="CETBodytext"/>
        <w:rPr>
          <w:lang w:val="en-GB"/>
        </w:rPr>
      </w:pPr>
      <w:r w:rsidRPr="00405395">
        <w:rPr>
          <w:lang w:val="en-GB"/>
        </w:rPr>
        <w:t xml:space="preserve">CALPUFF is a non-steady-state atmospheric dispersion model renowned for its ability to handle complex terrain and non-uniform conditions. It employs a </w:t>
      </w:r>
      <w:proofErr w:type="spellStart"/>
      <w:r w:rsidRPr="00405395">
        <w:rPr>
          <w:lang w:val="en-GB"/>
        </w:rPr>
        <w:t>Lagrangian</w:t>
      </w:r>
      <w:proofErr w:type="spellEnd"/>
      <w:r w:rsidRPr="00405395">
        <w:rPr>
          <w:lang w:val="en-GB"/>
        </w:rPr>
        <w:t xml:space="preserve"> approach, simulating pollutant dispersion by tracking individual puffs or parcels of air through the atmosphere. This allows CALPUFF to capture the intricate interplay of meteorological conditions, such as wind patterns, temperature inversions, and turbulence, with terrain features like hills, valleys, and buildings</w:t>
      </w:r>
      <w:r w:rsidR="0045435C" w:rsidRPr="00405395">
        <w:rPr>
          <w:lang w:val="en-GB"/>
        </w:rPr>
        <w:t>.</w:t>
      </w:r>
    </w:p>
    <w:p w14:paraId="7C003FB7" w14:textId="683FB092" w:rsidR="005A2EDB" w:rsidRPr="00405395" w:rsidRDefault="006C0363" w:rsidP="006C0363">
      <w:pPr>
        <w:pStyle w:val="CETBodytext"/>
        <w:rPr>
          <w:lang w:val="en-GB"/>
        </w:rPr>
      </w:pPr>
      <w:r w:rsidRPr="00405395">
        <w:rPr>
          <w:lang w:val="en-GB"/>
        </w:rPr>
        <w:t xml:space="preserve">The simulations were conducted over </w:t>
      </w:r>
      <w:proofErr w:type="gramStart"/>
      <w:r w:rsidRPr="00405395">
        <w:rPr>
          <w:lang w:val="en-GB"/>
        </w:rPr>
        <w:t>a time period</w:t>
      </w:r>
      <w:proofErr w:type="gramEnd"/>
      <w:r w:rsidRPr="00405395">
        <w:rPr>
          <w:lang w:val="en-GB"/>
        </w:rPr>
        <w:t xml:space="preserve"> of one year. </w:t>
      </w:r>
      <w:r w:rsidR="005A2EDB" w:rsidRPr="00405395">
        <w:rPr>
          <w:lang w:val="en-GB"/>
        </w:rPr>
        <w:t>A square domain of 8x8 km</w:t>
      </w:r>
      <w:r w:rsidR="00405395" w:rsidRPr="00EB7CDE">
        <w:rPr>
          <w:vertAlign w:val="superscript"/>
          <w:lang w:val="en-GB"/>
        </w:rPr>
        <w:t>2</w:t>
      </w:r>
      <w:r w:rsidR="005A2EDB" w:rsidRPr="00405395">
        <w:rPr>
          <w:lang w:val="en-GB"/>
        </w:rPr>
        <w:t xml:space="preserve"> was considered, including the nearby residential areas around the production site.</w:t>
      </w:r>
      <w:r w:rsidRPr="00405395">
        <w:rPr>
          <w:lang w:val="en-GB"/>
        </w:rPr>
        <w:t xml:space="preserve"> </w:t>
      </w:r>
      <w:r w:rsidR="005A2EDB" w:rsidRPr="00405395">
        <w:rPr>
          <w:lang w:val="en-GB"/>
        </w:rPr>
        <w:t>The simulation domain</w:t>
      </w:r>
      <w:r w:rsidR="00E17E61" w:rsidRPr="00405395">
        <w:rPr>
          <w:lang w:val="en-GB"/>
        </w:rPr>
        <w:t xml:space="preserve">, </w:t>
      </w:r>
      <w:r w:rsidR="00405395" w:rsidRPr="00405395">
        <w:rPr>
          <w:lang w:val="en-GB"/>
        </w:rPr>
        <w:t xml:space="preserve">centred </w:t>
      </w:r>
      <w:r w:rsidR="00E17E61" w:rsidRPr="00405395">
        <w:rPr>
          <w:lang w:val="en-GB"/>
        </w:rPr>
        <w:t>on the plant,</w:t>
      </w:r>
      <w:r w:rsidR="005A2EDB" w:rsidRPr="00405395">
        <w:rPr>
          <w:lang w:val="en-GB"/>
        </w:rPr>
        <w:t xml:space="preserve"> has a grid resolution of 100 m.</w:t>
      </w:r>
    </w:p>
    <w:p w14:paraId="6B633769" w14:textId="152174D2" w:rsidR="006C0363" w:rsidRPr="00405395" w:rsidRDefault="006C0363" w:rsidP="006C0363">
      <w:pPr>
        <w:pStyle w:val="CETBodytext"/>
        <w:rPr>
          <w:lang w:val="en-GB"/>
        </w:rPr>
      </w:pPr>
      <w:r w:rsidRPr="00405395">
        <w:rPr>
          <w:lang w:val="en-GB"/>
        </w:rPr>
        <w:t>The meteorological data adopted for CALPUFF simulations consist of 3D hourly prognostic data generated by the WRF (Weather Research and Forecasting) model, with a spatial resolution of 1 km.</w:t>
      </w:r>
    </w:p>
    <w:p w14:paraId="5469DF34" w14:textId="44646766" w:rsidR="005A2EDB" w:rsidRPr="00405395" w:rsidRDefault="00E67B80" w:rsidP="006C0363">
      <w:pPr>
        <w:pStyle w:val="CETheadingx"/>
        <w:rPr>
          <w:lang w:val="en-GB"/>
        </w:rPr>
      </w:pPr>
      <w:r w:rsidRPr="00405395">
        <w:rPr>
          <w:lang w:val="en-GB"/>
        </w:rPr>
        <w:t>Current e</w:t>
      </w:r>
      <w:r w:rsidR="005A2EDB" w:rsidRPr="00405395">
        <w:rPr>
          <w:lang w:val="en-GB"/>
        </w:rPr>
        <w:t>mission scenario</w:t>
      </w:r>
    </w:p>
    <w:p w14:paraId="075323B4" w14:textId="6489E6C1" w:rsidR="005A2EDB" w:rsidRPr="00405395" w:rsidRDefault="005A2EDB" w:rsidP="005A2EDB">
      <w:pPr>
        <w:pStyle w:val="CETBodytext"/>
        <w:rPr>
          <w:lang w:val="en-GB"/>
        </w:rPr>
      </w:pPr>
      <w:r w:rsidRPr="00405395">
        <w:rPr>
          <w:lang w:val="en-GB"/>
        </w:rPr>
        <w:t xml:space="preserve">Given the presence of numerous odour sources in the rendering plant, </w:t>
      </w:r>
      <w:proofErr w:type="gramStart"/>
      <w:r w:rsidRPr="00405395">
        <w:rPr>
          <w:lang w:val="en-GB"/>
        </w:rPr>
        <w:t>in order to</w:t>
      </w:r>
      <w:proofErr w:type="gramEnd"/>
      <w:r w:rsidRPr="00405395">
        <w:rPr>
          <w:lang w:val="en-GB"/>
        </w:rPr>
        <w:t xml:space="preserve"> better manage computation times and to individually assess the different contributions to odour impact, it was decided to develop distinct emission scenarios.</w:t>
      </w:r>
      <w:r w:rsidR="00F769E5" w:rsidRPr="00405395">
        <w:rPr>
          <w:lang w:val="en-GB"/>
        </w:rPr>
        <w:t xml:space="preserve"> In particular, the different simulated macro-areas of the plant are the production department, the cooking vats and the </w:t>
      </w:r>
      <w:r w:rsidR="004F2526" w:rsidRPr="00405395">
        <w:rPr>
          <w:lang w:val="en-GB"/>
        </w:rPr>
        <w:t>WWTP</w:t>
      </w:r>
      <w:r w:rsidR="00F769E5" w:rsidRPr="00405395">
        <w:rPr>
          <w:lang w:val="en-GB"/>
        </w:rPr>
        <w:t>.</w:t>
      </w:r>
    </w:p>
    <w:p w14:paraId="1B8D5E53" w14:textId="54C6E5F6" w:rsidR="005A2EDB" w:rsidRPr="00405395" w:rsidRDefault="00F769E5" w:rsidP="005A2EDB">
      <w:pPr>
        <w:pStyle w:val="CETBodytext"/>
        <w:rPr>
          <w:lang w:val="en-GB"/>
        </w:rPr>
      </w:pPr>
      <w:r w:rsidRPr="00405395">
        <w:rPr>
          <w:lang w:val="en-GB"/>
        </w:rPr>
        <w:t xml:space="preserve">The Odour Emission Rates (OERs) implemented for the various sources were estimated based on sampling conducted at the plant during the summer season, where all potential </w:t>
      </w:r>
      <w:r w:rsidR="00405395">
        <w:rPr>
          <w:lang w:val="en-GB"/>
        </w:rPr>
        <w:t>odour</w:t>
      </w:r>
      <w:r w:rsidR="00405395" w:rsidRPr="00405395">
        <w:rPr>
          <w:lang w:val="en-GB"/>
        </w:rPr>
        <w:t xml:space="preserve"> </w:t>
      </w:r>
      <w:r w:rsidRPr="00405395">
        <w:rPr>
          <w:lang w:val="en-GB"/>
        </w:rPr>
        <w:t>sources of the facility were monitored. The gaseous samples were subsequently analy</w:t>
      </w:r>
      <w:r w:rsidR="00405395">
        <w:rPr>
          <w:lang w:val="en-GB"/>
        </w:rPr>
        <w:t>s</w:t>
      </w:r>
      <w:r w:rsidRPr="00405395">
        <w:rPr>
          <w:lang w:val="en-GB"/>
        </w:rPr>
        <w:t xml:space="preserve">ed in the laboratory within a 30-hour timeframe by means of dynamic olfactometry </w:t>
      </w:r>
      <w:r w:rsidRPr="00405395">
        <w:rPr>
          <w:lang w:val="en-GB"/>
        </w:rPr>
        <w:fldChar w:fldCharType="begin" w:fldLock="1"/>
      </w:r>
      <w:r w:rsidR="00974D3F" w:rsidRPr="00405395">
        <w:rPr>
          <w:lang w:val="en-GB"/>
        </w:rPr>
        <w:instrText>ADDIN CSL_CITATION {"citationItems":[{"id":"ITEM-1","itemData":{"author":[{"dropping-particle":"","family":"CEN","given":"","non-dropping-particle":"","parse-names":false,"suffix":""}],"id":"ITEM-1","issued":{"date-parts":[["2022"]]},"title":"Stationary source emissions - Determination of odour concentration by dynamic olfactometry and odour","type":"article-journal"},"uris":["http://www.mendeley.com/documents/?uuid=97dcbfa0-0481-4801-858b-13ee70d4327d"]}],"mendeley":{"formattedCitation":"(CEN, 2022)","plainTextFormattedCitation":"(CEN, 2022)","previouslyFormattedCitation":"(CEN, 2022)"},"properties":{"noteIndex":0},"schema":"https://github.com/citation-style-language/schema/raw/master/csl-citation.json"}</w:instrText>
      </w:r>
      <w:r w:rsidRPr="00405395">
        <w:rPr>
          <w:lang w:val="en-GB"/>
        </w:rPr>
        <w:fldChar w:fldCharType="separate"/>
      </w:r>
      <w:r w:rsidRPr="00405395">
        <w:rPr>
          <w:noProof/>
          <w:lang w:val="en-GB"/>
        </w:rPr>
        <w:t>(CEN, 2022)</w:t>
      </w:r>
      <w:r w:rsidRPr="00405395">
        <w:rPr>
          <w:lang w:val="en-GB"/>
        </w:rPr>
        <w:fldChar w:fldCharType="end"/>
      </w:r>
      <w:r w:rsidRPr="00405395">
        <w:rPr>
          <w:lang w:val="en-GB"/>
        </w:rPr>
        <w:t>.</w:t>
      </w:r>
    </w:p>
    <w:p w14:paraId="73A29FCC" w14:textId="7B679BB1" w:rsidR="00F76EBF" w:rsidRPr="00405395" w:rsidRDefault="00E67B80" w:rsidP="006C0363">
      <w:pPr>
        <w:pStyle w:val="CETBodytext"/>
        <w:rPr>
          <w:lang w:val="en-GB"/>
        </w:rPr>
      </w:pPr>
      <w:r w:rsidRPr="00405395">
        <w:rPr>
          <w:lang w:val="en-GB"/>
        </w:rPr>
        <w:t xml:space="preserve">The scenario related to the production department includes four industrial stacks, individually modelled as point sources at a temperature of approximately 40°C, while emissions from the four cooking vats have an emission temperature of about 80°C. The </w:t>
      </w:r>
      <w:r w:rsidR="004F2526" w:rsidRPr="00405395">
        <w:rPr>
          <w:lang w:val="en-GB"/>
        </w:rPr>
        <w:t>WWTP</w:t>
      </w:r>
      <w:r w:rsidRPr="00405395">
        <w:rPr>
          <w:lang w:val="en-GB"/>
        </w:rPr>
        <w:t xml:space="preserve"> includes several open tanks for both the water and sludge lines, modelled as area sources.</w:t>
      </w:r>
    </w:p>
    <w:p w14:paraId="5B8240B3" w14:textId="60528B96" w:rsidR="00CE2B70" w:rsidRPr="00405395" w:rsidRDefault="00F40293" w:rsidP="006C0363">
      <w:pPr>
        <w:pStyle w:val="CETBodytext"/>
        <w:rPr>
          <w:lang w:val="en-GB"/>
        </w:rPr>
      </w:pPr>
      <w:r w:rsidRPr="00405395">
        <w:rPr>
          <w:lang w:val="en-GB"/>
        </w:rPr>
        <w:fldChar w:fldCharType="begin"/>
      </w:r>
      <w:r w:rsidRPr="00405395">
        <w:rPr>
          <w:lang w:val="en-GB"/>
        </w:rPr>
        <w:instrText xml:space="preserve"> REF _Ref166159092 \h  \* MERGEFORMAT </w:instrText>
      </w:r>
      <w:r w:rsidRPr="00405395">
        <w:rPr>
          <w:lang w:val="en-GB"/>
        </w:rPr>
      </w:r>
      <w:r w:rsidRPr="00405395">
        <w:rPr>
          <w:lang w:val="en-GB"/>
        </w:rPr>
        <w:fldChar w:fldCharType="separate"/>
      </w:r>
      <w:r w:rsidR="00ED7C0D" w:rsidRPr="00ED7C0D">
        <w:rPr>
          <w:lang w:val="en-GB"/>
        </w:rPr>
        <w:t>Table 1</w:t>
      </w:r>
      <w:r w:rsidRPr="00405395">
        <w:rPr>
          <w:lang w:val="en-GB"/>
        </w:rPr>
        <w:fldChar w:fldCharType="end"/>
      </w:r>
      <w:r w:rsidRPr="00405395">
        <w:rPr>
          <w:lang w:val="en-GB"/>
        </w:rPr>
        <w:t xml:space="preserve"> r</w:t>
      </w:r>
      <w:r w:rsidR="00CE2B70" w:rsidRPr="00405395">
        <w:rPr>
          <w:lang w:val="en-GB"/>
        </w:rPr>
        <w:t>eports, for the different macro areas of the plant</w:t>
      </w:r>
      <w:r w:rsidR="00E869FD" w:rsidRPr="00405395">
        <w:rPr>
          <w:lang w:val="en-GB"/>
        </w:rPr>
        <w:t xml:space="preserve"> and for the current scenario,</w:t>
      </w:r>
      <w:r w:rsidR="00CE2B70" w:rsidRPr="00405395">
        <w:rPr>
          <w:lang w:val="en-GB"/>
        </w:rPr>
        <w:t xml:space="preserve"> the OER obtained by summing the contributions of the various emission sources present in each section and the contribution (%), in terms of OER, of each macro area relative to </w:t>
      </w:r>
      <w:r w:rsidR="00D92F09" w:rsidRPr="00405395">
        <w:rPr>
          <w:lang w:val="en-GB"/>
        </w:rPr>
        <w:t>the total emission of the plant</w:t>
      </w:r>
      <w:r w:rsidR="00CE2B70" w:rsidRPr="00405395">
        <w:rPr>
          <w:lang w:val="en-GB"/>
        </w:rPr>
        <w:t>.</w:t>
      </w:r>
    </w:p>
    <w:p w14:paraId="545023C8" w14:textId="77777777" w:rsidR="00F40293" w:rsidRPr="00405395" w:rsidRDefault="00F40293" w:rsidP="006C0363">
      <w:pPr>
        <w:pStyle w:val="CETBodytext"/>
        <w:rPr>
          <w:lang w:val="en-GB"/>
        </w:rPr>
      </w:pPr>
    </w:p>
    <w:p w14:paraId="4F952B7D" w14:textId="66527A10" w:rsidR="00F40293" w:rsidRPr="00405395" w:rsidRDefault="00F40293" w:rsidP="00783B5F">
      <w:pPr>
        <w:pStyle w:val="Didascalia"/>
        <w:keepNext/>
        <w:jc w:val="left"/>
      </w:pPr>
      <w:bookmarkStart w:id="0" w:name="_Ref166159092"/>
      <w:r w:rsidRPr="00405395">
        <w:rPr>
          <w:b w:val="0"/>
          <w:bCs w:val="0"/>
          <w:i/>
          <w:color w:val="auto"/>
          <w:szCs w:val="20"/>
        </w:rPr>
        <w:t xml:space="preserve">Table </w:t>
      </w:r>
      <w:r w:rsidRPr="00405395">
        <w:rPr>
          <w:b w:val="0"/>
          <w:bCs w:val="0"/>
          <w:i/>
          <w:color w:val="auto"/>
          <w:szCs w:val="20"/>
        </w:rPr>
        <w:fldChar w:fldCharType="begin"/>
      </w:r>
      <w:r w:rsidRPr="00405395">
        <w:rPr>
          <w:b w:val="0"/>
          <w:bCs w:val="0"/>
          <w:i/>
          <w:color w:val="auto"/>
          <w:szCs w:val="20"/>
        </w:rPr>
        <w:instrText xml:space="preserve"> SEQ Table \* ARABIC </w:instrText>
      </w:r>
      <w:r w:rsidRPr="00405395">
        <w:rPr>
          <w:b w:val="0"/>
          <w:bCs w:val="0"/>
          <w:i/>
          <w:color w:val="auto"/>
          <w:szCs w:val="20"/>
        </w:rPr>
        <w:fldChar w:fldCharType="separate"/>
      </w:r>
      <w:r w:rsidR="00ED7C0D">
        <w:rPr>
          <w:b w:val="0"/>
          <w:bCs w:val="0"/>
          <w:i/>
          <w:noProof/>
          <w:color w:val="auto"/>
          <w:szCs w:val="20"/>
        </w:rPr>
        <w:t>1</w:t>
      </w:r>
      <w:r w:rsidRPr="00405395">
        <w:rPr>
          <w:b w:val="0"/>
          <w:bCs w:val="0"/>
          <w:i/>
          <w:color w:val="auto"/>
          <w:szCs w:val="20"/>
        </w:rPr>
        <w:fldChar w:fldCharType="end"/>
      </w:r>
      <w:bookmarkEnd w:id="0"/>
      <w:r w:rsidRPr="00405395">
        <w:rPr>
          <w:b w:val="0"/>
          <w:bCs w:val="0"/>
          <w:i/>
          <w:color w:val="auto"/>
          <w:szCs w:val="20"/>
        </w:rPr>
        <w:t>. Odour Emission Rate of the different simulated macro-areas (current scenario)</w:t>
      </w:r>
      <w:r w:rsidR="00BF27EE">
        <w:rPr>
          <w:b w:val="0"/>
          <w:bCs w:val="0"/>
          <w:i/>
          <w:color w:val="auto"/>
          <w:szCs w:val="20"/>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7"/>
        <w:gridCol w:w="1134"/>
        <w:gridCol w:w="3685"/>
      </w:tblGrid>
      <w:tr w:rsidR="00CE2B70" w:rsidRPr="00405395" w14:paraId="20AED6FA" w14:textId="77777777" w:rsidTr="00F40293">
        <w:tc>
          <w:tcPr>
            <w:tcW w:w="2127" w:type="dxa"/>
            <w:tcBorders>
              <w:top w:val="single" w:sz="12" w:space="0" w:color="008000"/>
              <w:bottom w:val="single" w:sz="6" w:space="0" w:color="008000"/>
            </w:tcBorders>
            <w:shd w:val="clear" w:color="auto" w:fill="FFFFFF"/>
            <w:vAlign w:val="center"/>
          </w:tcPr>
          <w:p w14:paraId="030A3CCC" w14:textId="4C4A075A" w:rsidR="00CE2B70" w:rsidRPr="00405395" w:rsidRDefault="00F40293" w:rsidP="007A604F">
            <w:pPr>
              <w:pStyle w:val="CETBodytext"/>
              <w:rPr>
                <w:rFonts w:cs="Arial"/>
                <w:szCs w:val="18"/>
                <w:lang w:val="en-GB"/>
              </w:rPr>
            </w:pPr>
            <w:r w:rsidRPr="00405395">
              <w:rPr>
                <w:rFonts w:cs="Arial"/>
                <w:szCs w:val="18"/>
                <w:lang w:val="en-GB"/>
              </w:rPr>
              <w:t>Macro-area</w:t>
            </w:r>
            <w:r w:rsidR="00CE2B70" w:rsidRPr="00405395">
              <w:rPr>
                <w:rFonts w:cs="Arial"/>
                <w:szCs w:val="18"/>
                <w:lang w:val="en-GB"/>
              </w:rPr>
              <w:t xml:space="preserve"> </w:t>
            </w:r>
            <w:r w:rsidR="00D92F09" w:rsidRPr="00405395">
              <w:rPr>
                <w:rFonts w:cs="Arial"/>
                <w:szCs w:val="18"/>
                <w:lang w:val="en-GB"/>
              </w:rPr>
              <w:t xml:space="preserve">– current </w:t>
            </w:r>
          </w:p>
        </w:tc>
        <w:tc>
          <w:tcPr>
            <w:tcW w:w="1134" w:type="dxa"/>
            <w:tcBorders>
              <w:top w:val="single" w:sz="12" w:space="0" w:color="008000"/>
              <w:bottom w:val="single" w:sz="6" w:space="0" w:color="008000"/>
            </w:tcBorders>
            <w:shd w:val="clear" w:color="auto" w:fill="FFFFFF"/>
            <w:vAlign w:val="center"/>
          </w:tcPr>
          <w:p w14:paraId="3ACAFEC7" w14:textId="10D34563" w:rsidR="00CE2B70" w:rsidRPr="00405395" w:rsidRDefault="00CE2B70" w:rsidP="007A604F">
            <w:pPr>
              <w:pStyle w:val="CETBodytext"/>
              <w:rPr>
                <w:rFonts w:cs="Arial"/>
                <w:szCs w:val="18"/>
                <w:lang w:val="en-GB"/>
              </w:rPr>
            </w:pPr>
            <w:r w:rsidRPr="00405395">
              <w:rPr>
                <w:rFonts w:cs="Arial"/>
                <w:szCs w:val="18"/>
                <w:lang w:val="en-GB"/>
              </w:rPr>
              <w:t>OER [</w:t>
            </w:r>
            <w:proofErr w:type="spellStart"/>
            <w:r w:rsidRPr="00405395">
              <w:rPr>
                <w:rFonts w:cs="Arial"/>
                <w:szCs w:val="18"/>
                <w:lang w:val="en-GB"/>
              </w:rPr>
              <w:t>ou</w:t>
            </w:r>
            <w:r w:rsidRPr="00405395">
              <w:rPr>
                <w:rFonts w:cs="Arial"/>
                <w:szCs w:val="18"/>
                <w:vertAlign w:val="subscript"/>
                <w:lang w:val="en-GB"/>
              </w:rPr>
              <w:t>E</w:t>
            </w:r>
            <w:proofErr w:type="spellEnd"/>
            <w:r w:rsidRPr="00405395">
              <w:rPr>
                <w:rFonts w:cs="Arial"/>
                <w:szCs w:val="18"/>
                <w:lang w:val="en-GB"/>
              </w:rPr>
              <w:t>/s]</w:t>
            </w:r>
          </w:p>
        </w:tc>
        <w:tc>
          <w:tcPr>
            <w:tcW w:w="3685" w:type="dxa"/>
            <w:tcBorders>
              <w:top w:val="single" w:sz="12" w:space="0" w:color="008000"/>
              <w:bottom w:val="single" w:sz="6" w:space="0" w:color="008000"/>
            </w:tcBorders>
            <w:shd w:val="clear" w:color="auto" w:fill="FFFFFF"/>
            <w:vAlign w:val="center"/>
          </w:tcPr>
          <w:p w14:paraId="189CF9A1" w14:textId="6CA12084" w:rsidR="00CE2B70" w:rsidRPr="00405395" w:rsidRDefault="00CE2B70" w:rsidP="007A604F">
            <w:pPr>
              <w:pStyle w:val="CETBodytext"/>
              <w:rPr>
                <w:rFonts w:cs="Arial"/>
                <w:szCs w:val="18"/>
                <w:lang w:val="en-GB"/>
              </w:rPr>
            </w:pPr>
            <w:r w:rsidRPr="00405395">
              <w:rPr>
                <w:rFonts w:cs="Arial"/>
                <w:szCs w:val="18"/>
                <w:lang w:val="en-GB"/>
              </w:rPr>
              <w:t>Contribution [%] to total OER</w:t>
            </w:r>
          </w:p>
        </w:tc>
      </w:tr>
      <w:tr w:rsidR="00CE2B70" w:rsidRPr="00405395" w14:paraId="7DBD160F" w14:textId="77777777" w:rsidTr="00F40293">
        <w:tc>
          <w:tcPr>
            <w:tcW w:w="2127" w:type="dxa"/>
            <w:shd w:val="clear" w:color="auto" w:fill="FFFFFF"/>
            <w:vAlign w:val="center"/>
          </w:tcPr>
          <w:p w14:paraId="6E79F9AD" w14:textId="04954DB4" w:rsidR="00CE2B70" w:rsidRPr="00405395" w:rsidRDefault="00CE2B70" w:rsidP="00CE2B70">
            <w:pPr>
              <w:pStyle w:val="CETBodytext"/>
              <w:rPr>
                <w:rFonts w:cs="Arial"/>
                <w:szCs w:val="18"/>
                <w:lang w:val="en-GB"/>
              </w:rPr>
            </w:pPr>
            <w:r w:rsidRPr="00405395">
              <w:rPr>
                <w:rFonts w:cs="Arial"/>
                <w:color w:val="000000"/>
                <w:szCs w:val="18"/>
                <w:lang w:val="en-GB"/>
              </w:rPr>
              <w:t>Production department</w:t>
            </w:r>
          </w:p>
        </w:tc>
        <w:tc>
          <w:tcPr>
            <w:tcW w:w="1134" w:type="dxa"/>
            <w:shd w:val="clear" w:color="auto" w:fill="FFFFFF"/>
            <w:vAlign w:val="center"/>
          </w:tcPr>
          <w:p w14:paraId="586C5F47" w14:textId="36E30C7D" w:rsidR="00CE2B70" w:rsidRPr="00405395" w:rsidRDefault="00CE2B70" w:rsidP="00CE2B70">
            <w:pPr>
              <w:pStyle w:val="CETBodytext"/>
              <w:rPr>
                <w:rFonts w:cs="Arial"/>
                <w:szCs w:val="18"/>
                <w:lang w:val="en-GB"/>
              </w:rPr>
            </w:pPr>
            <w:r w:rsidRPr="00405395">
              <w:rPr>
                <w:rFonts w:cs="Arial"/>
                <w:color w:val="000000"/>
                <w:szCs w:val="18"/>
                <w:lang w:val="en-GB"/>
              </w:rPr>
              <w:t>9000</w:t>
            </w:r>
          </w:p>
        </w:tc>
        <w:tc>
          <w:tcPr>
            <w:tcW w:w="3685" w:type="dxa"/>
            <w:shd w:val="clear" w:color="auto" w:fill="FFFFFF"/>
            <w:vAlign w:val="center"/>
          </w:tcPr>
          <w:p w14:paraId="50900354" w14:textId="43991797" w:rsidR="00CE2B70" w:rsidRPr="00405395" w:rsidRDefault="00CE2B70" w:rsidP="00CE2B70">
            <w:pPr>
              <w:pStyle w:val="CETBodytext"/>
              <w:rPr>
                <w:rFonts w:cs="Arial"/>
                <w:szCs w:val="18"/>
                <w:lang w:val="en-GB"/>
              </w:rPr>
            </w:pPr>
            <w:r w:rsidRPr="00405395">
              <w:rPr>
                <w:rFonts w:cs="Arial"/>
                <w:color w:val="000000"/>
                <w:szCs w:val="18"/>
                <w:lang w:val="en-GB"/>
              </w:rPr>
              <w:t>10%</w:t>
            </w:r>
          </w:p>
        </w:tc>
      </w:tr>
      <w:tr w:rsidR="00CE2B70" w:rsidRPr="00405395" w14:paraId="055B400C" w14:textId="77777777" w:rsidTr="00F40293">
        <w:tc>
          <w:tcPr>
            <w:tcW w:w="2127" w:type="dxa"/>
            <w:shd w:val="clear" w:color="auto" w:fill="FFFFFF"/>
            <w:vAlign w:val="center"/>
          </w:tcPr>
          <w:p w14:paraId="5A044A3D" w14:textId="1002286A" w:rsidR="00CE2B70" w:rsidRPr="00405395" w:rsidRDefault="00CE2B70" w:rsidP="00CE2B70">
            <w:pPr>
              <w:pStyle w:val="CETBodytext"/>
              <w:ind w:right="-1"/>
              <w:rPr>
                <w:rFonts w:cs="Arial"/>
                <w:szCs w:val="18"/>
                <w:lang w:val="en-GB"/>
              </w:rPr>
            </w:pPr>
            <w:r w:rsidRPr="00405395">
              <w:rPr>
                <w:rFonts w:cs="Arial"/>
                <w:color w:val="000000"/>
                <w:szCs w:val="18"/>
                <w:lang w:val="en-GB"/>
              </w:rPr>
              <w:t xml:space="preserve">Cooking vats </w:t>
            </w:r>
          </w:p>
        </w:tc>
        <w:tc>
          <w:tcPr>
            <w:tcW w:w="1134" w:type="dxa"/>
            <w:shd w:val="clear" w:color="auto" w:fill="FFFFFF"/>
            <w:vAlign w:val="center"/>
          </w:tcPr>
          <w:p w14:paraId="71A0EBAF" w14:textId="3F62F273" w:rsidR="00CE2B70" w:rsidRPr="00405395" w:rsidRDefault="00CE2B70" w:rsidP="00CE2B70">
            <w:pPr>
              <w:pStyle w:val="CETBodytext"/>
              <w:ind w:right="-1"/>
              <w:rPr>
                <w:rFonts w:cs="Arial"/>
                <w:szCs w:val="18"/>
                <w:lang w:val="en-GB"/>
              </w:rPr>
            </w:pPr>
            <w:r w:rsidRPr="00405395">
              <w:rPr>
                <w:rFonts w:cs="Arial"/>
                <w:color w:val="000000"/>
                <w:szCs w:val="18"/>
                <w:lang w:val="en-GB"/>
              </w:rPr>
              <w:t>20000</w:t>
            </w:r>
          </w:p>
        </w:tc>
        <w:tc>
          <w:tcPr>
            <w:tcW w:w="3685" w:type="dxa"/>
            <w:shd w:val="clear" w:color="auto" w:fill="FFFFFF"/>
            <w:vAlign w:val="center"/>
          </w:tcPr>
          <w:p w14:paraId="457E9D7F" w14:textId="632AC73B" w:rsidR="00CE2B70" w:rsidRPr="00405395" w:rsidRDefault="00CE2B70" w:rsidP="00CE2B70">
            <w:pPr>
              <w:pStyle w:val="CETBodytext"/>
              <w:ind w:right="-1"/>
              <w:rPr>
                <w:rFonts w:cs="Arial"/>
                <w:szCs w:val="18"/>
                <w:lang w:val="en-GB"/>
              </w:rPr>
            </w:pPr>
            <w:r w:rsidRPr="00405395">
              <w:rPr>
                <w:rFonts w:cs="Arial"/>
                <w:color w:val="000000"/>
                <w:szCs w:val="18"/>
                <w:lang w:val="en-GB"/>
              </w:rPr>
              <w:t>22%</w:t>
            </w:r>
          </w:p>
        </w:tc>
      </w:tr>
      <w:tr w:rsidR="00CE2B70" w:rsidRPr="00405395" w14:paraId="6710A5B9" w14:textId="77777777" w:rsidTr="00F40293">
        <w:tc>
          <w:tcPr>
            <w:tcW w:w="2127" w:type="dxa"/>
            <w:shd w:val="clear" w:color="auto" w:fill="FFFFFF"/>
            <w:vAlign w:val="center"/>
          </w:tcPr>
          <w:p w14:paraId="30205B30" w14:textId="6B7C339D" w:rsidR="00CE2B70" w:rsidRPr="00405395" w:rsidRDefault="00CE2B70" w:rsidP="00CE2B70">
            <w:pPr>
              <w:pStyle w:val="CETBodytext"/>
              <w:ind w:right="-1"/>
              <w:rPr>
                <w:rFonts w:cs="Arial"/>
                <w:szCs w:val="18"/>
                <w:lang w:val="en-GB"/>
              </w:rPr>
            </w:pPr>
            <w:r w:rsidRPr="00405395">
              <w:rPr>
                <w:rFonts w:cs="Arial"/>
                <w:color w:val="000000"/>
                <w:szCs w:val="18"/>
                <w:lang w:val="en-GB"/>
              </w:rPr>
              <w:t>WWTP</w:t>
            </w:r>
          </w:p>
        </w:tc>
        <w:tc>
          <w:tcPr>
            <w:tcW w:w="1134" w:type="dxa"/>
            <w:shd w:val="clear" w:color="auto" w:fill="FFFFFF"/>
            <w:vAlign w:val="center"/>
          </w:tcPr>
          <w:p w14:paraId="64571AF3" w14:textId="51FBF3DA" w:rsidR="00CE2B70" w:rsidRPr="00405395" w:rsidRDefault="00CE2B70" w:rsidP="00CE2B70">
            <w:pPr>
              <w:pStyle w:val="CETBodytext"/>
              <w:ind w:right="-1"/>
              <w:rPr>
                <w:rFonts w:cs="Arial"/>
                <w:szCs w:val="18"/>
                <w:lang w:val="en-GB"/>
              </w:rPr>
            </w:pPr>
            <w:r w:rsidRPr="00405395">
              <w:rPr>
                <w:rFonts w:cs="Arial"/>
                <w:color w:val="000000"/>
                <w:szCs w:val="18"/>
                <w:lang w:val="en-GB"/>
              </w:rPr>
              <w:t>60000</w:t>
            </w:r>
          </w:p>
        </w:tc>
        <w:tc>
          <w:tcPr>
            <w:tcW w:w="3685" w:type="dxa"/>
            <w:shd w:val="clear" w:color="auto" w:fill="FFFFFF"/>
            <w:vAlign w:val="center"/>
          </w:tcPr>
          <w:p w14:paraId="7CB1C64C" w14:textId="7B2A184B" w:rsidR="00CE2B70" w:rsidRPr="00405395" w:rsidRDefault="00CE2B70" w:rsidP="00CE2B70">
            <w:pPr>
              <w:pStyle w:val="CETBodytext"/>
              <w:ind w:right="-1"/>
              <w:rPr>
                <w:rFonts w:cs="Arial"/>
                <w:szCs w:val="18"/>
                <w:lang w:val="en-GB"/>
              </w:rPr>
            </w:pPr>
            <w:r w:rsidRPr="00405395">
              <w:rPr>
                <w:rFonts w:cs="Arial"/>
                <w:color w:val="000000"/>
                <w:szCs w:val="18"/>
                <w:lang w:val="en-GB"/>
              </w:rPr>
              <w:t>67%</w:t>
            </w:r>
          </w:p>
        </w:tc>
      </w:tr>
    </w:tbl>
    <w:p w14:paraId="4215BDBC" w14:textId="77777777" w:rsidR="00CE2B70" w:rsidRPr="00405395" w:rsidRDefault="00CE2B70" w:rsidP="006C0363">
      <w:pPr>
        <w:pStyle w:val="CETBodytext"/>
        <w:rPr>
          <w:lang w:val="en-GB"/>
        </w:rPr>
      </w:pPr>
    </w:p>
    <w:p w14:paraId="725C521D" w14:textId="559A99E6" w:rsidR="00F76EBF" w:rsidRPr="00405395" w:rsidRDefault="007A4865" w:rsidP="00F76EBF">
      <w:pPr>
        <w:pStyle w:val="CETheadingx"/>
        <w:rPr>
          <w:lang w:val="en-GB"/>
        </w:rPr>
      </w:pPr>
      <w:r w:rsidRPr="00405395">
        <w:rPr>
          <w:lang w:val="en-GB"/>
        </w:rPr>
        <w:t>Predictive</w:t>
      </w:r>
      <w:r w:rsidR="00F76EBF" w:rsidRPr="00405395">
        <w:rPr>
          <w:lang w:val="en-GB"/>
        </w:rPr>
        <w:t xml:space="preserve"> emission scenarios</w:t>
      </w:r>
    </w:p>
    <w:p w14:paraId="5948041B" w14:textId="216731D7" w:rsidR="004F34E3" w:rsidRPr="00405395" w:rsidRDefault="00F76EBF" w:rsidP="006C0363">
      <w:pPr>
        <w:pStyle w:val="CETBodytext"/>
        <w:rPr>
          <w:lang w:val="en-GB"/>
        </w:rPr>
      </w:pPr>
      <w:r w:rsidRPr="00405395">
        <w:rPr>
          <w:lang w:val="en-GB"/>
        </w:rPr>
        <w:t xml:space="preserve">Based on the results obtained from the simulation of the current emission scenario, the possibility of introducing </w:t>
      </w:r>
      <w:r w:rsidR="004F34E3" w:rsidRPr="00405395">
        <w:rPr>
          <w:lang w:val="en-GB"/>
        </w:rPr>
        <w:t xml:space="preserve">odour emission containment systems </w:t>
      </w:r>
      <w:r w:rsidRPr="00405395">
        <w:rPr>
          <w:lang w:val="en-GB"/>
        </w:rPr>
        <w:t xml:space="preserve">for the cooking vats was evaluated. Specifically, a </w:t>
      </w:r>
      <w:r w:rsidR="00405395">
        <w:rPr>
          <w:lang w:val="en-GB"/>
        </w:rPr>
        <w:t>vapour</w:t>
      </w:r>
      <w:r w:rsidR="00405395" w:rsidRPr="00405395">
        <w:rPr>
          <w:lang w:val="en-GB"/>
        </w:rPr>
        <w:t xml:space="preserve"> </w:t>
      </w:r>
      <w:r w:rsidRPr="00405395">
        <w:rPr>
          <w:lang w:val="en-GB"/>
        </w:rPr>
        <w:t xml:space="preserve">cooling system was envisaged to promote the condensation of </w:t>
      </w:r>
      <w:r w:rsidR="00405395">
        <w:rPr>
          <w:lang w:val="en-GB"/>
        </w:rPr>
        <w:t>vapours</w:t>
      </w:r>
      <w:r w:rsidR="00405395" w:rsidRPr="00405395">
        <w:rPr>
          <w:lang w:val="en-GB"/>
        </w:rPr>
        <w:t xml:space="preserve"> </w:t>
      </w:r>
      <w:r w:rsidRPr="00405395">
        <w:rPr>
          <w:lang w:val="en-GB"/>
        </w:rPr>
        <w:t>before releas</w:t>
      </w:r>
      <w:r w:rsidR="006C5442" w:rsidRPr="00405395">
        <w:rPr>
          <w:lang w:val="en-GB"/>
        </w:rPr>
        <w:t>ing</w:t>
      </w:r>
      <w:r w:rsidRPr="00405395">
        <w:rPr>
          <w:lang w:val="en-GB"/>
        </w:rPr>
        <w:t xml:space="preserve"> </w:t>
      </w:r>
      <w:r w:rsidR="00405395">
        <w:rPr>
          <w:lang w:val="en-GB"/>
        </w:rPr>
        <w:t xml:space="preserve">them </w:t>
      </w:r>
      <w:r w:rsidRPr="00405395">
        <w:rPr>
          <w:lang w:val="en-GB"/>
        </w:rPr>
        <w:t>into the atmosphere</w:t>
      </w:r>
      <w:r w:rsidR="00E869FD" w:rsidRPr="00405395">
        <w:rPr>
          <w:lang w:val="en-GB"/>
        </w:rPr>
        <w:t xml:space="preserve">, therefore </w:t>
      </w:r>
      <w:r w:rsidRPr="00405395">
        <w:rPr>
          <w:lang w:val="en-GB"/>
        </w:rPr>
        <w:t xml:space="preserve">reducing the </w:t>
      </w:r>
      <w:r w:rsidR="00E869FD" w:rsidRPr="00405395">
        <w:rPr>
          <w:lang w:val="en-GB"/>
        </w:rPr>
        <w:t xml:space="preserve">emitted </w:t>
      </w:r>
      <w:r w:rsidR="00405395">
        <w:rPr>
          <w:lang w:val="en-GB"/>
        </w:rPr>
        <w:t>airflow</w:t>
      </w:r>
      <w:r w:rsidR="004F34E3" w:rsidRPr="00405395">
        <w:rPr>
          <w:lang w:val="en-GB"/>
        </w:rPr>
        <w:t>.</w:t>
      </w:r>
      <w:r w:rsidR="00E17E61" w:rsidRPr="00405395">
        <w:rPr>
          <w:lang w:val="en-GB"/>
        </w:rPr>
        <w:t xml:space="preserve"> </w:t>
      </w:r>
      <w:r w:rsidR="004F34E3" w:rsidRPr="00405395">
        <w:rPr>
          <w:lang w:val="en-GB"/>
        </w:rPr>
        <w:t xml:space="preserve">As for the current scenario, the mass flow rate emitted by each cooking vat was estimated by the thermal power of </w:t>
      </w:r>
      <w:r w:rsidR="00E869FD" w:rsidRPr="00405395">
        <w:rPr>
          <w:lang w:val="en-GB"/>
        </w:rPr>
        <w:t>the</w:t>
      </w:r>
      <w:r w:rsidR="004F34E3" w:rsidRPr="00405395">
        <w:rPr>
          <w:lang w:val="en-GB"/>
        </w:rPr>
        <w:t xml:space="preserve"> vat, by implementing an energy balance. The volumetric airflow rate was subsequently calculated based on thermodynamic equations, initially assuming the validity of the ideal gas equation. Unlike the current scenario, however, an emission temperature of 50°C into the atmosphere was hypothesized, </w:t>
      </w:r>
      <w:r w:rsidR="007E700F">
        <w:rPr>
          <w:lang w:val="en-GB"/>
        </w:rPr>
        <w:t xml:space="preserve">instead of 80°C. </w:t>
      </w:r>
      <w:r w:rsidR="007E700F" w:rsidRPr="007E700F">
        <w:rPr>
          <w:lang w:val="en-GB"/>
        </w:rPr>
        <w:t xml:space="preserve">Considering the direct proportionality between temperature and volumetric flow rate, as expressed by the ideal gas law, a reduced </w:t>
      </w:r>
      <w:r w:rsidR="007E700F">
        <w:rPr>
          <w:lang w:val="en-GB"/>
        </w:rPr>
        <w:t>emitted airflow</w:t>
      </w:r>
      <w:r w:rsidR="007E700F" w:rsidRPr="007E700F">
        <w:rPr>
          <w:lang w:val="en-GB"/>
        </w:rPr>
        <w:t xml:space="preserve"> </w:t>
      </w:r>
      <w:r w:rsidR="007E700F">
        <w:rPr>
          <w:lang w:val="en-GB"/>
        </w:rPr>
        <w:t>was</w:t>
      </w:r>
      <w:r w:rsidR="007E700F" w:rsidRPr="007E700F">
        <w:rPr>
          <w:lang w:val="en-GB"/>
        </w:rPr>
        <w:t xml:space="preserve"> consequently </w:t>
      </w:r>
      <w:r w:rsidR="007E700F">
        <w:rPr>
          <w:lang w:val="en-GB"/>
        </w:rPr>
        <w:t>estimated.</w:t>
      </w:r>
    </w:p>
    <w:p w14:paraId="508504A3" w14:textId="1F46B3D1" w:rsidR="004F34E3" w:rsidRPr="00405395" w:rsidRDefault="002C3CFF" w:rsidP="006C0363">
      <w:pPr>
        <w:pStyle w:val="CETBodytext"/>
        <w:rPr>
          <w:lang w:val="en-GB"/>
        </w:rPr>
      </w:pPr>
      <w:r w:rsidRPr="00405395">
        <w:rPr>
          <w:lang w:val="en-GB"/>
        </w:rPr>
        <w:t xml:space="preserve">In addition to the cooking vats, different predictive scenarios were developed for the </w:t>
      </w:r>
      <w:r w:rsidR="004F2526" w:rsidRPr="00405395">
        <w:rPr>
          <w:lang w:val="en-GB"/>
        </w:rPr>
        <w:t>WWTP</w:t>
      </w:r>
      <w:r w:rsidRPr="00405395">
        <w:rPr>
          <w:lang w:val="en-GB"/>
        </w:rPr>
        <w:t xml:space="preserve">, assuming the covering of one or more tanks and the conveyance (via </w:t>
      </w:r>
      <w:r w:rsidR="00405395">
        <w:rPr>
          <w:lang w:val="en-GB"/>
        </w:rPr>
        <w:t xml:space="preserve">a </w:t>
      </w:r>
      <w:r w:rsidRPr="00405395">
        <w:rPr>
          <w:lang w:val="en-GB"/>
        </w:rPr>
        <w:t>wet scrubber system) of air streams to be treated. First</w:t>
      </w:r>
      <w:r w:rsidR="00405395">
        <w:rPr>
          <w:lang w:val="en-GB"/>
        </w:rPr>
        <w:t>ly</w:t>
      </w:r>
      <w:r w:rsidRPr="00405395">
        <w:rPr>
          <w:lang w:val="en-GB"/>
        </w:rPr>
        <w:t xml:space="preserve">, the tanks on which to potentially intervene were identified. </w:t>
      </w:r>
      <w:r w:rsidR="007377EA" w:rsidRPr="00405395">
        <w:rPr>
          <w:lang w:val="en-GB"/>
        </w:rPr>
        <w:t xml:space="preserve">Three different tanks (designated in this study as A, B, </w:t>
      </w:r>
      <w:r w:rsidR="00405395">
        <w:rPr>
          <w:lang w:val="en-GB"/>
        </w:rPr>
        <w:t xml:space="preserve">and </w:t>
      </w:r>
      <w:r w:rsidR="007377EA" w:rsidRPr="00405395">
        <w:rPr>
          <w:lang w:val="en-GB"/>
        </w:rPr>
        <w:t xml:space="preserve">C) </w:t>
      </w:r>
      <w:r w:rsidRPr="00405395">
        <w:rPr>
          <w:lang w:val="en-GB"/>
        </w:rPr>
        <w:t>were singled out as they represent the major contributors to the overall odour emissions of the investigated scenario, accounting for about 80% of the</w:t>
      </w:r>
      <w:r w:rsidR="00E17E61" w:rsidRPr="00405395">
        <w:rPr>
          <w:lang w:val="en-GB"/>
        </w:rPr>
        <w:t xml:space="preserve"> total</w:t>
      </w:r>
      <w:r w:rsidRPr="00405395">
        <w:rPr>
          <w:lang w:val="en-GB"/>
        </w:rPr>
        <w:t xml:space="preserve"> OER of the </w:t>
      </w:r>
      <w:r w:rsidR="004F2526" w:rsidRPr="00405395">
        <w:rPr>
          <w:lang w:val="en-GB"/>
        </w:rPr>
        <w:t>WWTP</w:t>
      </w:r>
      <w:r w:rsidRPr="00405395">
        <w:rPr>
          <w:lang w:val="en-GB"/>
        </w:rPr>
        <w:t xml:space="preserve">. In addition to environmental considerations, economic factors were </w:t>
      </w:r>
      <w:proofErr w:type="gramStart"/>
      <w:r w:rsidRPr="00405395">
        <w:rPr>
          <w:lang w:val="en-GB"/>
        </w:rPr>
        <w:t>taken into account</w:t>
      </w:r>
      <w:proofErr w:type="gramEnd"/>
      <w:r w:rsidRPr="00405395">
        <w:rPr>
          <w:lang w:val="en-GB"/>
        </w:rPr>
        <w:t>, including the size of the tanks to be covered</w:t>
      </w:r>
      <w:r w:rsidR="00405395">
        <w:rPr>
          <w:lang w:val="en-GB"/>
        </w:rPr>
        <w:t>. L</w:t>
      </w:r>
      <w:r w:rsidRPr="00405395">
        <w:rPr>
          <w:lang w:val="en-GB"/>
        </w:rPr>
        <w:t xml:space="preserve">ogistical considerations were </w:t>
      </w:r>
      <w:r w:rsidR="00405395">
        <w:rPr>
          <w:lang w:val="en-GB"/>
        </w:rPr>
        <w:t xml:space="preserve">also </w:t>
      </w:r>
      <w:r w:rsidRPr="00405395">
        <w:rPr>
          <w:lang w:val="en-GB"/>
        </w:rPr>
        <w:t xml:space="preserve">made, evaluating the position of the various tanks and the feasibility of </w:t>
      </w:r>
      <w:r w:rsidR="00405395">
        <w:rPr>
          <w:lang w:val="en-GB"/>
        </w:rPr>
        <w:t>channelling</w:t>
      </w:r>
      <w:r w:rsidR="00405395" w:rsidRPr="00405395">
        <w:rPr>
          <w:lang w:val="en-GB"/>
        </w:rPr>
        <w:t xml:space="preserve"> </w:t>
      </w:r>
      <w:r w:rsidRPr="00405395">
        <w:rPr>
          <w:lang w:val="en-GB"/>
        </w:rPr>
        <w:t>all streams to a single abatement system.</w:t>
      </w:r>
      <w:r w:rsidR="00D94AE2" w:rsidRPr="00405395">
        <w:rPr>
          <w:lang w:val="en-GB"/>
        </w:rPr>
        <w:t xml:space="preserve"> Therefore, several emission scenarios were simulated, hypothesi</w:t>
      </w:r>
      <w:r w:rsidR="00405395">
        <w:rPr>
          <w:lang w:val="en-GB"/>
        </w:rPr>
        <w:t>sin</w:t>
      </w:r>
      <w:r w:rsidR="00D94AE2" w:rsidRPr="00405395">
        <w:rPr>
          <w:lang w:val="en-GB"/>
        </w:rPr>
        <w:t xml:space="preserve">g the closure of only one, two, or all three identified tanks. </w:t>
      </w:r>
      <w:r w:rsidR="007377EA" w:rsidRPr="00405395">
        <w:rPr>
          <w:lang w:val="en-GB"/>
        </w:rPr>
        <w:t>The modelling of the tanks without cover is analogous to that of the current scenario.</w:t>
      </w:r>
    </w:p>
    <w:p w14:paraId="333219E9" w14:textId="2E27A5BE" w:rsidR="00CE2B70" w:rsidRPr="00405395" w:rsidRDefault="00D94AE2" w:rsidP="00453E24">
      <w:pPr>
        <w:pStyle w:val="CETBodytext"/>
        <w:rPr>
          <w:lang w:val="en-GB"/>
        </w:rPr>
      </w:pPr>
      <w:r w:rsidRPr="00405395">
        <w:rPr>
          <w:lang w:val="en-GB"/>
        </w:rPr>
        <w:t>To estimate the OER, a series of preliminary considerations were made. Firstly, a reasonable value</w:t>
      </w:r>
      <w:r w:rsidR="00EB7CDE">
        <w:rPr>
          <w:lang w:val="en-GB"/>
        </w:rPr>
        <w:t xml:space="preserve"> of</w:t>
      </w:r>
      <w:r w:rsidR="00EB7CDE">
        <w:rPr>
          <w:rStyle w:val="Rimandocommento"/>
          <w:lang w:val="en-GB"/>
        </w:rPr>
        <w:t xml:space="preserve"> </w:t>
      </w:r>
      <w:r w:rsidR="00EB7CDE" w:rsidRPr="00405395">
        <w:rPr>
          <w:lang w:val="en-GB"/>
        </w:rPr>
        <w:t xml:space="preserve">the height between the free water surface and the tank cover </w:t>
      </w:r>
      <w:r w:rsidR="00EB7CDE">
        <w:rPr>
          <w:lang w:val="en-GB"/>
        </w:rPr>
        <w:t>w</w:t>
      </w:r>
      <w:r w:rsidRPr="00405395">
        <w:rPr>
          <w:lang w:val="en-GB"/>
        </w:rPr>
        <w:t>as hypothesi</w:t>
      </w:r>
      <w:r w:rsidR="00405395">
        <w:rPr>
          <w:lang w:val="en-GB"/>
        </w:rPr>
        <w:t>s</w:t>
      </w:r>
      <w:r w:rsidRPr="00405395">
        <w:rPr>
          <w:lang w:val="en-GB"/>
        </w:rPr>
        <w:t>ed,</w:t>
      </w:r>
      <w:r w:rsidR="00EB7CDE">
        <w:rPr>
          <w:lang w:val="en-GB"/>
        </w:rPr>
        <w:t xml:space="preserve"> </w:t>
      </w:r>
      <w:r w:rsidRPr="00405395">
        <w:rPr>
          <w:lang w:val="en-GB"/>
        </w:rPr>
        <w:t>i.e. 2</w:t>
      </w:r>
      <w:r w:rsidR="00710B15" w:rsidRPr="00405395">
        <w:rPr>
          <w:lang w:val="en-GB"/>
        </w:rPr>
        <w:t xml:space="preserve"> </w:t>
      </w:r>
      <w:r w:rsidRPr="00405395">
        <w:rPr>
          <w:lang w:val="en-GB"/>
        </w:rPr>
        <w:t xml:space="preserve">m. Given the tank dimensions, the </w:t>
      </w:r>
      <w:r w:rsidR="00710B15" w:rsidRPr="00405395">
        <w:rPr>
          <w:lang w:val="en-GB"/>
        </w:rPr>
        <w:t xml:space="preserve">air </w:t>
      </w:r>
      <w:r w:rsidRPr="00405395">
        <w:rPr>
          <w:lang w:val="en-GB"/>
        </w:rPr>
        <w:t xml:space="preserve">volume between the free surface and the tank cover was consequently estimated. </w:t>
      </w:r>
      <w:r w:rsidR="00710B15" w:rsidRPr="00405395">
        <w:rPr>
          <w:lang w:val="en-GB"/>
        </w:rPr>
        <w:t>A</w:t>
      </w:r>
      <w:r w:rsidRPr="00405395">
        <w:rPr>
          <w:lang w:val="en-GB"/>
        </w:rPr>
        <w:t xml:space="preserve"> </w:t>
      </w:r>
      <w:r w:rsidR="00710B15" w:rsidRPr="00405395">
        <w:rPr>
          <w:lang w:val="en-GB"/>
        </w:rPr>
        <w:t>conservative</w:t>
      </w:r>
      <w:r w:rsidRPr="00405395">
        <w:rPr>
          <w:lang w:val="en-GB"/>
        </w:rPr>
        <w:t xml:space="preserve"> turnover rate of </w:t>
      </w:r>
      <w:r w:rsidR="00710B15" w:rsidRPr="00405395">
        <w:rPr>
          <w:lang w:val="en-GB"/>
        </w:rPr>
        <w:t>two</w:t>
      </w:r>
      <w:r w:rsidRPr="00405395">
        <w:rPr>
          <w:lang w:val="en-GB"/>
        </w:rPr>
        <w:t xml:space="preserve"> per hour for this volume</w:t>
      </w:r>
      <w:r w:rsidR="00710B15" w:rsidRPr="00405395">
        <w:rPr>
          <w:lang w:val="en-GB"/>
        </w:rPr>
        <w:t xml:space="preserve"> was considered. This value, along with the height of 2 meters, was chosen in such a way as to not excessively increase the airflow sent to the scrubber while ensuring a minimum air turnover in the headspace below the cover. Therefore,</w:t>
      </w:r>
      <w:r w:rsidRPr="00405395">
        <w:rPr>
          <w:lang w:val="en-GB"/>
        </w:rPr>
        <w:t xml:space="preserve"> a first tentative value of the volumetric flow rate was obtained. Finally, assuming an 80% efficiency</w:t>
      </w:r>
      <w:r w:rsidR="00974D3F" w:rsidRPr="00405395">
        <w:rPr>
          <w:lang w:val="en-GB"/>
        </w:rPr>
        <w:t xml:space="preserve"> of the wet scrubber system, which aligns with what is reported in the literature for chemical absorption technologies</w:t>
      </w:r>
      <w:r w:rsidR="009A3333" w:rsidRPr="00405395">
        <w:rPr>
          <w:lang w:val="en-GB"/>
        </w:rPr>
        <w:t xml:space="preserve"> </w:t>
      </w:r>
      <w:r w:rsidR="009A3333" w:rsidRPr="00405395">
        <w:rPr>
          <w:lang w:val="en-GB"/>
        </w:rPr>
        <w:fldChar w:fldCharType="begin" w:fldLock="1"/>
      </w:r>
      <w:r w:rsidR="009A3333" w:rsidRPr="00405395">
        <w:rPr>
          <w:lang w:val="en-GB"/>
        </w:rPr>
        <w:instrText>ADDIN CSL_CITATION {"citationItems":[{"id":"ITEM-1","itemData":{"DOI":"10.1016/j.mex.2023.101996","ISSN":"22150161","abstract":"Deep social awareness, especially in highly developed countries, imposes pressure on entrepreneurs and service providers, forcing them to undertake effective actions to minimize the effects of their activities also in terms of the emission of malodorous substances. The article presents information on the absorption processes harnessed in the deodorization of gases from wastewater management and the characteristics of these gases. Avoiding emissions is not always possible, hence there is a need to conduct an inventory of such gases and use deodorization methods. The specificity of gases from wastewater management and their prevalence urge the search for cheap and easy-to-use deodorization methods. It is obvious that the selection of deodorization technology is driven by many factors and should be preceded by a thorough analysis of the possibilities and limitations of various solutions. The aim of this article is, therefore, to present the characteristics of gases from wastewater management and to discuss various technologies based on absorption processes as a technology for deodorizing such gases in order to help potential investors choose an emission-reducing method suitable for particular conditions. • Malodorous substances in wastewater management. • Deodorization using water and chemical absorption. • Deodorization using biological purification.","author":[{"dropping-particle":"","family":"Wysocka","given":"Izabela","non-dropping-particle":"","parse-names":false,"suffix":""}],"container-title":"MethodsX","id":"ITEM-1","issue":"November 2022","issued":{"date-parts":[["2023"]]},"page":"101996","publisher":"Elsevier B.V.","title":"Absorption processes in reducing the odor nuisance of wastewater","type":"article-journal","volume":"10"},"uris":["http://www.mendeley.com/documents/?uuid=fda546ef-3321-4997-9fc9-5441242dada0"]}],"mendeley":{"formattedCitation":"(Wysocka, 2023)","plainTextFormattedCitation":"(Wysocka, 2023)","previouslyFormattedCitation":"(Wysocka, 2023)"},"properties":{"noteIndex":0},"schema":"https://github.com/citation-style-language/schema/raw/master/csl-citation.json"}</w:instrText>
      </w:r>
      <w:r w:rsidR="009A3333" w:rsidRPr="00405395">
        <w:rPr>
          <w:lang w:val="en-GB"/>
        </w:rPr>
        <w:fldChar w:fldCharType="separate"/>
      </w:r>
      <w:r w:rsidR="009A3333" w:rsidRPr="00405395">
        <w:rPr>
          <w:noProof/>
          <w:lang w:val="en-GB"/>
        </w:rPr>
        <w:t>(Wysocka, 2023)</w:t>
      </w:r>
      <w:r w:rsidR="009A3333" w:rsidRPr="00405395">
        <w:rPr>
          <w:lang w:val="en-GB"/>
        </w:rPr>
        <w:fldChar w:fldCharType="end"/>
      </w:r>
      <w:r w:rsidR="00974D3F" w:rsidRPr="00405395">
        <w:rPr>
          <w:lang w:val="en-GB"/>
        </w:rPr>
        <w:t>,</w:t>
      </w:r>
      <w:r w:rsidRPr="00405395">
        <w:rPr>
          <w:lang w:val="en-GB"/>
        </w:rPr>
        <w:t xml:space="preserve"> and considering the </w:t>
      </w:r>
      <w:r w:rsidR="00783B5F" w:rsidRPr="00405395">
        <w:rPr>
          <w:lang w:val="en-GB"/>
        </w:rPr>
        <w:t>o</w:t>
      </w:r>
      <w:r w:rsidR="00710B15" w:rsidRPr="00405395">
        <w:rPr>
          <w:lang w:val="en-GB"/>
        </w:rPr>
        <w:t>dour</w:t>
      </w:r>
      <w:r w:rsidRPr="00405395">
        <w:rPr>
          <w:lang w:val="en-GB"/>
        </w:rPr>
        <w:t xml:space="preserve"> concentration</w:t>
      </w:r>
      <w:r w:rsidR="00783B5F" w:rsidRPr="00405395">
        <w:rPr>
          <w:lang w:val="en-GB"/>
        </w:rPr>
        <w:t xml:space="preserve"> </w:t>
      </w:r>
      <w:r w:rsidRPr="00405395">
        <w:rPr>
          <w:lang w:val="en-GB"/>
        </w:rPr>
        <w:t xml:space="preserve">obtained from olfactometric measurements during the monitoring campaign, the OER associated </w:t>
      </w:r>
      <w:r w:rsidR="00710B15" w:rsidRPr="00405395">
        <w:rPr>
          <w:lang w:val="en-GB"/>
        </w:rPr>
        <w:t>to</w:t>
      </w:r>
      <w:r w:rsidRPr="00405395">
        <w:rPr>
          <w:lang w:val="en-GB"/>
        </w:rPr>
        <w:t xml:space="preserve"> the scrubber was determined. </w:t>
      </w:r>
    </w:p>
    <w:p w14:paraId="3EF96164" w14:textId="41229FF2" w:rsidR="00681416" w:rsidRPr="00405395" w:rsidRDefault="00F40293" w:rsidP="00453E24">
      <w:pPr>
        <w:pStyle w:val="CETBodytext"/>
        <w:rPr>
          <w:lang w:val="en-GB"/>
        </w:rPr>
      </w:pPr>
      <w:r w:rsidRPr="00405395">
        <w:rPr>
          <w:lang w:val="en-GB"/>
        </w:rPr>
        <w:fldChar w:fldCharType="begin"/>
      </w:r>
      <w:r w:rsidRPr="00405395">
        <w:rPr>
          <w:lang w:val="en-GB"/>
        </w:rPr>
        <w:instrText xml:space="preserve"> REF _Ref166159202 \h  \* MERGEFORMAT </w:instrText>
      </w:r>
      <w:r w:rsidRPr="00405395">
        <w:rPr>
          <w:lang w:val="en-GB"/>
        </w:rPr>
      </w:r>
      <w:r w:rsidRPr="00405395">
        <w:rPr>
          <w:lang w:val="en-GB"/>
        </w:rPr>
        <w:fldChar w:fldCharType="separate"/>
      </w:r>
      <w:r w:rsidR="00ED7C0D" w:rsidRPr="00ED7C0D">
        <w:rPr>
          <w:lang w:val="en-GB"/>
        </w:rPr>
        <w:t>Table 2</w:t>
      </w:r>
      <w:r w:rsidRPr="00405395">
        <w:rPr>
          <w:lang w:val="en-GB"/>
        </w:rPr>
        <w:fldChar w:fldCharType="end"/>
      </w:r>
      <w:r w:rsidRPr="00405395">
        <w:rPr>
          <w:lang w:val="en-GB"/>
        </w:rPr>
        <w:t xml:space="preserve"> </w:t>
      </w:r>
      <w:r w:rsidR="00681416" w:rsidRPr="00405395">
        <w:rPr>
          <w:lang w:val="en-GB"/>
        </w:rPr>
        <w:t xml:space="preserve">reports the OER for the different </w:t>
      </w:r>
      <w:r w:rsidR="005C4B87" w:rsidRPr="00405395">
        <w:rPr>
          <w:lang w:val="en-GB"/>
        </w:rPr>
        <w:t>predictive</w:t>
      </w:r>
      <w:r w:rsidR="00681416" w:rsidRPr="00405395">
        <w:rPr>
          <w:lang w:val="en-GB"/>
        </w:rPr>
        <w:t xml:space="preserve"> scenarios.</w:t>
      </w:r>
    </w:p>
    <w:p w14:paraId="4EE00A04" w14:textId="77777777" w:rsidR="00F40293" w:rsidRPr="00405395" w:rsidRDefault="00F40293" w:rsidP="00F40293">
      <w:pPr>
        <w:pStyle w:val="Didascalia"/>
        <w:keepNext/>
        <w:rPr>
          <w:b w:val="0"/>
          <w:bCs w:val="0"/>
          <w:i/>
          <w:color w:val="auto"/>
          <w:szCs w:val="20"/>
        </w:rPr>
      </w:pPr>
    </w:p>
    <w:p w14:paraId="284778BF" w14:textId="03031526" w:rsidR="00F40293" w:rsidRPr="00405395" w:rsidRDefault="00F40293" w:rsidP="00F40293">
      <w:pPr>
        <w:pStyle w:val="Didascalia"/>
        <w:keepNext/>
        <w:rPr>
          <w:b w:val="0"/>
          <w:bCs w:val="0"/>
          <w:i/>
          <w:color w:val="auto"/>
          <w:szCs w:val="20"/>
        </w:rPr>
      </w:pPr>
      <w:bookmarkStart w:id="1" w:name="_Ref166159202"/>
      <w:r w:rsidRPr="00405395">
        <w:rPr>
          <w:b w:val="0"/>
          <w:bCs w:val="0"/>
          <w:i/>
          <w:color w:val="auto"/>
          <w:szCs w:val="20"/>
        </w:rPr>
        <w:t xml:space="preserve">Table </w:t>
      </w:r>
      <w:r w:rsidRPr="00405395">
        <w:rPr>
          <w:b w:val="0"/>
          <w:bCs w:val="0"/>
          <w:i/>
          <w:color w:val="auto"/>
          <w:szCs w:val="20"/>
        </w:rPr>
        <w:fldChar w:fldCharType="begin"/>
      </w:r>
      <w:r w:rsidRPr="00405395">
        <w:rPr>
          <w:b w:val="0"/>
          <w:bCs w:val="0"/>
          <w:i/>
          <w:color w:val="auto"/>
          <w:szCs w:val="20"/>
        </w:rPr>
        <w:instrText xml:space="preserve"> SEQ Table \* ARABIC </w:instrText>
      </w:r>
      <w:r w:rsidRPr="00405395">
        <w:rPr>
          <w:b w:val="0"/>
          <w:bCs w:val="0"/>
          <w:i/>
          <w:color w:val="auto"/>
          <w:szCs w:val="20"/>
        </w:rPr>
        <w:fldChar w:fldCharType="separate"/>
      </w:r>
      <w:r w:rsidR="00ED7C0D">
        <w:rPr>
          <w:b w:val="0"/>
          <w:bCs w:val="0"/>
          <w:i/>
          <w:noProof/>
          <w:color w:val="auto"/>
          <w:szCs w:val="20"/>
        </w:rPr>
        <w:t>2</w:t>
      </w:r>
      <w:r w:rsidRPr="00405395">
        <w:rPr>
          <w:b w:val="0"/>
          <w:bCs w:val="0"/>
          <w:i/>
          <w:color w:val="auto"/>
          <w:szCs w:val="20"/>
        </w:rPr>
        <w:fldChar w:fldCharType="end"/>
      </w:r>
      <w:bookmarkEnd w:id="1"/>
      <w:r w:rsidRPr="00405395">
        <w:rPr>
          <w:b w:val="0"/>
          <w:bCs w:val="0"/>
          <w:i/>
          <w:color w:val="auto"/>
          <w:szCs w:val="20"/>
        </w:rPr>
        <w:t>. Odour Emission Rate of the different simulated macro-areas (</w:t>
      </w:r>
      <w:r w:rsidR="005C4B87" w:rsidRPr="00405395">
        <w:rPr>
          <w:b w:val="0"/>
          <w:bCs w:val="0"/>
          <w:i/>
          <w:color w:val="auto"/>
          <w:szCs w:val="20"/>
        </w:rPr>
        <w:t>predictive</w:t>
      </w:r>
      <w:r w:rsidRPr="00405395">
        <w:rPr>
          <w:b w:val="0"/>
          <w:bCs w:val="0"/>
          <w:i/>
          <w:color w:val="auto"/>
          <w:szCs w:val="20"/>
        </w:rPr>
        <w:t xml:space="preserve"> scenarios)</w:t>
      </w:r>
      <w:r w:rsidR="00BF27EE">
        <w:rPr>
          <w:b w:val="0"/>
          <w:bCs w:val="0"/>
          <w:i/>
          <w:color w:val="auto"/>
          <w:szCs w:val="20"/>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85"/>
        <w:gridCol w:w="5245"/>
        <w:gridCol w:w="1311"/>
      </w:tblGrid>
      <w:tr w:rsidR="00D92F09" w:rsidRPr="00405395" w14:paraId="42DF5890" w14:textId="77777777" w:rsidTr="00CE2D09">
        <w:tc>
          <w:tcPr>
            <w:tcW w:w="1985" w:type="dxa"/>
            <w:tcBorders>
              <w:top w:val="single" w:sz="12" w:space="0" w:color="008000"/>
              <w:bottom w:val="single" w:sz="6" w:space="0" w:color="008000"/>
            </w:tcBorders>
            <w:shd w:val="clear" w:color="auto" w:fill="FFFFFF"/>
            <w:vAlign w:val="center"/>
          </w:tcPr>
          <w:p w14:paraId="49538038" w14:textId="5FE59856" w:rsidR="00D92F09" w:rsidRPr="00405395" w:rsidRDefault="00F40293" w:rsidP="007A604F">
            <w:pPr>
              <w:pStyle w:val="CETBodytext"/>
              <w:rPr>
                <w:rFonts w:cs="Arial"/>
                <w:szCs w:val="18"/>
                <w:lang w:val="en-GB"/>
              </w:rPr>
            </w:pPr>
            <w:r w:rsidRPr="00405395">
              <w:rPr>
                <w:rFonts w:cs="Arial"/>
                <w:szCs w:val="18"/>
                <w:lang w:val="en-GB"/>
              </w:rPr>
              <w:t>Macro-area</w:t>
            </w:r>
            <w:r w:rsidR="00D92F09" w:rsidRPr="00405395">
              <w:rPr>
                <w:rFonts w:cs="Arial"/>
                <w:szCs w:val="18"/>
                <w:lang w:val="en-GB"/>
              </w:rPr>
              <w:t xml:space="preserve"> </w:t>
            </w:r>
            <w:r w:rsidR="00D92F09" w:rsidRPr="00405395">
              <w:rPr>
                <w:rFonts w:cs="Arial"/>
                <w:color w:val="000000"/>
                <w:szCs w:val="18"/>
                <w:lang w:val="en-GB"/>
              </w:rPr>
              <w:t>–</w:t>
            </w:r>
            <w:r w:rsidR="00D92F09" w:rsidRPr="00405395">
              <w:rPr>
                <w:rFonts w:cs="Arial"/>
                <w:szCs w:val="18"/>
                <w:lang w:val="en-GB"/>
              </w:rPr>
              <w:t xml:space="preserve"> </w:t>
            </w:r>
            <w:r w:rsidR="005C4B87" w:rsidRPr="00405395">
              <w:rPr>
                <w:rFonts w:cs="Arial"/>
                <w:szCs w:val="18"/>
                <w:lang w:val="en-GB"/>
              </w:rPr>
              <w:t>predictive</w:t>
            </w:r>
          </w:p>
        </w:tc>
        <w:tc>
          <w:tcPr>
            <w:tcW w:w="5245" w:type="dxa"/>
            <w:tcBorders>
              <w:top w:val="single" w:sz="12" w:space="0" w:color="008000"/>
              <w:bottom w:val="single" w:sz="6" w:space="0" w:color="008000"/>
            </w:tcBorders>
            <w:shd w:val="clear" w:color="auto" w:fill="FFFFFF"/>
          </w:tcPr>
          <w:p w14:paraId="29CDA78B" w14:textId="2BBFBD5A" w:rsidR="00D92F09" w:rsidRPr="00405395" w:rsidRDefault="00D92F09" w:rsidP="007A604F">
            <w:pPr>
              <w:pStyle w:val="CETBodytext"/>
              <w:rPr>
                <w:rFonts w:cs="Arial"/>
                <w:szCs w:val="18"/>
                <w:lang w:val="en-GB"/>
              </w:rPr>
            </w:pPr>
            <w:r w:rsidRPr="00405395">
              <w:rPr>
                <w:rFonts w:cs="Arial"/>
                <w:szCs w:val="18"/>
                <w:lang w:val="en-GB"/>
              </w:rPr>
              <w:t>Description</w:t>
            </w:r>
          </w:p>
        </w:tc>
        <w:tc>
          <w:tcPr>
            <w:tcW w:w="1311" w:type="dxa"/>
            <w:tcBorders>
              <w:top w:val="single" w:sz="12" w:space="0" w:color="008000"/>
              <w:bottom w:val="single" w:sz="6" w:space="0" w:color="008000"/>
            </w:tcBorders>
            <w:shd w:val="clear" w:color="auto" w:fill="FFFFFF"/>
            <w:vAlign w:val="center"/>
          </w:tcPr>
          <w:p w14:paraId="236AC7ED" w14:textId="6F68E53A" w:rsidR="00D92F09" w:rsidRPr="00405395" w:rsidRDefault="001F13C9" w:rsidP="007A604F">
            <w:pPr>
              <w:pStyle w:val="CETBodytext"/>
              <w:rPr>
                <w:rFonts w:cs="Arial"/>
                <w:szCs w:val="18"/>
                <w:lang w:val="en-GB"/>
              </w:rPr>
            </w:pPr>
            <w:r w:rsidRPr="00405395">
              <w:rPr>
                <w:rFonts w:cs="Arial"/>
                <w:szCs w:val="18"/>
                <w:lang w:val="en-GB"/>
              </w:rPr>
              <w:t xml:space="preserve">     </w:t>
            </w:r>
            <w:r w:rsidR="00D92F09" w:rsidRPr="00405395">
              <w:rPr>
                <w:rFonts w:cs="Arial"/>
                <w:szCs w:val="18"/>
                <w:lang w:val="en-GB"/>
              </w:rPr>
              <w:t>OER [</w:t>
            </w:r>
            <w:proofErr w:type="spellStart"/>
            <w:r w:rsidR="00D92F09" w:rsidRPr="00405395">
              <w:rPr>
                <w:rFonts w:cs="Arial"/>
                <w:szCs w:val="18"/>
                <w:lang w:val="en-GB"/>
              </w:rPr>
              <w:t>ou</w:t>
            </w:r>
            <w:r w:rsidR="00D92F09" w:rsidRPr="00405395">
              <w:rPr>
                <w:rFonts w:cs="Arial"/>
                <w:szCs w:val="18"/>
                <w:vertAlign w:val="subscript"/>
                <w:lang w:val="en-GB"/>
              </w:rPr>
              <w:t>E</w:t>
            </w:r>
            <w:proofErr w:type="spellEnd"/>
            <w:r w:rsidR="00D92F09" w:rsidRPr="00405395">
              <w:rPr>
                <w:rFonts w:cs="Arial"/>
                <w:szCs w:val="18"/>
                <w:lang w:val="en-GB"/>
              </w:rPr>
              <w:t>/s]</w:t>
            </w:r>
          </w:p>
        </w:tc>
      </w:tr>
      <w:tr w:rsidR="00D92F09" w:rsidRPr="00405395" w14:paraId="1EBA5EEB" w14:textId="77777777" w:rsidTr="00CE2D09">
        <w:tc>
          <w:tcPr>
            <w:tcW w:w="1985" w:type="dxa"/>
            <w:shd w:val="clear" w:color="auto" w:fill="FFFFFF"/>
            <w:vAlign w:val="center"/>
          </w:tcPr>
          <w:p w14:paraId="0D5564E2" w14:textId="7CE5492D" w:rsidR="00D92F09" w:rsidRPr="00405395" w:rsidRDefault="00D92F09" w:rsidP="007A604F">
            <w:pPr>
              <w:pStyle w:val="CETBodytext"/>
              <w:rPr>
                <w:rFonts w:cs="Arial"/>
                <w:szCs w:val="18"/>
                <w:lang w:val="en-GB"/>
              </w:rPr>
            </w:pPr>
            <w:r w:rsidRPr="00405395">
              <w:rPr>
                <w:rFonts w:cs="Arial"/>
                <w:color w:val="000000"/>
                <w:szCs w:val="18"/>
                <w:lang w:val="en-GB"/>
              </w:rPr>
              <w:t xml:space="preserve">Cooking vats </w:t>
            </w:r>
          </w:p>
        </w:tc>
        <w:tc>
          <w:tcPr>
            <w:tcW w:w="5245" w:type="dxa"/>
            <w:shd w:val="clear" w:color="auto" w:fill="FFFFFF"/>
          </w:tcPr>
          <w:p w14:paraId="358E2E2F" w14:textId="2BF9AECC" w:rsidR="00D92F09" w:rsidRPr="00405395" w:rsidRDefault="00D92F09" w:rsidP="007A604F">
            <w:pPr>
              <w:pStyle w:val="CETBodytext"/>
              <w:rPr>
                <w:rFonts w:cs="Arial"/>
                <w:color w:val="000000"/>
                <w:szCs w:val="18"/>
                <w:lang w:val="en-GB"/>
              </w:rPr>
            </w:pPr>
            <w:r w:rsidRPr="00405395">
              <w:rPr>
                <w:rFonts w:cs="Arial"/>
                <w:color w:val="000000"/>
                <w:szCs w:val="18"/>
                <w:lang w:val="en-GB"/>
              </w:rPr>
              <w:t xml:space="preserve">Introduction of a cooling coil </w:t>
            </w:r>
          </w:p>
        </w:tc>
        <w:tc>
          <w:tcPr>
            <w:tcW w:w="1311" w:type="dxa"/>
            <w:shd w:val="clear" w:color="auto" w:fill="FFFFFF"/>
            <w:vAlign w:val="center"/>
          </w:tcPr>
          <w:p w14:paraId="200BDA0A" w14:textId="64FD8468" w:rsidR="00D92F09" w:rsidRPr="00405395" w:rsidRDefault="001F13C9" w:rsidP="007A604F">
            <w:pPr>
              <w:pStyle w:val="CETBodytext"/>
              <w:rPr>
                <w:rFonts w:cs="Arial"/>
                <w:szCs w:val="18"/>
                <w:lang w:val="en-GB"/>
              </w:rPr>
            </w:pPr>
            <w:r w:rsidRPr="00405395">
              <w:rPr>
                <w:rFonts w:cs="Arial"/>
                <w:szCs w:val="18"/>
                <w:lang w:val="en-GB"/>
              </w:rPr>
              <w:t xml:space="preserve">     </w:t>
            </w:r>
            <w:r w:rsidR="008739EB" w:rsidRPr="00405395">
              <w:rPr>
                <w:rFonts w:cs="Arial"/>
                <w:szCs w:val="18"/>
                <w:lang w:val="en-GB"/>
              </w:rPr>
              <w:t>5</w:t>
            </w:r>
            <w:r w:rsidRPr="00405395">
              <w:rPr>
                <w:rFonts w:cs="Arial"/>
                <w:szCs w:val="18"/>
                <w:lang w:val="en-GB"/>
              </w:rPr>
              <w:t>000</w:t>
            </w:r>
          </w:p>
        </w:tc>
      </w:tr>
      <w:tr w:rsidR="00D92F09" w:rsidRPr="00405395" w14:paraId="615E186B" w14:textId="77777777" w:rsidTr="00CE2D09">
        <w:tc>
          <w:tcPr>
            <w:tcW w:w="1985" w:type="dxa"/>
            <w:shd w:val="clear" w:color="auto" w:fill="FFFFFF"/>
            <w:vAlign w:val="center"/>
          </w:tcPr>
          <w:p w14:paraId="6ED81844" w14:textId="6387667B" w:rsidR="00D92F09" w:rsidRPr="00405395" w:rsidRDefault="00D92F09" w:rsidP="00D92F09">
            <w:pPr>
              <w:pStyle w:val="CETBodytext"/>
              <w:ind w:right="-1"/>
              <w:rPr>
                <w:rFonts w:cs="Arial"/>
                <w:szCs w:val="18"/>
                <w:lang w:val="en-GB"/>
              </w:rPr>
            </w:pPr>
            <w:r w:rsidRPr="00405395">
              <w:rPr>
                <w:rFonts w:cs="Arial"/>
                <w:color w:val="000000"/>
                <w:szCs w:val="18"/>
                <w:lang w:val="en-GB"/>
              </w:rPr>
              <w:t>WWTP – scenario 1</w:t>
            </w:r>
          </w:p>
        </w:tc>
        <w:tc>
          <w:tcPr>
            <w:tcW w:w="5245" w:type="dxa"/>
            <w:shd w:val="clear" w:color="auto" w:fill="FFFFFF"/>
          </w:tcPr>
          <w:p w14:paraId="392AD397" w14:textId="575B2BE5" w:rsidR="00D92F09" w:rsidRPr="00405395" w:rsidRDefault="00522AC8" w:rsidP="00D92F09">
            <w:pPr>
              <w:pStyle w:val="CETBodytext"/>
              <w:ind w:right="-1"/>
              <w:rPr>
                <w:rFonts w:cs="Arial"/>
                <w:color w:val="000000"/>
                <w:szCs w:val="18"/>
                <w:lang w:val="en-GB"/>
              </w:rPr>
            </w:pPr>
            <w:r w:rsidRPr="00405395">
              <w:rPr>
                <w:rFonts w:cs="Arial"/>
                <w:color w:val="000000"/>
                <w:szCs w:val="18"/>
                <w:lang w:val="en-GB"/>
              </w:rPr>
              <w:t xml:space="preserve">Covering and treatment of air stream from </w:t>
            </w:r>
            <w:r w:rsidR="007377EA" w:rsidRPr="00405395">
              <w:rPr>
                <w:color w:val="000000"/>
                <w:lang w:val="en-GB"/>
              </w:rPr>
              <w:t>tank A</w:t>
            </w:r>
          </w:p>
        </w:tc>
        <w:tc>
          <w:tcPr>
            <w:tcW w:w="1311" w:type="dxa"/>
            <w:shd w:val="clear" w:color="auto" w:fill="FFFFFF"/>
            <w:vAlign w:val="center"/>
          </w:tcPr>
          <w:p w14:paraId="7327D0B3" w14:textId="7E31E493" w:rsidR="00D92F09" w:rsidRPr="00405395" w:rsidRDefault="00522AC8" w:rsidP="00D92F09">
            <w:pPr>
              <w:pStyle w:val="CETBodytext"/>
              <w:ind w:right="-1"/>
              <w:rPr>
                <w:rFonts w:cs="Arial"/>
                <w:szCs w:val="18"/>
                <w:lang w:val="en-GB"/>
              </w:rPr>
            </w:pPr>
            <w:r w:rsidRPr="00405395">
              <w:rPr>
                <w:rFonts w:cs="Arial"/>
                <w:szCs w:val="18"/>
                <w:lang w:val="en-GB"/>
              </w:rPr>
              <w:t xml:space="preserve">     50000</w:t>
            </w:r>
          </w:p>
        </w:tc>
      </w:tr>
      <w:tr w:rsidR="00D92F09" w:rsidRPr="00405395" w14:paraId="73F28C40" w14:textId="77777777" w:rsidTr="00CE2D09">
        <w:tc>
          <w:tcPr>
            <w:tcW w:w="1985" w:type="dxa"/>
            <w:shd w:val="clear" w:color="auto" w:fill="FFFFFF"/>
          </w:tcPr>
          <w:p w14:paraId="71DBB681" w14:textId="5C73776A" w:rsidR="00D92F09" w:rsidRPr="00405395" w:rsidRDefault="00D92F09" w:rsidP="00D92F09">
            <w:pPr>
              <w:pStyle w:val="CETBodytext"/>
              <w:ind w:right="-1"/>
              <w:rPr>
                <w:rFonts w:cs="Arial"/>
                <w:szCs w:val="18"/>
                <w:lang w:val="en-GB"/>
              </w:rPr>
            </w:pPr>
            <w:r w:rsidRPr="00405395">
              <w:rPr>
                <w:rFonts w:cs="Arial"/>
                <w:color w:val="000000"/>
                <w:szCs w:val="18"/>
                <w:lang w:val="en-GB"/>
              </w:rPr>
              <w:t>WWTP – scenario 2</w:t>
            </w:r>
          </w:p>
        </w:tc>
        <w:tc>
          <w:tcPr>
            <w:tcW w:w="5245" w:type="dxa"/>
            <w:shd w:val="clear" w:color="auto" w:fill="FFFFFF"/>
          </w:tcPr>
          <w:p w14:paraId="269C31B6" w14:textId="78BC0662" w:rsidR="00D92F09" w:rsidRPr="00405395" w:rsidRDefault="00522AC8" w:rsidP="00D92F09">
            <w:pPr>
              <w:pStyle w:val="CETBodytext"/>
              <w:ind w:right="-1"/>
              <w:rPr>
                <w:rFonts w:cs="Arial"/>
                <w:color w:val="000000"/>
                <w:szCs w:val="18"/>
                <w:lang w:val="en-GB"/>
              </w:rPr>
            </w:pPr>
            <w:r w:rsidRPr="00405395">
              <w:rPr>
                <w:rFonts w:cs="Arial"/>
                <w:color w:val="000000"/>
                <w:szCs w:val="18"/>
                <w:lang w:val="en-GB"/>
              </w:rPr>
              <w:t xml:space="preserve">Covering and treatment of air stream from </w:t>
            </w:r>
            <w:r w:rsidR="007377EA" w:rsidRPr="00405395">
              <w:rPr>
                <w:lang w:val="en-GB"/>
              </w:rPr>
              <w:t>tank B</w:t>
            </w:r>
          </w:p>
        </w:tc>
        <w:tc>
          <w:tcPr>
            <w:tcW w:w="1311" w:type="dxa"/>
            <w:shd w:val="clear" w:color="auto" w:fill="FFFFFF"/>
            <w:vAlign w:val="center"/>
          </w:tcPr>
          <w:p w14:paraId="14F579D0" w14:textId="19565515" w:rsidR="00522AC8" w:rsidRPr="00405395" w:rsidRDefault="00522AC8" w:rsidP="00D92F09">
            <w:pPr>
              <w:pStyle w:val="CETBodytext"/>
              <w:ind w:right="-1"/>
              <w:rPr>
                <w:rFonts w:cs="Arial"/>
                <w:szCs w:val="18"/>
                <w:lang w:val="en-GB"/>
              </w:rPr>
            </w:pPr>
            <w:r w:rsidRPr="00405395">
              <w:rPr>
                <w:rFonts w:cs="Arial"/>
                <w:szCs w:val="18"/>
                <w:lang w:val="en-GB"/>
              </w:rPr>
              <w:t xml:space="preserve">     25000</w:t>
            </w:r>
          </w:p>
        </w:tc>
      </w:tr>
      <w:tr w:rsidR="00D92F09" w:rsidRPr="00405395" w14:paraId="227C4E05" w14:textId="77777777" w:rsidTr="00CE2D09">
        <w:tc>
          <w:tcPr>
            <w:tcW w:w="1985" w:type="dxa"/>
            <w:shd w:val="clear" w:color="auto" w:fill="FFFFFF"/>
          </w:tcPr>
          <w:p w14:paraId="685CAFDE" w14:textId="54B90B94" w:rsidR="00D92F09" w:rsidRPr="00405395" w:rsidRDefault="00D92F09" w:rsidP="00D92F09">
            <w:pPr>
              <w:pStyle w:val="CETBodytext"/>
              <w:ind w:right="-1"/>
              <w:rPr>
                <w:rFonts w:cs="Arial"/>
                <w:color w:val="000000"/>
                <w:szCs w:val="18"/>
                <w:lang w:val="en-GB"/>
              </w:rPr>
            </w:pPr>
            <w:r w:rsidRPr="00405395">
              <w:rPr>
                <w:rFonts w:cs="Arial"/>
                <w:color w:val="000000"/>
                <w:szCs w:val="18"/>
                <w:lang w:val="en-GB"/>
              </w:rPr>
              <w:t>WWTP – scenario 3</w:t>
            </w:r>
          </w:p>
        </w:tc>
        <w:tc>
          <w:tcPr>
            <w:tcW w:w="5245" w:type="dxa"/>
            <w:shd w:val="clear" w:color="auto" w:fill="FFFFFF"/>
          </w:tcPr>
          <w:p w14:paraId="46D3CD96" w14:textId="5841802A" w:rsidR="00D92F09" w:rsidRPr="00405395" w:rsidRDefault="00522AC8" w:rsidP="00D92F09">
            <w:pPr>
              <w:pStyle w:val="CETBodytext"/>
              <w:ind w:right="-1"/>
              <w:rPr>
                <w:rFonts w:cs="Arial"/>
                <w:color w:val="000000"/>
                <w:szCs w:val="18"/>
                <w:lang w:val="en-GB"/>
              </w:rPr>
            </w:pPr>
            <w:r w:rsidRPr="00405395">
              <w:rPr>
                <w:rFonts w:cs="Arial"/>
                <w:color w:val="000000"/>
                <w:szCs w:val="18"/>
                <w:lang w:val="en-GB"/>
              </w:rPr>
              <w:t xml:space="preserve">Covering and treatment of air streams from </w:t>
            </w:r>
            <w:r w:rsidR="007377EA" w:rsidRPr="00405395">
              <w:rPr>
                <w:lang w:val="en-GB"/>
              </w:rPr>
              <w:t>tank A and B</w:t>
            </w:r>
          </w:p>
        </w:tc>
        <w:tc>
          <w:tcPr>
            <w:tcW w:w="1311" w:type="dxa"/>
            <w:shd w:val="clear" w:color="auto" w:fill="FFFFFF"/>
            <w:vAlign w:val="center"/>
          </w:tcPr>
          <w:p w14:paraId="4682C996" w14:textId="08F73D81" w:rsidR="00D92F09" w:rsidRPr="00405395" w:rsidRDefault="00522AC8" w:rsidP="00D92F09">
            <w:pPr>
              <w:pStyle w:val="CETBodytext"/>
              <w:ind w:right="-1"/>
              <w:rPr>
                <w:rFonts w:cs="Arial"/>
                <w:color w:val="000000"/>
                <w:szCs w:val="18"/>
                <w:lang w:val="en-GB"/>
              </w:rPr>
            </w:pPr>
            <w:r w:rsidRPr="00405395">
              <w:rPr>
                <w:rFonts w:cs="Arial"/>
                <w:color w:val="000000"/>
                <w:szCs w:val="18"/>
                <w:lang w:val="en-GB"/>
              </w:rPr>
              <w:t xml:space="preserve">     20000</w:t>
            </w:r>
          </w:p>
        </w:tc>
      </w:tr>
      <w:tr w:rsidR="00D92F09" w:rsidRPr="00405395" w14:paraId="340B6773" w14:textId="77777777" w:rsidTr="00CE2D09">
        <w:tc>
          <w:tcPr>
            <w:tcW w:w="1985" w:type="dxa"/>
            <w:shd w:val="clear" w:color="auto" w:fill="FFFFFF"/>
          </w:tcPr>
          <w:p w14:paraId="15C9D715" w14:textId="59FE0016" w:rsidR="00D92F09" w:rsidRPr="00405395" w:rsidRDefault="00D92F09" w:rsidP="00D92F09">
            <w:pPr>
              <w:pStyle w:val="CETBodytext"/>
              <w:ind w:right="-1"/>
              <w:rPr>
                <w:rFonts w:cs="Arial"/>
                <w:color w:val="000000"/>
                <w:szCs w:val="18"/>
                <w:lang w:val="en-GB"/>
              </w:rPr>
            </w:pPr>
            <w:r w:rsidRPr="00405395">
              <w:rPr>
                <w:rFonts w:cs="Arial"/>
                <w:color w:val="000000"/>
                <w:szCs w:val="18"/>
                <w:lang w:val="en-GB"/>
              </w:rPr>
              <w:t>WWTP – scenario 4</w:t>
            </w:r>
          </w:p>
        </w:tc>
        <w:tc>
          <w:tcPr>
            <w:tcW w:w="5245" w:type="dxa"/>
            <w:shd w:val="clear" w:color="auto" w:fill="FFFFFF"/>
          </w:tcPr>
          <w:p w14:paraId="7B4CFC1E" w14:textId="63DEA7DE" w:rsidR="00D92F09" w:rsidRPr="00405395" w:rsidRDefault="00522AC8" w:rsidP="00D92F09">
            <w:pPr>
              <w:pStyle w:val="CETBodytext"/>
              <w:ind w:right="-1"/>
              <w:rPr>
                <w:rFonts w:cs="Arial"/>
                <w:color w:val="000000"/>
                <w:szCs w:val="18"/>
                <w:lang w:val="en-GB"/>
              </w:rPr>
            </w:pPr>
            <w:r w:rsidRPr="00405395">
              <w:rPr>
                <w:rFonts w:cs="Arial"/>
                <w:color w:val="000000"/>
                <w:szCs w:val="18"/>
                <w:lang w:val="en-GB"/>
              </w:rPr>
              <w:t xml:space="preserve">Covering and treatment of air streams from </w:t>
            </w:r>
            <w:r w:rsidR="007377EA" w:rsidRPr="00405395">
              <w:rPr>
                <w:lang w:val="en-GB"/>
              </w:rPr>
              <w:t>tank A</w:t>
            </w:r>
            <w:r w:rsidRPr="00405395">
              <w:rPr>
                <w:lang w:val="en-GB"/>
              </w:rPr>
              <w:t xml:space="preserve"> and </w:t>
            </w:r>
            <w:r w:rsidR="007377EA" w:rsidRPr="00405395">
              <w:rPr>
                <w:lang w:val="en-GB"/>
              </w:rPr>
              <w:t>C</w:t>
            </w:r>
          </w:p>
        </w:tc>
        <w:tc>
          <w:tcPr>
            <w:tcW w:w="1311" w:type="dxa"/>
            <w:shd w:val="clear" w:color="auto" w:fill="FFFFFF"/>
            <w:vAlign w:val="center"/>
          </w:tcPr>
          <w:p w14:paraId="537113A4" w14:textId="19EF903E" w:rsidR="00D92F09" w:rsidRPr="007E700F" w:rsidRDefault="00522AC8" w:rsidP="00D92F09">
            <w:pPr>
              <w:pStyle w:val="CETBodytext"/>
              <w:ind w:right="-1"/>
              <w:rPr>
                <w:rFonts w:cs="Arial"/>
                <w:color w:val="000000"/>
                <w:szCs w:val="18"/>
                <w:lang w:val="en-GB"/>
              </w:rPr>
            </w:pPr>
            <w:r w:rsidRPr="007E700F">
              <w:rPr>
                <w:rFonts w:cs="Arial"/>
                <w:color w:val="000000"/>
                <w:szCs w:val="18"/>
                <w:lang w:val="en-GB"/>
              </w:rPr>
              <w:t xml:space="preserve">     45000</w:t>
            </w:r>
          </w:p>
        </w:tc>
      </w:tr>
      <w:tr w:rsidR="00D92F09" w:rsidRPr="00405395" w14:paraId="0B00F6C8" w14:textId="77777777" w:rsidTr="00CE2D09">
        <w:tc>
          <w:tcPr>
            <w:tcW w:w="1985" w:type="dxa"/>
            <w:shd w:val="clear" w:color="auto" w:fill="FFFFFF"/>
          </w:tcPr>
          <w:p w14:paraId="348C7DB2" w14:textId="0056253C" w:rsidR="00D92F09" w:rsidRPr="00405395" w:rsidRDefault="00D92F09" w:rsidP="00D92F09">
            <w:pPr>
              <w:pStyle w:val="CETBodytext"/>
              <w:ind w:right="-1"/>
              <w:rPr>
                <w:rFonts w:cs="Arial"/>
                <w:color w:val="000000"/>
                <w:szCs w:val="18"/>
                <w:lang w:val="en-GB"/>
              </w:rPr>
            </w:pPr>
            <w:r w:rsidRPr="00405395">
              <w:rPr>
                <w:rFonts w:cs="Arial"/>
                <w:color w:val="000000"/>
                <w:szCs w:val="18"/>
                <w:lang w:val="en-GB"/>
              </w:rPr>
              <w:t>WWTP – scenario 5</w:t>
            </w:r>
          </w:p>
        </w:tc>
        <w:tc>
          <w:tcPr>
            <w:tcW w:w="5245" w:type="dxa"/>
            <w:shd w:val="clear" w:color="auto" w:fill="FFFFFF"/>
          </w:tcPr>
          <w:p w14:paraId="0CBEE41E" w14:textId="3A5BF075" w:rsidR="00D92F09" w:rsidRPr="00405395" w:rsidRDefault="00522AC8" w:rsidP="00D92F09">
            <w:pPr>
              <w:pStyle w:val="CETBodytext"/>
              <w:ind w:right="-1"/>
              <w:rPr>
                <w:rFonts w:cs="Arial"/>
                <w:color w:val="000000"/>
                <w:szCs w:val="18"/>
                <w:lang w:val="en-GB"/>
              </w:rPr>
            </w:pPr>
            <w:r w:rsidRPr="00405395">
              <w:rPr>
                <w:rFonts w:cs="Arial"/>
                <w:color w:val="000000"/>
                <w:szCs w:val="18"/>
                <w:lang w:val="en-GB"/>
              </w:rPr>
              <w:t xml:space="preserve">Covering and treatment of air streams from </w:t>
            </w:r>
            <w:r w:rsidR="007377EA" w:rsidRPr="00405395">
              <w:rPr>
                <w:lang w:val="en-GB"/>
              </w:rPr>
              <w:t>tank B</w:t>
            </w:r>
            <w:r w:rsidRPr="00405395">
              <w:rPr>
                <w:lang w:val="en-GB"/>
              </w:rPr>
              <w:t xml:space="preserve"> and</w:t>
            </w:r>
            <w:r w:rsidR="007377EA" w:rsidRPr="00405395">
              <w:rPr>
                <w:lang w:val="en-GB"/>
              </w:rPr>
              <w:t xml:space="preserve"> C</w:t>
            </w:r>
          </w:p>
        </w:tc>
        <w:tc>
          <w:tcPr>
            <w:tcW w:w="1311" w:type="dxa"/>
            <w:shd w:val="clear" w:color="auto" w:fill="FFFFFF"/>
            <w:vAlign w:val="center"/>
          </w:tcPr>
          <w:p w14:paraId="12420D32" w14:textId="7AD1121F" w:rsidR="00D92F09" w:rsidRPr="007E700F" w:rsidRDefault="00522AC8" w:rsidP="00D92F09">
            <w:pPr>
              <w:pStyle w:val="CETBodytext"/>
              <w:ind w:right="-1"/>
              <w:rPr>
                <w:rFonts w:cs="Arial"/>
                <w:color w:val="000000"/>
                <w:szCs w:val="18"/>
                <w:lang w:val="en-GB"/>
              </w:rPr>
            </w:pPr>
            <w:r w:rsidRPr="007E700F">
              <w:rPr>
                <w:rFonts w:cs="Arial"/>
                <w:color w:val="000000"/>
                <w:szCs w:val="18"/>
                <w:lang w:val="en-GB"/>
              </w:rPr>
              <w:t xml:space="preserve">     18000</w:t>
            </w:r>
          </w:p>
        </w:tc>
      </w:tr>
      <w:tr w:rsidR="00D92F09" w:rsidRPr="00405395" w14:paraId="0D9DE04C" w14:textId="77777777" w:rsidTr="00CE2D09">
        <w:tc>
          <w:tcPr>
            <w:tcW w:w="1985" w:type="dxa"/>
            <w:shd w:val="clear" w:color="auto" w:fill="FFFFFF"/>
            <w:vAlign w:val="center"/>
          </w:tcPr>
          <w:p w14:paraId="32C4245E" w14:textId="3596ED83" w:rsidR="00D92F09" w:rsidRPr="00405395" w:rsidRDefault="00D92F09" w:rsidP="00D92F09">
            <w:pPr>
              <w:pStyle w:val="CETBodytext"/>
              <w:ind w:right="-1"/>
              <w:rPr>
                <w:rFonts w:cs="Arial"/>
                <w:color w:val="000000"/>
                <w:szCs w:val="18"/>
                <w:lang w:val="en-GB"/>
              </w:rPr>
            </w:pPr>
            <w:r w:rsidRPr="00405395">
              <w:rPr>
                <w:rFonts w:cs="Arial"/>
                <w:color w:val="000000"/>
                <w:szCs w:val="18"/>
                <w:lang w:val="en-GB"/>
              </w:rPr>
              <w:t>WWTP – scenario 6</w:t>
            </w:r>
          </w:p>
        </w:tc>
        <w:tc>
          <w:tcPr>
            <w:tcW w:w="5245" w:type="dxa"/>
            <w:shd w:val="clear" w:color="auto" w:fill="FFFFFF"/>
          </w:tcPr>
          <w:p w14:paraId="29B3F5C1" w14:textId="1288B276" w:rsidR="00D92F09" w:rsidRPr="00405395" w:rsidRDefault="00522AC8" w:rsidP="00D92F09">
            <w:pPr>
              <w:pStyle w:val="CETBodytext"/>
              <w:ind w:right="-1"/>
              <w:rPr>
                <w:rFonts w:cs="Arial"/>
                <w:color w:val="000000"/>
                <w:szCs w:val="18"/>
                <w:lang w:val="en-GB"/>
              </w:rPr>
            </w:pPr>
            <w:r w:rsidRPr="00405395">
              <w:rPr>
                <w:rFonts w:cs="Arial"/>
                <w:color w:val="000000"/>
                <w:szCs w:val="18"/>
                <w:lang w:val="en-GB"/>
              </w:rPr>
              <w:t xml:space="preserve">Covering and treatment of air streams from </w:t>
            </w:r>
            <w:r w:rsidR="007377EA" w:rsidRPr="00405395">
              <w:rPr>
                <w:lang w:val="en-GB"/>
              </w:rPr>
              <w:t>tank A, B and C</w:t>
            </w:r>
          </w:p>
        </w:tc>
        <w:tc>
          <w:tcPr>
            <w:tcW w:w="1311" w:type="dxa"/>
            <w:shd w:val="clear" w:color="auto" w:fill="FFFFFF"/>
            <w:vAlign w:val="center"/>
          </w:tcPr>
          <w:p w14:paraId="77E7AB27" w14:textId="4F695411" w:rsidR="00D92F09" w:rsidRPr="007E700F" w:rsidRDefault="00522AC8" w:rsidP="00D92F09">
            <w:pPr>
              <w:pStyle w:val="CETBodytext"/>
              <w:ind w:right="-1"/>
              <w:rPr>
                <w:rFonts w:cs="Arial"/>
                <w:color w:val="000000"/>
                <w:szCs w:val="18"/>
                <w:lang w:val="en-GB"/>
              </w:rPr>
            </w:pPr>
            <w:r w:rsidRPr="007E700F">
              <w:rPr>
                <w:rFonts w:cs="Arial"/>
                <w:color w:val="000000"/>
                <w:szCs w:val="18"/>
                <w:lang w:val="en-GB"/>
              </w:rPr>
              <w:t xml:space="preserve">     </w:t>
            </w:r>
            <w:r w:rsidR="007E700F" w:rsidRPr="007E700F">
              <w:rPr>
                <w:rFonts w:cs="Arial"/>
                <w:color w:val="000000"/>
                <w:szCs w:val="18"/>
                <w:lang w:val="en-GB"/>
              </w:rPr>
              <w:t>13</w:t>
            </w:r>
            <w:r w:rsidRPr="007E700F">
              <w:rPr>
                <w:rFonts w:cs="Arial"/>
                <w:color w:val="000000"/>
                <w:szCs w:val="18"/>
                <w:lang w:val="en-GB"/>
              </w:rPr>
              <w:t>000</w:t>
            </w:r>
          </w:p>
        </w:tc>
      </w:tr>
    </w:tbl>
    <w:p w14:paraId="73889F7E" w14:textId="612A845F" w:rsidR="00076029" w:rsidRPr="00405395" w:rsidRDefault="00076029" w:rsidP="00076029">
      <w:pPr>
        <w:pStyle w:val="CETHeading1"/>
        <w:rPr>
          <w:lang w:val="en-GB"/>
        </w:rPr>
      </w:pPr>
      <w:r w:rsidRPr="00405395">
        <w:rPr>
          <w:lang w:val="en-GB"/>
        </w:rPr>
        <w:t>Results</w:t>
      </w:r>
    </w:p>
    <w:p w14:paraId="318DE747" w14:textId="77777777" w:rsidR="00076029" w:rsidRPr="00405395" w:rsidRDefault="00076029" w:rsidP="00076029">
      <w:pPr>
        <w:pStyle w:val="CETheadingx"/>
        <w:rPr>
          <w:lang w:val="en-GB"/>
        </w:rPr>
      </w:pPr>
      <w:r w:rsidRPr="00405395">
        <w:rPr>
          <w:lang w:val="en-GB"/>
        </w:rPr>
        <w:t>Current emission scenarios</w:t>
      </w:r>
    </w:p>
    <w:p w14:paraId="0D4BD743" w14:textId="0DA4D15F" w:rsidR="00076029" w:rsidRPr="00405395" w:rsidRDefault="00076029" w:rsidP="00076029">
      <w:pPr>
        <w:pStyle w:val="CETBodytext"/>
        <w:rPr>
          <w:lang w:val="en-GB"/>
        </w:rPr>
      </w:pPr>
      <w:r w:rsidRPr="00405395">
        <w:rPr>
          <w:lang w:val="en-GB"/>
        </w:rPr>
        <w:t xml:space="preserve">The model results </w:t>
      </w:r>
      <w:r w:rsidR="00E869FD" w:rsidRPr="00405395">
        <w:rPr>
          <w:lang w:val="en-GB"/>
        </w:rPr>
        <w:t>were</w:t>
      </w:r>
      <w:r w:rsidRPr="00405395">
        <w:rPr>
          <w:lang w:val="en-GB"/>
        </w:rPr>
        <w:t xml:space="preserve"> evaluated as prescribed by the Italian regulation </w:t>
      </w:r>
      <w:r w:rsidRPr="00405395">
        <w:rPr>
          <w:lang w:val="en-GB"/>
        </w:rPr>
        <w:fldChar w:fldCharType="begin" w:fldLock="1"/>
      </w:r>
      <w:r w:rsidR="009D0A5F" w:rsidRPr="00405395">
        <w:rPr>
          <w:lang w:val="en-GB"/>
        </w:rPr>
        <w:instrText>ADDIN CSL_CITATION {"citationItems":[{"id":"ITEM-1","itemData":{"author":[{"dropping-particle":"","family":"MinAmbiente","given":"","non-dropping-particle":"","parse-names":false,"suffix":""}],"id":"ITEM-1","issued":{"date-parts":[["2023"]]},"title":"Decreto Direttoriale 28 giugno 2023, n. 309","type":"legislation"},"uris":["http://www.mendeley.com/documents/?uuid=28279063-c435-44c0-857e-3e3386ed366e"]}],"mendeley":{"formattedCitation":"(MinAmbiente, 2023)","plainTextFormattedCitation":"(MinAmbiente, 2023)","previouslyFormattedCitation":"(MinAmbiente, 2023)"},"properties":{"noteIndex":0},"schema":"https://github.com/citation-style-language/schema/raw/master/csl-citation.json"}</w:instrText>
      </w:r>
      <w:r w:rsidRPr="00405395">
        <w:rPr>
          <w:lang w:val="en-GB"/>
        </w:rPr>
        <w:fldChar w:fldCharType="separate"/>
      </w:r>
      <w:r w:rsidRPr="00405395">
        <w:rPr>
          <w:noProof/>
          <w:lang w:val="en-GB"/>
        </w:rPr>
        <w:t>(M</w:t>
      </w:r>
      <w:r w:rsidR="00CE67FF">
        <w:rPr>
          <w:noProof/>
          <w:lang w:val="en-GB"/>
        </w:rPr>
        <w:t>ASE</w:t>
      </w:r>
      <w:r w:rsidRPr="00405395">
        <w:rPr>
          <w:noProof/>
          <w:lang w:val="en-GB"/>
        </w:rPr>
        <w:t>, 2023)</w:t>
      </w:r>
      <w:r w:rsidRPr="00405395">
        <w:rPr>
          <w:lang w:val="en-GB"/>
        </w:rPr>
        <w:fldChar w:fldCharType="end"/>
      </w:r>
      <w:r w:rsidRPr="00405395">
        <w:rPr>
          <w:lang w:val="en-GB"/>
        </w:rPr>
        <w:t xml:space="preserve">, which </w:t>
      </w:r>
      <w:r w:rsidR="009D0A5F" w:rsidRPr="00405395">
        <w:rPr>
          <w:lang w:val="en-GB"/>
        </w:rPr>
        <w:t>mandates</w:t>
      </w:r>
      <w:r w:rsidRPr="00405395">
        <w:rPr>
          <w:lang w:val="en-GB"/>
        </w:rPr>
        <w:t xml:space="preserve"> the computation of the 98</w:t>
      </w:r>
      <w:r w:rsidRPr="00EB7CDE">
        <w:rPr>
          <w:vertAlign w:val="superscript"/>
          <w:lang w:val="en-GB"/>
        </w:rPr>
        <w:t>th</w:t>
      </w:r>
      <w:r w:rsidRPr="00405395">
        <w:rPr>
          <w:lang w:val="en-GB"/>
        </w:rPr>
        <w:t xml:space="preserve"> percentile of </w:t>
      </w:r>
      <w:r w:rsidR="00405395">
        <w:rPr>
          <w:lang w:val="en-GB"/>
        </w:rPr>
        <w:t>odour</w:t>
      </w:r>
      <w:r w:rsidR="00405395" w:rsidRPr="00405395">
        <w:rPr>
          <w:lang w:val="en-GB"/>
        </w:rPr>
        <w:t xml:space="preserve"> </w:t>
      </w:r>
      <w:r w:rsidRPr="00405395">
        <w:rPr>
          <w:lang w:val="en-GB"/>
        </w:rPr>
        <w:t xml:space="preserve">peak concentration values annually. </w:t>
      </w:r>
      <w:r w:rsidR="009D0A5F" w:rsidRPr="00405395">
        <w:rPr>
          <w:lang w:val="en-GB"/>
        </w:rPr>
        <w:t xml:space="preserve">The Italian regulations require the contour lines corresponding to concentration values of 1 </w:t>
      </w:r>
      <w:proofErr w:type="spellStart"/>
      <w:r w:rsidR="009D0A5F" w:rsidRPr="00405395">
        <w:rPr>
          <w:lang w:val="en-GB"/>
        </w:rPr>
        <w:t>ou</w:t>
      </w:r>
      <w:r w:rsidR="009D0A5F" w:rsidRPr="00405395">
        <w:rPr>
          <w:vertAlign w:val="subscript"/>
          <w:lang w:val="en-GB"/>
        </w:rPr>
        <w:t>E</w:t>
      </w:r>
      <w:proofErr w:type="spellEnd"/>
      <w:r w:rsidR="009D0A5F" w:rsidRPr="00405395">
        <w:rPr>
          <w:lang w:val="en-GB"/>
        </w:rPr>
        <w:t>/m</w:t>
      </w:r>
      <w:r w:rsidR="009D0A5F" w:rsidRPr="00405395">
        <w:rPr>
          <w:vertAlign w:val="superscript"/>
          <w:lang w:val="en-GB"/>
        </w:rPr>
        <w:t>3</w:t>
      </w:r>
      <w:r w:rsidR="009D0A5F" w:rsidRPr="00405395">
        <w:rPr>
          <w:lang w:val="en-GB"/>
        </w:rPr>
        <w:t xml:space="preserve">, 2 </w:t>
      </w:r>
      <w:proofErr w:type="spellStart"/>
      <w:r w:rsidR="009D0A5F" w:rsidRPr="00405395">
        <w:rPr>
          <w:lang w:val="en-GB"/>
        </w:rPr>
        <w:t>ou</w:t>
      </w:r>
      <w:r w:rsidR="009D0A5F" w:rsidRPr="00405395">
        <w:rPr>
          <w:vertAlign w:val="subscript"/>
          <w:lang w:val="en-GB"/>
        </w:rPr>
        <w:t>E</w:t>
      </w:r>
      <w:proofErr w:type="spellEnd"/>
      <w:r w:rsidR="009D0A5F" w:rsidRPr="00405395">
        <w:rPr>
          <w:lang w:val="en-GB"/>
        </w:rPr>
        <w:t>/m</w:t>
      </w:r>
      <w:r w:rsidR="009D0A5F" w:rsidRPr="00405395">
        <w:rPr>
          <w:vertAlign w:val="superscript"/>
          <w:lang w:val="en-GB"/>
        </w:rPr>
        <w:t>3</w:t>
      </w:r>
      <w:r w:rsidR="009D0A5F" w:rsidRPr="00405395">
        <w:rPr>
          <w:lang w:val="en-GB"/>
        </w:rPr>
        <w:t xml:space="preserve">, 3 </w:t>
      </w:r>
      <w:proofErr w:type="spellStart"/>
      <w:r w:rsidR="009D0A5F" w:rsidRPr="00405395">
        <w:rPr>
          <w:lang w:val="en-GB"/>
        </w:rPr>
        <w:t>ou</w:t>
      </w:r>
      <w:r w:rsidR="009D0A5F" w:rsidRPr="00405395">
        <w:rPr>
          <w:vertAlign w:val="subscript"/>
          <w:lang w:val="en-GB"/>
        </w:rPr>
        <w:t>E</w:t>
      </w:r>
      <w:proofErr w:type="spellEnd"/>
      <w:r w:rsidR="009D0A5F" w:rsidRPr="00405395">
        <w:rPr>
          <w:lang w:val="en-GB"/>
        </w:rPr>
        <w:t>/m</w:t>
      </w:r>
      <w:r w:rsidR="009D0A5F" w:rsidRPr="00405395">
        <w:rPr>
          <w:vertAlign w:val="superscript"/>
          <w:lang w:val="en-GB"/>
        </w:rPr>
        <w:t>3</w:t>
      </w:r>
      <w:r w:rsidR="009D0A5F" w:rsidRPr="00405395">
        <w:rPr>
          <w:lang w:val="en-GB"/>
        </w:rPr>
        <w:t xml:space="preserve">, 4 </w:t>
      </w:r>
      <w:proofErr w:type="spellStart"/>
      <w:r w:rsidR="009D0A5F" w:rsidRPr="00405395">
        <w:rPr>
          <w:lang w:val="en-GB"/>
        </w:rPr>
        <w:t>ou</w:t>
      </w:r>
      <w:r w:rsidR="009D0A5F" w:rsidRPr="00405395">
        <w:rPr>
          <w:vertAlign w:val="subscript"/>
          <w:lang w:val="en-GB"/>
        </w:rPr>
        <w:t>E</w:t>
      </w:r>
      <w:proofErr w:type="spellEnd"/>
      <w:r w:rsidR="009D0A5F" w:rsidRPr="00405395">
        <w:rPr>
          <w:lang w:val="en-GB"/>
        </w:rPr>
        <w:t>/m</w:t>
      </w:r>
      <w:r w:rsidR="009D0A5F" w:rsidRPr="00405395">
        <w:rPr>
          <w:vertAlign w:val="superscript"/>
          <w:lang w:val="en-GB"/>
        </w:rPr>
        <w:t>3</w:t>
      </w:r>
      <w:r w:rsidR="006C5442" w:rsidRPr="00405395">
        <w:rPr>
          <w:vertAlign w:val="superscript"/>
          <w:lang w:val="en-GB"/>
        </w:rPr>
        <w:t>,</w:t>
      </w:r>
      <w:r w:rsidR="009D0A5F" w:rsidRPr="00405395">
        <w:rPr>
          <w:vertAlign w:val="superscript"/>
          <w:lang w:val="en-GB"/>
        </w:rPr>
        <w:t xml:space="preserve"> </w:t>
      </w:r>
      <w:r w:rsidR="009D0A5F" w:rsidRPr="00405395">
        <w:rPr>
          <w:lang w:val="en-GB"/>
        </w:rPr>
        <w:t xml:space="preserve">and 5 </w:t>
      </w:r>
      <w:proofErr w:type="spellStart"/>
      <w:r w:rsidR="009D0A5F" w:rsidRPr="00405395">
        <w:rPr>
          <w:lang w:val="en-GB"/>
        </w:rPr>
        <w:t>ou</w:t>
      </w:r>
      <w:r w:rsidR="009D0A5F" w:rsidRPr="00405395">
        <w:rPr>
          <w:vertAlign w:val="subscript"/>
          <w:lang w:val="en-GB"/>
        </w:rPr>
        <w:t>E</w:t>
      </w:r>
      <w:proofErr w:type="spellEnd"/>
      <w:r w:rsidR="009D0A5F" w:rsidRPr="00405395">
        <w:rPr>
          <w:lang w:val="en-GB"/>
        </w:rPr>
        <w:t>/m</w:t>
      </w:r>
      <w:r w:rsidR="009D0A5F" w:rsidRPr="00405395">
        <w:rPr>
          <w:vertAlign w:val="superscript"/>
          <w:lang w:val="en-GB"/>
        </w:rPr>
        <w:t>3</w:t>
      </w:r>
      <w:r w:rsidR="009D0A5F" w:rsidRPr="00405395">
        <w:rPr>
          <w:lang w:val="en-GB"/>
        </w:rPr>
        <w:t xml:space="preserve"> to be reported on the impact maps. These values are identified as concentration limits to be imposed on the receptors, based on the sensitivity class of each receptor. In addition, a</w:t>
      </w:r>
      <w:r w:rsidRPr="00405395">
        <w:rPr>
          <w:lang w:val="en-GB"/>
        </w:rPr>
        <w:t>lthough there is</w:t>
      </w:r>
      <w:r w:rsidR="00E869FD" w:rsidRPr="00405395">
        <w:rPr>
          <w:lang w:val="en-GB"/>
        </w:rPr>
        <w:t xml:space="preserve"> no</w:t>
      </w:r>
      <w:r w:rsidRPr="00405395">
        <w:rPr>
          <w:lang w:val="en-GB"/>
        </w:rPr>
        <w:t xml:space="preserve">t a standardized </w:t>
      </w:r>
      <w:r w:rsidRPr="00405395">
        <w:rPr>
          <w:lang w:val="en-GB"/>
        </w:rPr>
        <w:lastRenderedPageBreak/>
        <w:t xml:space="preserve">method for the definition of the short-term peak concentration, a constant factor of 2.3, to be applied to the hourly average concentration yielded by the model, is recommended </w:t>
      </w:r>
      <w:r w:rsidR="009D0A5F" w:rsidRPr="00405395">
        <w:rPr>
          <w:lang w:val="en-GB"/>
        </w:rPr>
        <w:fldChar w:fldCharType="begin" w:fldLock="1"/>
      </w:r>
      <w:r w:rsidR="005F21EF" w:rsidRPr="00405395">
        <w:rPr>
          <w:lang w:val="en-GB"/>
        </w:rPr>
        <w:instrText>ADDIN CSL_CITATION {"citationItems":[{"id":"ITEM-1","itemData":{"author":[{"dropping-particle":"","family":"MinAmbiente","given":"","non-dropping-particle":"","parse-names":false,"suffix":""}],"id":"ITEM-1","issued":{"date-parts":[["2023"]]},"title":"Decreto Direttoriale 28 giugno 2023, n. 309","type":"legislation"},"uris":["http://www.mendeley.com/documents/?uuid=28279063-c435-44c0-857e-3e3386ed366e"]}],"mendeley":{"formattedCitation":"(MinAmbiente, 2023)","plainTextFormattedCitation":"(MinAmbiente, 2023)","previouslyFormattedCitation":"(MinAmbiente, 2023)"},"properties":{"noteIndex":0},"schema":"https://github.com/citation-style-language/schema/raw/master/csl-citation.json"}</w:instrText>
      </w:r>
      <w:r w:rsidR="009D0A5F" w:rsidRPr="00405395">
        <w:rPr>
          <w:lang w:val="en-GB"/>
        </w:rPr>
        <w:fldChar w:fldCharType="separate"/>
      </w:r>
      <w:r w:rsidR="009D0A5F" w:rsidRPr="00405395">
        <w:rPr>
          <w:noProof/>
          <w:lang w:val="en-GB"/>
        </w:rPr>
        <w:t>(M</w:t>
      </w:r>
      <w:r w:rsidR="00CE67FF">
        <w:rPr>
          <w:noProof/>
          <w:lang w:val="en-GB"/>
        </w:rPr>
        <w:t>ASE</w:t>
      </w:r>
      <w:r w:rsidR="009D0A5F" w:rsidRPr="00405395">
        <w:rPr>
          <w:noProof/>
          <w:lang w:val="en-GB"/>
        </w:rPr>
        <w:t>, 2023)</w:t>
      </w:r>
      <w:r w:rsidR="009D0A5F" w:rsidRPr="00405395">
        <w:rPr>
          <w:lang w:val="en-GB"/>
        </w:rPr>
        <w:fldChar w:fldCharType="end"/>
      </w:r>
      <w:r w:rsidR="009D0A5F" w:rsidRPr="00405395">
        <w:rPr>
          <w:lang w:val="en-GB"/>
        </w:rPr>
        <w:t xml:space="preserve"> </w:t>
      </w:r>
      <w:r w:rsidRPr="00405395">
        <w:rPr>
          <w:lang w:val="en-GB"/>
        </w:rPr>
        <w:t>and therefore adopted in the post-processing of the results of this study.</w:t>
      </w:r>
    </w:p>
    <w:p w14:paraId="26EAA3C0" w14:textId="4E7CC46A" w:rsidR="00076029" w:rsidRPr="00405395" w:rsidRDefault="00CC69D6" w:rsidP="00076029">
      <w:pPr>
        <w:pStyle w:val="CETBodytext"/>
        <w:rPr>
          <w:lang w:val="en-GB"/>
        </w:rPr>
      </w:pPr>
      <w:r w:rsidRPr="00405395">
        <w:rPr>
          <w:lang w:val="en-GB"/>
        </w:rPr>
        <w:t>In</w:t>
      </w:r>
      <w:r w:rsidR="00F40293" w:rsidRPr="00405395">
        <w:rPr>
          <w:lang w:val="en-GB"/>
        </w:rPr>
        <w:t xml:space="preserve"> </w:t>
      </w:r>
      <w:r w:rsidR="00F40293" w:rsidRPr="00405395">
        <w:rPr>
          <w:lang w:val="en-GB"/>
        </w:rPr>
        <w:fldChar w:fldCharType="begin"/>
      </w:r>
      <w:r w:rsidR="00F40293" w:rsidRPr="00405395">
        <w:rPr>
          <w:lang w:val="en-GB"/>
        </w:rPr>
        <w:instrText xml:space="preserve"> REF _Ref166159292 \h  \* MERGEFORMAT </w:instrText>
      </w:r>
      <w:r w:rsidR="00F40293" w:rsidRPr="00405395">
        <w:rPr>
          <w:lang w:val="en-GB"/>
        </w:rPr>
      </w:r>
      <w:r w:rsidR="00F40293" w:rsidRPr="00405395">
        <w:rPr>
          <w:lang w:val="en-GB"/>
        </w:rPr>
        <w:fldChar w:fldCharType="separate"/>
      </w:r>
      <w:r w:rsidR="00ED7C0D" w:rsidRPr="00ED7C0D">
        <w:t>Figure 1</w:t>
      </w:r>
      <w:r w:rsidR="00F40293" w:rsidRPr="00405395">
        <w:rPr>
          <w:lang w:val="en-GB"/>
        </w:rPr>
        <w:fldChar w:fldCharType="end"/>
      </w:r>
      <w:r w:rsidRPr="00405395">
        <w:rPr>
          <w:lang w:val="en-GB"/>
        </w:rPr>
        <w:t xml:space="preserve">, the impact maps </w:t>
      </w:r>
      <w:r w:rsidR="00E869FD" w:rsidRPr="00405395">
        <w:rPr>
          <w:lang w:val="en-GB"/>
        </w:rPr>
        <w:t xml:space="preserve">for the current scenario </w:t>
      </w:r>
      <w:r w:rsidRPr="00405395">
        <w:rPr>
          <w:lang w:val="en-GB"/>
        </w:rPr>
        <w:t xml:space="preserve">are presented, concerning the </w:t>
      </w:r>
      <w:r w:rsidR="00405395">
        <w:rPr>
          <w:lang w:val="en-GB"/>
        </w:rPr>
        <w:t xml:space="preserve">yearly </w:t>
      </w:r>
      <w:r w:rsidRPr="00405395">
        <w:rPr>
          <w:lang w:val="en-GB"/>
        </w:rPr>
        <w:t>98</w:t>
      </w:r>
      <w:r w:rsidRPr="00EB7CDE">
        <w:rPr>
          <w:vertAlign w:val="superscript"/>
          <w:lang w:val="en-GB"/>
        </w:rPr>
        <w:t>th</w:t>
      </w:r>
      <w:r w:rsidRPr="00405395">
        <w:rPr>
          <w:lang w:val="en-GB"/>
        </w:rPr>
        <w:t xml:space="preserve"> percentile, referring to all three different macro areas simulated. Several considerations can be made in this regard. Firstly, the </w:t>
      </w:r>
      <w:r w:rsidR="00405395">
        <w:rPr>
          <w:lang w:val="en-GB"/>
        </w:rPr>
        <w:t>odour</w:t>
      </w:r>
      <w:r w:rsidR="00405395" w:rsidRPr="00405395">
        <w:rPr>
          <w:lang w:val="en-GB"/>
        </w:rPr>
        <w:t xml:space="preserve"> </w:t>
      </w:r>
      <w:r w:rsidRPr="00405395">
        <w:rPr>
          <w:lang w:val="en-GB"/>
        </w:rPr>
        <w:t>impact attributable to the production department appear</w:t>
      </w:r>
      <w:r w:rsidR="00405395">
        <w:rPr>
          <w:lang w:val="en-GB"/>
        </w:rPr>
        <w:t>s</w:t>
      </w:r>
      <w:r w:rsidRPr="00405395">
        <w:rPr>
          <w:lang w:val="en-GB"/>
        </w:rPr>
        <w:t xml:space="preserve"> to be negligible: only the isolines referred to as 1 </w:t>
      </w:r>
      <w:proofErr w:type="spellStart"/>
      <w:r w:rsidRPr="00405395">
        <w:rPr>
          <w:lang w:val="en-GB"/>
        </w:rPr>
        <w:t>ou</w:t>
      </w:r>
      <w:r w:rsidRPr="00405395">
        <w:rPr>
          <w:vertAlign w:val="subscript"/>
          <w:lang w:val="en-GB"/>
        </w:rPr>
        <w:t>E</w:t>
      </w:r>
      <w:proofErr w:type="spellEnd"/>
      <w:r w:rsidRPr="00405395">
        <w:rPr>
          <w:lang w:val="en-GB"/>
        </w:rPr>
        <w:t>/m</w:t>
      </w:r>
      <w:r w:rsidRPr="00405395">
        <w:rPr>
          <w:vertAlign w:val="superscript"/>
          <w:lang w:val="en-GB"/>
        </w:rPr>
        <w:t xml:space="preserve">3 </w:t>
      </w:r>
      <w:r w:rsidRPr="00405395">
        <w:rPr>
          <w:lang w:val="en-GB"/>
        </w:rPr>
        <w:t xml:space="preserve">and 2 </w:t>
      </w:r>
      <w:proofErr w:type="spellStart"/>
      <w:r w:rsidRPr="00405395">
        <w:rPr>
          <w:lang w:val="en-GB"/>
        </w:rPr>
        <w:t>ou</w:t>
      </w:r>
      <w:r w:rsidRPr="00405395">
        <w:rPr>
          <w:vertAlign w:val="subscript"/>
          <w:lang w:val="en-GB"/>
        </w:rPr>
        <w:t>E</w:t>
      </w:r>
      <w:proofErr w:type="spellEnd"/>
      <w:r w:rsidRPr="00405395">
        <w:rPr>
          <w:lang w:val="en-GB"/>
        </w:rPr>
        <w:t>/m</w:t>
      </w:r>
      <w:r w:rsidRPr="00405395">
        <w:rPr>
          <w:vertAlign w:val="superscript"/>
          <w:lang w:val="en-GB"/>
        </w:rPr>
        <w:t xml:space="preserve">3 </w:t>
      </w:r>
      <w:r w:rsidRPr="00405395">
        <w:rPr>
          <w:lang w:val="en-GB"/>
        </w:rPr>
        <w:t>are visible in the impact map and remain confined within the plant</w:t>
      </w:r>
      <w:r w:rsidR="00436CDC">
        <w:rPr>
          <w:lang w:val="en-GB"/>
        </w:rPr>
        <w:t xml:space="preserve"> boundary</w:t>
      </w:r>
      <w:r w:rsidRPr="00405395">
        <w:rPr>
          <w:lang w:val="en-GB"/>
        </w:rPr>
        <w:t xml:space="preserve">. </w:t>
      </w:r>
      <w:r w:rsidR="00BF2DD3" w:rsidRPr="00405395">
        <w:rPr>
          <w:lang w:val="en-GB"/>
        </w:rPr>
        <w:t xml:space="preserve">Secondly, regarding the cooking vats, there is a not entirely negligible impact on </w:t>
      </w:r>
      <w:r w:rsidR="00436CDC">
        <w:rPr>
          <w:lang w:val="en-GB"/>
        </w:rPr>
        <w:t>nearby</w:t>
      </w:r>
      <w:r w:rsidR="00436CDC" w:rsidRPr="00405395">
        <w:rPr>
          <w:lang w:val="en-GB"/>
        </w:rPr>
        <w:t xml:space="preserve"> </w:t>
      </w:r>
      <w:r w:rsidR="00BF2DD3" w:rsidRPr="00405395">
        <w:rPr>
          <w:lang w:val="en-GB"/>
        </w:rPr>
        <w:t xml:space="preserve">areas: the isolines for 2 </w:t>
      </w:r>
      <w:proofErr w:type="spellStart"/>
      <w:r w:rsidR="00BF2DD3" w:rsidRPr="00405395">
        <w:rPr>
          <w:lang w:val="en-GB"/>
        </w:rPr>
        <w:t>ou</w:t>
      </w:r>
      <w:r w:rsidR="00BF2DD3" w:rsidRPr="00405395">
        <w:rPr>
          <w:vertAlign w:val="subscript"/>
          <w:lang w:val="en-GB"/>
        </w:rPr>
        <w:t>E</w:t>
      </w:r>
      <w:proofErr w:type="spellEnd"/>
      <w:r w:rsidR="00BF2DD3" w:rsidRPr="00405395">
        <w:rPr>
          <w:lang w:val="en-GB"/>
        </w:rPr>
        <w:t>/m</w:t>
      </w:r>
      <w:r w:rsidR="00BF2DD3" w:rsidRPr="00405395">
        <w:rPr>
          <w:vertAlign w:val="superscript"/>
          <w:lang w:val="en-GB"/>
        </w:rPr>
        <w:t>3</w:t>
      </w:r>
      <w:r w:rsidR="00BF2DD3" w:rsidRPr="00405395">
        <w:rPr>
          <w:lang w:val="en-GB"/>
        </w:rPr>
        <w:t xml:space="preserve"> and 3 </w:t>
      </w:r>
      <w:proofErr w:type="spellStart"/>
      <w:r w:rsidR="00BF2DD3" w:rsidRPr="00405395">
        <w:rPr>
          <w:lang w:val="en-GB"/>
        </w:rPr>
        <w:t>ou</w:t>
      </w:r>
      <w:r w:rsidR="00BF2DD3" w:rsidRPr="00405395">
        <w:rPr>
          <w:vertAlign w:val="subscript"/>
          <w:lang w:val="en-GB"/>
        </w:rPr>
        <w:t>E</w:t>
      </w:r>
      <w:proofErr w:type="spellEnd"/>
      <w:r w:rsidR="00BF2DD3" w:rsidRPr="00405395">
        <w:rPr>
          <w:lang w:val="en-GB"/>
        </w:rPr>
        <w:t>/m</w:t>
      </w:r>
      <w:r w:rsidR="00BF2DD3" w:rsidRPr="00405395">
        <w:rPr>
          <w:vertAlign w:val="superscript"/>
          <w:lang w:val="en-GB"/>
        </w:rPr>
        <w:t xml:space="preserve">3 </w:t>
      </w:r>
      <w:r w:rsidR="00BF2DD3" w:rsidRPr="00405395">
        <w:rPr>
          <w:lang w:val="en-GB"/>
        </w:rPr>
        <w:t xml:space="preserve">extend beyond the boundaries of the plant, affecting the </w:t>
      </w:r>
      <w:r w:rsidR="00405395">
        <w:rPr>
          <w:lang w:val="en-GB"/>
        </w:rPr>
        <w:t>neighbouring</w:t>
      </w:r>
      <w:r w:rsidR="00405395" w:rsidRPr="00405395">
        <w:rPr>
          <w:lang w:val="en-GB"/>
        </w:rPr>
        <w:t xml:space="preserve"> </w:t>
      </w:r>
      <w:r w:rsidR="00BF2DD3" w:rsidRPr="00405395">
        <w:rPr>
          <w:lang w:val="en-GB"/>
        </w:rPr>
        <w:t xml:space="preserve">industrial zone, while the one for 1 </w:t>
      </w:r>
      <w:proofErr w:type="spellStart"/>
      <w:r w:rsidR="00BF2DD3" w:rsidRPr="00405395">
        <w:rPr>
          <w:lang w:val="en-GB"/>
        </w:rPr>
        <w:t>ou</w:t>
      </w:r>
      <w:r w:rsidR="00BF2DD3" w:rsidRPr="00405395">
        <w:rPr>
          <w:vertAlign w:val="subscript"/>
          <w:lang w:val="en-GB"/>
        </w:rPr>
        <w:t>E</w:t>
      </w:r>
      <w:proofErr w:type="spellEnd"/>
      <w:r w:rsidR="00BF2DD3" w:rsidRPr="00405395">
        <w:rPr>
          <w:lang w:val="en-GB"/>
        </w:rPr>
        <w:t>/m</w:t>
      </w:r>
      <w:r w:rsidR="00BF2DD3" w:rsidRPr="00405395">
        <w:rPr>
          <w:vertAlign w:val="superscript"/>
          <w:lang w:val="en-GB"/>
        </w:rPr>
        <w:t>3</w:t>
      </w:r>
      <w:r w:rsidR="00BF2DD3" w:rsidRPr="00405395">
        <w:rPr>
          <w:lang w:val="en-GB"/>
        </w:rPr>
        <w:t xml:space="preserve"> also includes a portion of the nearest </w:t>
      </w:r>
      <w:r w:rsidR="00436CDC">
        <w:rPr>
          <w:lang w:val="en-GB"/>
        </w:rPr>
        <w:t>dwelled</w:t>
      </w:r>
      <w:r w:rsidR="00436CDC" w:rsidRPr="00405395">
        <w:rPr>
          <w:lang w:val="en-GB"/>
        </w:rPr>
        <w:t xml:space="preserve"> </w:t>
      </w:r>
      <w:r w:rsidR="00BF2DD3" w:rsidRPr="00405395">
        <w:rPr>
          <w:lang w:val="en-GB"/>
        </w:rPr>
        <w:t xml:space="preserve">area to the production site. Finally, the major contribution to the odour impact on the area is represented by the </w:t>
      </w:r>
      <w:r w:rsidR="004F2526" w:rsidRPr="00405395">
        <w:rPr>
          <w:lang w:val="en-GB"/>
        </w:rPr>
        <w:t>WWTP</w:t>
      </w:r>
      <w:r w:rsidR="00BF2DD3" w:rsidRPr="00405395">
        <w:rPr>
          <w:lang w:val="en-GB"/>
        </w:rPr>
        <w:t xml:space="preserve">, with odour concentrations </w:t>
      </w:r>
      <w:r w:rsidR="00436CDC">
        <w:rPr>
          <w:lang w:val="en-GB"/>
        </w:rPr>
        <w:t>clearly</w:t>
      </w:r>
      <w:r w:rsidR="00436CDC" w:rsidRPr="00405395">
        <w:rPr>
          <w:lang w:val="en-GB"/>
        </w:rPr>
        <w:t xml:space="preserve"> </w:t>
      </w:r>
      <w:r w:rsidR="00BF2DD3" w:rsidRPr="00405395">
        <w:rPr>
          <w:lang w:val="en-GB"/>
        </w:rPr>
        <w:t xml:space="preserve">significant. </w:t>
      </w:r>
      <w:r w:rsidR="00F64F73" w:rsidRPr="00405395">
        <w:rPr>
          <w:lang w:val="en-GB"/>
        </w:rPr>
        <w:t>This result can be attributed not only to the high OER but also to the limited dispersal capacity of these emissions, which are localized near the ground and devoid of thermal buoyancy that promotes the plume-rise phenomenon. Particularly, the</w:t>
      </w:r>
      <w:r w:rsidR="00BF2DD3" w:rsidRPr="00405395">
        <w:rPr>
          <w:lang w:val="en-GB"/>
        </w:rPr>
        <w:t xml:space="preserve"> isoline for 1 </w:t>
      </w:r>
      <w:proofErr w:type="spellStart"/>
      <w:r w:rsidR="00BF2DD3" w:rsidRPr="00405395">
        <w:rPr>
          <w:lang w:val="en-GB"/>
        </w:rPr>
        <w:t>ou</w:t>
      </w:r>
      <w:r w:rsidR="00BF2DD3" w:rsidRPr="00405395">
        <w:rPr>
          <w:vertAlign w:val="subscript"/>
          <w:lang w:val="en-GB"/>
        </w:rPr>
        <w:t>E</w:t>
      </w:r>
      <w:proofErr w:type="spellEnd"/>
      <w:r w:rsidR="00BF2DD3" w:rsidRPr="00405395">
        <w:rPr>
          <w:lang w:val="en-GB"/>
        </w:rPr>
        <w:t>/m</w:t>
      </w:r>
      <w:r w:rsidR="00BF2DD3" w:rsidRPr="00405395">
        <w:rPr>
          <w:vertAlign w:val="superscript"/>
          <w:lang w:val="en-GB"/>
        </w:rPr>
        <w:t xml:space="preserve">3 </w:t>
      </w:r>
      <w:r w:rsidR="00BF2DD3" w:rsidRPr="00405395">
        <w:rPr>
          <w:lang w:val="en-GB"/>
        </w:rPr>
        <w:t>extends for over 2 km from the plant boundary</w:t>
      </w:r>
      <w:r w:rsidR="00436CDC">
        <w:rPr>
          <w:lang w:val="en-GB"/>
        </w:rPr>
        <w:t xml:space="preserve">. </w:t>
      </w:r>
    </w:p>
    <w:p w14:paraId="0E2FB5C3" w14:textId="77777777" w:rsidR="00BF2DD3" w:rsidRPr="00405395" w:rsidRDefault="00BF2DD3" w:rsidP="00076029">
      <w:pPr>
        <w:pStyle w:val="CETBodytext"/>
        <w:rPr>
          <w:lang w:val="en-GB"/>
        </w:rPr>
      </w:pPr>
    </w:p>
    <w:p w14:paraId="3F5D2E73" w14:textId="2C50DECA" w:rsidR="00F40293" w:rsidRPr="00405395" w:rsidRDefault="00AE2846" w:rsidP="00783B5F">
      <w:pPr>
        <w:pStyle w:val="CETBodytext"/>
        <w:keepNext/>
        <w:jc w:val="left"/>
        <w:rPr>
          <w:lang w:val="en-GB"/>
        </w:rPr>
      </w:pPr>
      <w:r w:rsidRPr="00405395">
        <w:rPr>
          <w:noProof/>
          <w:lang w:val="en-GB"/>
        </w:rPr>
        <w:drawing>
          <wp:inline distT="0" distB="0" distL="0" distR="0" wp14:anchorId="20770473" wp14:editId="0150B24C">
            <wp:extent cx="5760000" cy="2005154"/>
            <wp:effectExtent l="0" t="0" r="0" b="0"/>
            <wp:docPr id="159300775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0" cy="2005154"/>
                    </a:xfrm>
                    <a:prstGeom prst="rect">
                      <a:avLst/>
                    </a:prstGeom>
                    <a:noFill/>
                  </pic:spPr>
                </pic:pic>
              </a:graphicData>
            </a:graphic>
          </wp:inline>
        </w:drawing>
      </w:r>
    </w:p>
    <w:p w14:paraId="6F7D9909" w14:textId="5B207B65" w:rsidR="000763F7" w:rsidRPr="00405395" w:rsidRDefault="00F40293" w:rsidP="00783B5F">
      <w:pPr>
        <w:pStyle w:val="Didascalia"/>
        <w:rPr>
          <w:rStyle w:val="CETCaptionCarattere"/>
          <w:b w:val="0"/>
          <w:bCs w:val="0"/>
          <w:color w:val="auto"/>
        </w:rPr>
      </w:pPr>
      <w:bookmarkStart w:id="2" w:name="_Ref166159292"/>
      <w:r w:rsidRPr="00405395">
        <w:rPr>
          <w:rStyle w:val="CETCaptionCarattere"/>
          <w:b w:val="0"/>
          <w:bCs w:val="0"/>
          <w:color w:val="auto"/>
        </w:rPr>
        <w:t xml:space="preserve">Figure </w:t>
      </w:r>
      <w:r w:rsidRPr="00405395">
        <w:rPr>
          <w:rStyle w:val="CETCaptionCarattere"/>
          <w:b w:val="0"/>
          <w:bCs w:val="0"/>
          <w:color w:val="auto"/>
        </w:rPr>
        <w:fldChar w:fldCharType="begin"/>
      </w:r>
      <w:r w:rsidRPr="00405395">
        <w:rPr>
          <w:rStyle w:val="CETCaptionCarattere"/>
          <w:b w:val="0"/>
          <w:bCs w:val="0"/>
          <w:color w:val="auto"/>
        </w:rPr>
        <w:instrText xml:space="preserve"> SEQ Figure \* ARABIC </w:instrText>
      </w:r>
      <w:r w:rsidRPr="00405395">
        <w:rPr>
          <w:rStyle w:val="CETCaptionCarattere"/>
          <w:b w:val="0"/>
          <w:bCs w:val="0"/>
          <w:color w:val="auto"/>
        </w:rPr>
        <w:fldChar w:fldCharType="separate"/>
      </w:r>
      <w:r w:rsidR="00ED7C0D">
        <w:rPr>
          <w:rStyle w:val="CETCaptionCarattere"/>
          <w:b w:val="0"/>
          <w:bCs w:val="0"/>
          <w:noProof/>
          <w:color w:val="auto"/>
        </w:rPr>
        <w:t>1</w:t>
      </w:r>
      <w:r w:rsidRPr="00405395">
        <w:rPr>
          <w:rStyle w:val="CETCaptionCarattere"/>
          <w:b w:val="0"/>
          <w:bCs w:val="0"/>
          <w:color w:val="auto"/>
        </w:rPr>
        <w:fldChar w:fldCharType="end"/>
      </w:r>
      <w:bookmarkEnd w:id="2"/>
      <w:r w:rsidRPr="00405395">
        <w:rPr>
          <w:rStyle w:val="CETCaptionCarattere"/>
          <w:b w:val="0"/>
          <w:bCs w:val="0"/>
          <w:color w:val="auto"/>
        </w:rPr>
        <w:t xml:space="preserve">. Odour impact maps (98°percentile, on </w:t>
      </w:r>
      <w:r w:rsidR="006C5442" w:rsidRPr="00405395">
        <w:rPr>
          <w:rStyle w:val="CETCaptionCarattere"/>
          <w:b w:val="0"/>
          <w:bCs w:val="0"/>
          <w:color w:val="auto"/>
        </w:rPr>
        <w:t xml:space="preserve">an </w:t>
      </w:r>
      <w:r w:rsidRPr="00405395">
        <w:rPr>
          <w:rStyle w:val="CETCaptionCarattere"/>
          <w:b w:val="0"/>
          <w:bCs w:val="0"/>
          <w:color w:val="auto"/>
        </w:rPr>
        <w:t xml:space="preserve">annual basis) simulated for production department (a.), cooking vats (b.) and </w:t>
      </w:r>
      <w:r w:rsidR="004F2526" w:rsidRPr="00405395">
        <w:rPr>
          <w:rStyle w:val="CETCaptionCarattere"/>
          <w:b w:val="0"/>
          <w:bCs w:val="0"/>
          <w:color w:val="auto"/>
        </w:rPr>
        <w:t>WWTP</w:t>
      </w:r>
      <w:r w:rsidRPr="00405395">
        <w:rPr>
          <w:rStyle w:val="CETCaptionCarattere"/>
          <w:b w:val="0"/>
          <w:bCs w:val="0"/>
          <w:color w:val="auto"/>
        </w:rPr>
        <w:t xml:space="preserve"> (c.)</w:t>
      </w:r>
      <w:r w:rsidR="00E86404" w:rsidRPr="00405395">
        <w:rPr>
          <w:rStyle w:val="CETCaptionCarattere"/>
          <w:b w:val="0"/>
          <w:bCs w:val="0"/>
          <w:color w:val="auto"/>
        </w:rPr>
        <w:t>.</w:t>
      </w:r>
      <w:r w:rsidR="007E700F">
        <w:rPr>
          <w:rStyle w:val="CETCaptionCarattere"/>
          <w:b w:val="0"/>
          <w:bCs w:val="0"/>
          <w:color w:val="auto"/>
        </w:rPr>
        <w:t xml:space="preserve"> Rendering plant </w:t>
      </w:r>
      <w:proofErr w:type="gramStart"/>
      <w:r w:rsidR="007E700F">
        <w:rPr>
          <w:rStyle w:val="CETCaptionCarattere"/>
          <w:b w:val="0"/>
          <w:bCs w:val="0"/>
          <w:color w:val="auto"/>
        </w:rPr>
        <w:t>is located in</w:t>
      </w:r>
      <w:proofErr w:type="gramEnd"/>
      <w:r w:rsidR="007E700F">
        <w:rPr>
          <w:rStyle w:val="CETCaptionCarattere"/>
          <w:b w:val="0"/>
          <w:bCs w:val="0"/>
          <w:color w:val="auto"/>
        </w:rPr>
        <w:t xml:space="preserve"> the centre of the simulation domain.</w:t>
      </w:r>
    </w:p>
    <w:p w14:paraId="7687058D" w14:textId="77777777" w:rsidR="00F40293" w:rsidRPr="00405395" w:rsidRDefault="00F40293" w:rsidP="00F40293"/>
    <w:p w14:paraId="26316356" w14:textId="393FD48A" w:rsidR="006B3E00" w:rsidRPr="00405395" w:rsidRDefault="005C4B87" w:rsidP="006B3E00">
      <w:pPr>
        <w:pStyle w:val="CETheadingx"/>
        <w:rPr>
          <w:lang w:val="en-GB"/>
        </w:rPr>
      </w:pPr>
      <w:r w:rsidRPr="00405395">
        <w:rPr>
          <w:lang w:val="en-GB"/>
        </w:rPr>
        <w:t>Predictive</w:t>
      </w:r>
      <w:r w:rsidR="006B3E00" w:rsidRPr="00405395">
        <w:rPr>
          <w:lang w:val="en-GB"/>
        </w:rPr>
        <w:t xml:space="preserve"> emission scenarios</w:t>
      </w:r>
    </w:p>
    <w:p w14:paraId="651E6DDD" w14:textId="54EA0B6B" w:rsidR="00DF09E4" w:rsidRPr="00405395" w:rsidRDefault="00DF09E4" w:rsidP="00DF09E4">
      <w:pPr>
        <w:pStyle w:val="CETBodytext"/>
        <w:rPr>
          <w:lang w:val="en-GB"/>
        </w:rPr>
      </w:pPr>
      <w:r w:rsidRPr="00405395">
        <w:rPr>
          <w:lang w:val="en-GB"/>
        </w:rPr>
        <w:t xml:space="preserve">Based on the results obtained from the simulation of the current emission scenario, it was hypothesized to introduce odour emission containment systems on the air streams coming from the </w:t>
      </w:r>
      <w:r w:rsidR="004F2526" w:rsidRPr="00405395">
        <w:rPr>
          <w:lang w:val="en-GB"/>
        </w:rPr>
        <w:t>WWTP</w:t>
      </w:r>
      <w:r w:rsidRPr="00405395">
        <w:rPr>
          <w:lang w:val="en-GB"/>
        </w:rPr>
        <w:t xml:space="preserve"> and the cooking vats. Regarding the cooking vats, </w:t>
      </w:r>
      <w:r w:rsidR="00783B5F" w:rsidRPr="00405395">
        <w:rPr>
          <w:lang w:val="en-GB"/>
        </w:rPr>
        <w:fldChar w:fldCharType="begin"/>
      </w:r>
      <w:r w:rsidR="00783B5F" w:rsidRPr="00405395">
        <w:rPr>
          <w:lang w:val="en-GB"/>
        </w:rPr>
        <w:instrText xml:space="preserve"> REF _Ref166159486 \h  \* MERGEFORMAT </w:instrText>
      </w:r>
      <w:r w:rsidR="00783B5F" w:rsidRPr="00405395">
        <w:rPr>
          <w:lang w:val="en-GB"/>
        </w:rPr>
      </w:r>
      <w:r w:rsidR="00783B5F" w:rsidRPr="00405395">
        <w:rPr>
          <w:lang w:val="en-GB"/>
        </w:rPr>
        <w:fldChar w:fldCharType="separate"/>
      </w:r>
      <w:r w:rsidR="00ED7C0D" w:rsidRPr="00ED7C0D">
        <w:t>Figure 2</w:t>
      </w:r>
      <w:r w:rsidR="00783B5F" w:rsidRPr="00405395">
        <w:rPr>
          <w:lang w:val="en-GB"/>
        </w:rPr>
        <w:fldChar w:fldCharType="end"/>
      </w:r>
      <w:r w:rsidR="00783B5F" w:rsidRPr="00405395">
        <w:rPr>
          <w:lang w:val="en-GB"/>
        </w:rPr>
        <w:t xml:space="preserve">a </w:t>
      </w:r>
      <w:r w:rsidRPr="00405395">
        <w:rPr>
          <w:lang w:val="en-GB"/>
        </w:rPr>
        <w:t xml:space="preserve">shows the reduction (%) of </w:t>
      </w:r>
      <w:r w:rsidR="00405395">
        <w:rPr>
          <w:lang w:val="en-GB"/>
        </w:rPr>
        <w:t>odour</w:t>
      </w:r>
      <w:r w:rsidR="00405395" w:rsidRPr="00405395">
        <w:rPr>
          <w:lang w:val="en-GB"/>
        </w:rPr>
        <w:t xml:space="preserve"> </w:t>
      </w:r>
      <w:r w:rsidRPr="00405395">
        <w:rPr>
          <w:lang w:val="en-GB"/>
        </w:rPr>
        <w:t xml:space="preserve">concentration at sensitive receptors after the introduction of the cooling system, compared to the current emission scenario. </w:t>
      </w:r>
      <w:proofErr w:type="gramStart"/>
      <w:r w:rsidRPr="00405395">
        <w:rPr>
          <w:lang w:val="en-GB"/>
        </w:rPr>
        <w:t>In particular, discrete</w:t>
      </w:r>
      <w:proofErr w:type="gramEnd"/>
      <w:r w:rsidRPr="00405395">
        <w:rPr>
          <w:lang w:val="en-GB"/>
        </w:rPr>
        <w:t xml:space="preserve"> receptors (R_1 – R_11) were positioned to represent potential areas of interest for estimating the odour impact (e.g., hospitals, schools, city hall, residences). </w:t>
      </w:r>
      <w:r w:rsidR="00783B5F" w:rsidRPr="00405395">
        <w:rPr>
          <w:lang w:val="en-GB"/>
        </w:rPr>
        <w:fldChar w:fldCharType="begin"/>
      </w:r>
      <w:r w:rsidR="00783B5F" w:rsidRPr="00405395">
        <w:rPr>
          <w:lang w:val="en-GB"/>
        </w:rPr>
        <w:instrText xml:space="preserve"> REF _Ref166159486 \h  \* MERGEFORMAT </w:instrText>
      </w:r>
      <w:r w:rsidR="00783B5F" w:rsidRPr="00405395">
        <w:rPr>
          <w:lang w:val="en-GB"/>
        </w:rPr>
      </w:r>
      <w:r w:rsidR="00783B5F" w:rsidRPr="00405395">
        <w:rPr>
          <w:lang w:val="en-GB"/>
        </w:rPr>
        <w:fldChar w:fldCharType="separate"/>
      </w:r>
      <w:r w:rsidR="00ED7C0D" w:rsidRPr="00ED7C0D">
        <w:t>Figure 2</w:t>
      </w:r>
      <w:r w:rsidR="00783B5F" w:rsidRPr="00405395">
        <w:rPr>
          <w:lang w:val="en-GB"/>
        </w:rPr>
        <w:fldChar w:fldCharType="end"/>
      </w:r>
      <w:r w:rsidR="00783B5F" w:rsidRPr="00405395">
        <w:rPr>
          <w:lang w:val="en-GB"/>
        </w:rPr>
        <w:t xml:space="preserve">b </w:t>
      </w:r>
      <w:r w:rsidRPr="00405395">
        <w:rPr>
          <w:lang w:val="en-GB"/>
        </w:rPr>
        <w:t xml:space="preserve">highlights the positions of the 11 sensitive receptors </w:t>
      </w:r>
      <w:r w:rsidR="00E869FD" w:rsidRPr="00405395">
        <w:rPr>
          <w:lang w:val="en-GB"/>
        </w:rPr>
        <w:t xml:space="preserve">(blue) </w:t>
      </w:r>
      <w:r w:rsidRPr="00405395">
        <w:rPr>
          <w:lang w:val="en-GB"/>
        </w:rPr>
        <w:t>within the simulation domain and the location of the plant</w:t>
      </w:r>
      <w:r w:rsidR="00295281" w:rsidRPr="00405395">
        <w:rPr>
          <w:lang w:val="en-GB"/>
        </w:rPr>
        <w:t xml:space="preserve"> (orange)</w:t>
      </w:r>
      <w:r w:rsidRPr="00405395">
        <w:rPr>
          <w:lang w:val="en-GB"/>
        </w:rPr>
        <w:t>.</w:t>
      </w:r>
    </w:p>
    <w:p w14:paraId="7E93A581" w14:textId="77777777" w:rsidR="00ED7C0D" w:rsidRPr="00405395" w:rsidRDefault="00ED7C0D" w:rsidP="00ED7C0D">
      <w:pPr>
        <w:pStyle w:val="CETBodytext"/>
        <w:rPr>
          <w:lang w:val="en-GB"/>
        </w:rPr>
      </w:pPr>
      <w:r w:rsidRPr="00405395">
        <w:rPr>
          <w:lang w:val="en-GB"/>
        </w:rPr>
        <w:t>From the simulations, a significant reduction in odo</w:t>
      </w:r>
      <w:r>
        <w:rPr>
          <w:lang w:val="en-GB"/>
        </w:rPr>
        <w:t>u</w:t>
      </w:r>
      <w:r w:rsidRPr="00405395">
        <w:rPr>
          <w:lang w:val="en-GB"/>
        </w:rPr>
        <w:t xml:space="preserve">r concentrations is observed, exceeding 70% for all identified receptors. This way, it would be possible to achieve a negligible impact (&lt;1 </w:t>
      </w:r>
      <w:proofErr w:type="spellStart"/>
      <w:r w:rsidRPr="00405395">
        <w:rPr>
          <w:lang w:val="en-GB"/>
        </w:rPr>
        <w:t>ou</w:t>
      </w:r>
      <w:r w:rsidRPr="00405395">
        <w:rPr>
          <w:vertAlign w:val="subscript"/>
          <w:lang w:val="en-GB"/>
        </w:rPr>
        <w:t>E</w:t>
      </w:r>
      <w:proofErr w:type="spellEnd"/>
      <w:r w:rsidRPr="00405395">
        <w:rPr>
          <w:lang w:val="en-GB"/>
        </w:rPr>
        <w:t>/m</w:t>
      </w:r>
      <w:r w:rsidRPr="00405395">
        <w:rPr>
          <w:vertAlign w:val="superscript"/>
          <w:lang w:val="en-GB"/>
        </w:rPr>
        <w:t>3</w:t>
      </w:r>
      <w:r w:rsidRPr="00405395">
        <w:rPr>
          <w:lang w:val="en-GB"/>
        </w:rPr>
        <w:t xml:space="preserve">) on all </w:t>
      </w:r>
      <w:r>
        <w:rPr>
          <w:lang w:val="en-GB"/>
        </w:rPr>
        <w:t>dwelled areas</w:t>
      </w:r>
      <w:r w:rsidRPr="00405395">
        <w:rPr>
          <w:lang w:val="en-GB"/>
        </w:rPr>
        <w:t>.</w:t>
      </w:r>
    </w:p>
    <w:p w14:paraId="295350F7" w14:textId="77777777" w:rsidR="00DF09E4" w:rsidRPr="00405395" w:rsidRDefault="00DF09E4" w:rsidP="00DF09E4">
      <w:pPr>
        <w:pStyle w:val="CETBodytext"/>
        <w:rPr>
          <w:lang w:val="en-GB"/>
        </w:rPr>
      </w:pPr>
    </w:p>
    <w:p w14:paraId="4A24A773" w14:textId="7C55DCC8" w:rsidR="00E96683" w:rsidRPr="00405395" w:rsidRDefault="00E96683" w:rsidP="000763F7">
      <w:pPr>
        <w:pStyle w:val="CETBodytext"/>
        <w:rPr>
          <w:lang w:val="en-GB"/>
        </w:rPr>
      </w:pPr>
    </w:p>
    <w:p w14:paraId="1FE3A94B" w14:textId="5148D5DD" w:rsidR="00783B5F" w:rsidRPr="00405395" w:rsidRDefault="00E86404" w:rsidP="00783B5F">
      <w:pPr>
        <w:pStyle w:val="CETBodytext"/>
        <w:keepNext/>
        <w:jc w:val="left"/>
        <w:rPr>
          <w:lang w:val="en-GB"/>
        </w:rPr>
      </w:pPr>
      <w:r w:rsidRPr="00405395">
        <w:rPr>
          <w:noProof/>
          <w:lang w:val="en-GB"/>
        </w:rPr>
        <w:lastRenderedPageBreak/>
        <w:drawing>
          <wp:inline distT="0" distB="0" distL="0" distR="0" wp14:anchorId="3DE320AB" wp14:editId="63F8B735">
            <wp:extent cx="5594350" cy="2259041"/>
            <wp:effectExtent l="0" t="0" r="6350" b="8255"/>
            <wp:docPr id="1412941018"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5357" cy="2263486"/>
                    </a:xfrm>
                    <a:prstGeom prst="rect">
                      <a:avLst/>
                    </a:prstGeom>
                    <a:noFill/>
                  </pic:spPr>
                </pic:pic>
              </a:graphicData>
            </a:graphic>
          </wp:inline>
        </w:drawing>
      </w:r>
    </w:p>
    <w:p w14:paraId="14C635C0" w14:textId="180F18C3" w:rsidR="00E96683" w:rsidRPr="00405395" w:rsidRDefault="00783B5F" w:rsidP="00783B5F">
      <w:pPr>
        <w:pStyle w:val="Didascalia"/>
        <w:jc w:val="left"/>
        <w:rPr>
          <w:rStyle w:val="CETCaptionCarattere"/>
          <w:b w:val="0"/>
          <w:bCs w:val="0"/>
          <w:color w:val="auto"/>
        </w:rPr>
      </w:pPr>
      <w:bookmarkStart w:id="3" w:name="_Ref166159486"/>
      <w:r w:rsidRPr="00405395">
        <w:rPr>
          <w:rStyle w:val="CETCaptionCarattere"/>
          <w:b w:val="0"/>
          <w:bCs w:val="0"/>
          <w:color w:val="auto"/>
        </w:rPr>
        <w:t xml:space="preserve">Figure </w:t>
      </w:r>
      <w:r w:rsidRPr="00405395">
        <w:rPr>
          <w:rStyle w:val="CETCaptionCarattere"/>
          <w:b w:val="0"/>
          <w:bCs w:val="0"/>
          <w:color w:val="auto"/>
        </w:rPr>
        <w:fldChar w:fldCharType="begin"/>
      </w:r>
      <w:r w:rsidRPr="00405395">
        <w:rPr>
          <w:rStyle w:val="CETCaptionCarattere"/>
          <w:b w:val="0"/>
          <w:bCs w:val="0"/>
          <w:color w:val="auto"/>
        </w:rPr>
        <w:instrText xml:space="preserve"> SEQ Figure \* ARABIC </w:instrText>
      </w:r>
      <w:r w:rsidRPr="00405395">
        <w:rPr>
          <w:rStyle w:val="CETCaptionCarattere"/>
          <w:b w:val="0"/>
          <w:bCs w:val="0"/>
          <w:color w:val="auto"/>
        </w:rPr>
        <w:fldChar w:fldCharType="separate"/>
      </w:r>
      <w:r w:rsidR="00ED7C0D">
        <w:rPr>
          <w:rStyle w:val="CETCaptionCarattere"/>
          <w:b w:val="0"/>
          <w:bCs w:val="0"/>
          <w:noProof/>
          <w:color w:val="auto"/>
        </w:rPr>
        <w:t>2</w:t>
      </w:r>
      <w:r w:rsidRPr="00405395">
        <w:rPr>
          <w:rStyle w:val="CETCaptionCarattere"/>
          <w:b w:val="0"/>
          <w:bCs w:val="0"/>
          <w:color w:val="auto"/>
        </w:rPr>
        <w:fldChar w:fldCharType="end"/>
      </w:r>
      <w:bookmarkEnd w:id="3"/>
      <w:r w:rsidRPr="00405395">
        <w:rPr>
          <w:rStyle w:val="CETCaptionCarattere"/>
          <w:b w:val="0"/>
          <w:bCs w:val="0"/>
          <w:color w:val="auto"/>
        </w:rPr>
        <w:t xml:space="preserve">. Cod reduction (%) at receptors resulting from the </w:t>
      </w:r>
      <w:r w:rsidR="005C4B87" w:rsidRPr="00405395">
        <w:rPr>
          <w:rStyle w:val="CETCaptionCarattere"/>
          <w:b w:val="0"/>
          <w:bCs w:val="0"/>
          <w:color w:val="auto"/>
        </w:rPr>
        <w:t>predictive</w:t>
      </w:r>
      <w:r w:rsidRPr="00405395">
        <w:rPr>
          <w:rStyle w:val="CETCaptionCarattere"/>
          <w:b w:val="0"/>
          <w:bCs w:val="0"/>
          <w:color w:val="auto"/>
        </w:rPr>
        <w:t xml:space="preserve"> scenario for cooking vats, compared to the corresponding current emission scenario (a.); position of the sensitive receptors R_1 – R_11 within the simulation domain (blue) and the rendering plant (orange) (b.).</w:t>
      </w:r>
    </w:p>
    <w:p w14:paraId="7310B969" w14:textId="77777777" w:rsidR="00783B5F" w:rsidRPr="00405395" w:rsidRDefault="00783B5F" w:rsidP="00783B5F"/>
    <w:p w14:paraId="6A4EAB38" w14:textId="77777777" w:rsidR="00783B5F" w:rsidRPr="00405395" w:rsidRDefault="00F40293" w:rsidP="00783B5F">
      <w:pPr>
        <w:pStyle w:val="CETBodytext"/>
        <w:keepNext/>
        <w:jc w:val="left"/>
        <w:rPr>
          <w:lang w:val="en-GB"/>
        </w:rPr>
      </w:pPr>
      <w:r w:rsidRPr="00405395">
        <w:rPr>
          <w:noProof/>
          <w:lang w:val="en-GB"/>
        </w:rPr>
        <w:drawing>
          <wp:inline distT="0" distB="0" distL="0" distR="0" wp14:anchorId="7C1D6488" wp14:editId="3C807BC7">
            <wp:extent cx="5441764" cy="2705100"/>
            <wp:effectExtent l="0" t="0" r="6985" b="0"/>
            <wp:docPr id="1367794580"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a:extLst>
                        <a:ext uri="{28A0092B-C50C-407E-A947-70E740481C1C}">
                          <a14:useLocalDpi xmlns:a14="http://schemas.microsoft.com/office/drawing/2010/main" val="0"/>
                        </a:ext>
                      </a:extLst>
                    </a:blip>
                    <a:srcRect b="3191"/>
                    <a:stretch/>
                  </pic:blipFill>
                  <pic:spPr bwMode="auto">
                    <a:xfrm>
                      <a:off x="0" y="0"/>
                      <a:ext cx="5441764" cy="2705100"/>
                    </a:xfrm>
                    <a:prstGeom prst="rect">
                      <a:avLst/>
                    </a:prstGeom>
                    <a:noFill/>
                    <a:ln>
                      <a:noFill/>
                    </a:ln>
                    <a:extLst>
                      <a:ext uri="{53640926-AAD7-44D8-BBD7-CCE9431645EC}">
                        <a14:shadowObscured xmlns:a14="http://schemas.microsoft.com/office/drawing/2010/main"/>
                      </a:ext>
                    </a:extLst>
                  </pic:spPr>
                </pic:pic>
              </a:graphicData>
            </a:graphic>
          </wp:inline>
        </w:drawing>
      </w:r>
    </w:p>
    <w:p w14:paraId="5D0A6410" w14:textId="5B943842" w:rsidR="00F64F73" w:rsidRPr="00405395" w:rsidRDefault="00783B5F" w:rsidP="00783B5F">
      <w:pPr>
        <w:pStyle w:val="Didascalia"/>
      </w:pPr>
      <w:bookmarkStart w:id="4" w:name="_Ref166227223"/>
      <w:r w:rsidRPr="00405395">
        <w:rPr>
          <w:rStyle w:val="CETCaptionCarattere"/>
          <w:b w:val="0"/>
          <w:bCs w:val="0"/>
          <w:color w:val="auto"/>
        </w:rPr>
        <w:t xml:space="preserve">Figure </w:t>
      </w:r>
      <w:r w:rsidRPr="00405395">
        <w:rPr>
          <w:rStyle w:val="CETCaptionCarattere"/>
          <w:b w:val="0"/>
          <w:bCs w:val="0"/>
          <w:color w:val="auto"/>
        </w:rPr>
        <w:fldChar w:fldCharType="begin"/>
      </w:r>
      <w:r w:rsidRPr="00405395">
        <w:rPr>
          <w:rStyle w:val="CETCaptionCarattere"/>
          <w:b w:val="0"/>
          <w:bCs w:val="0"/>
          <w:color w:val="auto"/>
        </w:rPr>
        <w:instrText xml:space="preserve"> SEQ Figure \* ARABIC </w:instrText>
      </w:r>
      <w:r w:rsidRPr="00405395">
        <w:rPr>
          <w:rStyle w:val="CETCaptionCarattere"/>
          <w:b w:val="0"/>
          <w:bCs w:val="0"/>
          <w:color w:val="auto"/>
        </w:rPr>
        <w:fldChar w:fldCharType="separate"/>
      </w:r>
      <w:r w:rsidR="00ED7C0D">
        <w:rPr>
          <w:rStyle w:val="CETCaptionCarattere"/>
          <w:b w:val="0"/>
          <w:bCs w:val="0"/>
          <w:noProof/>
          <w:color w:val="auto"/>
        </w:rPr>
        <w:t>3</w:t>
      </w:r>
      <w:r w:rsidRPr="00405395">
        <w:rPr>
          <w:rStyle w:val="CETCaptionCarattere"/>
          <w:b w:val="0"/>
          <w:bCs w:val="0"/>
          <w:color w:val="auto"/>
        </w:rPr>
        <w:fldChar w:fldCharType="end"/>
      </w:r>
      <w:bookmarkEnd w:id="4"/>
      <w:r w:rsidRPr="00405395">
        <w:rPr>
          <w:rStyle w:val="CETCaptionCarattere"/>
          <w:b w:val="0"/>
          <w:bCs w:val="0"/>
          <w:color w:val="auto"/>
        </w:rPr>
        <w:t xml:space="preserve">. Cod reduction (%) at receptors resulting from the different </w:t>
      </w:r>
      <w:r w:rsidR="005C4B87" w:rsidRPr="00405395">
        <w:rPr>
          <w:rStyle w:val="CETCaptionCarattere"/>
          <w:b w:val="0"/>
          <w:bCs w:val="0"/>
          <w:color w:val="auto"/>
        </w:rPr>
        <w:t xml:space="preserve">predictive </w:t>
      </w:r>
      <w:r w:rsidRPr="00405395">
        <w:rPr>
          <w:rStyle w:val="CETCaptionCarattere"/>
          <w:b w:val="0"/>
          <w:bCs w:val="0"/>
          <w:color w:val="auto"/>
        </w:rPr>
        <w:t xml:space="preserve">scenarios for </w:t>
      </w:r>
      <w:r w:rsidR="004F2526" w:rsidRPr="00405395">
        <w:rPr>
          <w:rStyle w:val="CETCaptionCarattere"/>
          <w:b w:val="0"/>
          <w:bCs w:val="0"/>
          <w:color w:val="auto"/>
        </w:rPr>
        <w:t>WWTP</w:t>
      </w:r>
      <w:r w:rsidRPr="00405395">
        <w:rPr>
          <w:rStyle w:val="CETCaptionCarattere"/>
          <w:b w:val="0"/>
          <w:bCs w:val="0"/>
          <w:color w:val="auto"/>
        </w:rPr>
        <w:t>.</w:t>
      </w:r>
    </w:p>
    <w:p w14:paraId="1F9594D1" w14:textId="77777777" w:rsidR="00E96683" w:rsidRPr="00405395" w:rsidRDefault="00E96683" w:rsidP="000763F7">
      <w:pPr>
        <w:pStyle w:val="CETBodytext"/>
        <w:rPr>
          <w:lang w:val="en-GB"/>
        </w:rPr>
      </w:pPr>
    </w:p>
    <w:p w14:paraId="24FE4D71" w14:textId="0C4EC4B8" w:rsidR="007A72ED" w:rsidRPr="00405395" w:rsidRDefault="007A72ED" w:rsidP="000763F7">
      <w:pPr>
        <w:pStyle w:val="CETBodytext"/>
        <w:rPr>
          <w:lang w:val="en-GB"/>
        </w:rPr>
      </w:pPr>
      <w:r w:rsidRPr="00405395">
        <w:rPr>
          <w:lang w:val="en-GB"/>
        </w:rPr>
        <w:fldChar w:fldCharType="begin"/>
      </w:r>
      <w:r w:rsidRPr="00405395">
        <w:rPr>
          <w:lang w:val="en-GB"/>
        </w:rPr>
        <w:instrText xml:space="preserve"> REF _Ref166227223 \h  \* MERGEFORMAT </w:instrText>
      </w:r>
      <w:r w:rsidRPr="00405395">
        <w:rPr>
          <w:lang w:val="en-GB"/>
        </w:rPr>
      </w:r>
      <w:r w:rsidRPr="00405395">
        <w:rPr>
          <w:lang w:val="en-GB"/>
        </w:rPr>
        <w:fldChar w:fldCharType="separate"/>
      </w:r>
      <w:r w:rsidR="00ED7C0D" w:rsidRPr="00ED7C0D">
        <w:t>Figure 3</w:t>
      </w:r>
      <w:r w:rsidRPr="00405395">
        <w:rPr>
          <w:lang w:val="en-GB"/>
        </w:rPr>
        <w:fldChar w:fldCharType="end"/>
      </w:r>
      <w:r w:rsidRPr="00405395">
        <w:rPr>
          <w:lang w:val="en-GB"/>
        </w:rPr>
        <w:t xml:space="preserve"> highlights how the solutions hypothesized</w:t>
      </w:r>
      <w:r w:rsidR="009A3333" w:rsidRPr="00405395">
        <w:rPr>
          <w:lang w:val="en-GB"/>
        </w:rPr>
        <w:t xml:space="preserve"> </w:t>
      </w:r>
      <w:r w:rsidR="00295281" w:rsidRPr="00405395">
        <w:rPr>
          <w:lang w:val="en-GB"/>
        </w:rPr>
        <w:t>to reduce odour impact from</w:t>
      </w:r>
      <w:r w:rsidR="009A3333" w:rsidRPr="00405395">
        <w:rPr>
          <w:lang w:val="en-GB"/>
        </w:rPr>
        <w:t xml:space="preserve"> </w:t>
      </w:r>
      <w:r w:rsidR="004F2526" w:rsidRPr="00405395">
        <w:rPr>
          <w:lang w:val="en-GB"/>
        </w:rPr>
        <w:t>WWTP</w:t>
      </w:r>
      <w:r w:rsidRPr="00405395">
        <w:rPr>
          <w:lang w:val="en-GB"/>
        </w:rPr>
        <w:t xml:space="preserve"> in scenarios 1 and 4 appear to be relatively ineffective, as they would result in a reduction of </w:t>
      </w:r>
      <w:r w:rsidR="00C20D12" w:rsidRPr="00405395">
        <w:rPr>
          <w:lang w:val="en-GB"/>
        </w:rPr>
        <w:t>concentrations</w:t>
      </w:r>
      <w:r w:rsidRPr="00405395">
        <w:rPr>
          <w:lang w:val="en-GB"/>
        </w:rPr>
        <w:t xml:space="preserve"> of around 10% and 20% respectively.</w:t>
      </w:r>
      <w:r w:rsidR="001A6FFD" w:rsidRPr="00405395">
        <w:rPr>
          <w:lang w:val="en-GB"/>
        </w:rPr>
        <w:t xml:space="preserve"> Scenario 6, which involves covering all three identified tanks, would ensure the greatest reduction in concentration, averaging around 80%. </w:t>
      </w:r>
      <w:r w:rsidR="007C305A" w:rsidRPr="00405395">
        <w:rPr>
          <w:lang w:val="en-GB"/>
        </w:rPr>
        <w:t xml:space="preserve">In this way, only </w:t>
      </w:r>
      <w:r w:rsidR="00436CDC">
        <w:rPr>
          <w:lang w:val="en-GB"/>
        </w:rPr>
        <w:t>receptors</w:t>
      </w:r>
      <w:r w:rsidR="00436CDC" w:rsidRPr="00405395">
        <w:rPr>
          <w:lang w:val="en-GB"/>
        </w:rPr>
        <w:t xml:space="preserve"> </w:t>
      </w:r>
      <w:r w:rsidR="007C305A" w:rsidRPr="00405395">
        <w:rPr>
          <w:lang w:val="en-GB"/>
        </w:rPr>
        <w:t xml:space="preserve">closest to the plant (within a radius of 500 m) would reach a concentration close to 1 </w:t>
      </w:r>
      <w:proofErr w:type="spellStart"/>
      <w:r w:rsidR="007C305A" w:rsidRPr="00405395">
        <w:rPr>
          <w:lang w:val="en-GB"/>
        </w:rPr>
        <w:t>ou</w:t>
      </w:r>
      <w:r w:rsidR="007C305A" w:rsidRPr="00405395">
        <w:rPr>
          <w:vertAlign w:val="subscript"/>
          <w:lang w:val="en-GB"/>
        </w:rPr>
        <w:t>E</w:t>
      </w:r>
      <w:proofErr w:type="spellEnd"/>
      <w:r w:rsidR="007C305A" w:rsidRPr="00405395">
        <w:rPr>
          <w:lang w:val="en-GB"/>
        </w:rPr>
        <w:t>/m</w:t>
      </w:r>
      <w:r w:rsidR="007C305A" w:rsidRPr="00405395">
        <w:rPr>
          <w:vertAlign w:val="superscript"/>
          <w:lang w:val="en-GB"/>
        </w:rPr>
        <w:t>3</w:t>
      </w:r>
      <w:r w:rsidR="007C305A" w:rsidRPr="00405395">
        <w:rPr>
          <w:lang w:val="en-GB"/>
        </w:rPr>
        <w:t>, while all more distant receptors would be affected by an impact below the threshold of odo</w:t>
      </w:r>
      <w:r w:rsidR="00405395">
        <w:rPr>
          <w:lang w:val="en-GB"/>
        </w:rPr>
        <w:t>u</w:t>
      </w:r>
      <w:r w:rsidR="007C305A" w:rsidRPr="00405395">
        <w:rPr>
          <w:lang w:val="en-GB"/>
        </w:rPr>
        <w:t xml:space="preserve">r perception. </w:t>
      </w:r>
      <w:r w:rsidR="001A6FFD" w:rsidRPr="00405395">
        <w:rPr>
          <w:lang w:val="en-GB"/>
        </w:rPr>
        <w:t xml:space="preserve">In the remaining scenarios, all of which involve the closure of tank B (scenario 2), possibly along with covering tank A (scenario 3) or tank C (scenario 5), the </w:t>
      </w:r>
      <w:proofErr w:type="spellStart"/>
      <w:r w:rsidR="001A6FFD" w:rsidRPr="00405395">
        <w:rPr>
          <w:lang w:val="en-GB"/>
        </w:rPr>
        <w:t>odor</w:t>
      </w:r>
      <w:proofErr w:type="spellEnd"/>
      <w:r w:rsidR="001A6FFD" w:rsidRPr="00405395">
        <w:rPr>
          <w:lang w:val="en-GB"/>
        </w:rPr>
        <w:t xml:space="preserve"> impact appears comparable. In this case, reductions range around 60-70%</w:t>
      </w:r>
      <w:r w:rsidR="009A3333" w:rsidRPr="00405395">
        <w:rPr>
          <w:lang w:val="en-GB"/>
        </w:rPr>
        <w:t>.</w:t>
      </w:r>
    </w:p>
    <w:p w14:paraId="68D26B83" w14:textId="77777777" w:rsidR="00600535" w:rsidRPr="00405395" w:rsidRDefault="00600535" w:rsidP="00600535">
      <w:pPr>
        <w:pStyle w:val="CETHeading1"/>
        <w:rPr>
          <w:lang w:val="en-GB"/>
        </w:rPr>
      </w:pPr>
      <w:r w:rsidRPr="00405395">
        <w:rPr>
          <w:lang w:val="en-GB"/>
        </w:rPr>
        <w:t>Conclusions</w:t>
      </w:r>
    </w:p>
    <w:p w14:paraId="0EE1F6F8" w14:textId="0ED0E45E" w:rsidR="009A3333" w:rsidRPr="00405395" w:rsidRDefault="009A3333" w:rsidP="005C4B87">
      <w:pPr>
        <w:pStyle w:val="CETReference"/>
        <w:spacing w:before="0" w:after="0" w:line="264" w:lineRule="auto"/>
        <w:jc w:val="both"/>
        <w:rPr>
          <w:b w:val="0"/>
        </w:rPr>
      </w:pPr>
      <w:r w:rsidRPr="00405395">
        <w:rPr>
          <w:b w:val="0"/>
        </w:rPr>
        <w:t xml:space="preserve">In this case study, the </w:t>
      </w:r>
      <w:proofErr w:type="spellStart"/>
      <w:r w:rsidRPr="00405395">
        <w:rPr>
          <w:b w:val="0"/>
        </w:rPr>
        <w:t>Lagrangian</w:t>
      </w:r>
      <w:proofErr w:type="spellEnd"/>
      <w:r w:rsidRPr="00405395">
        <w:rPr>
          <w:b w:val="0"/>
        </w:rPr>
        <w:t xml:space="preserve"> puff model CALPUFF was adopted to assess the odour impact related to a</w:t>
      </w:r>
      <w:r w:rsidR="009832C9">
        <w:rPr>
          <w:b w:val="0"/>
        </w:rPr>
        <w:t>n Italian</w:t>
      </w:r>
      <w:r w:rsidRPr="00405395">
        <w:rPr>
          <w:b w:val="0"/>
        </w:rPr>
        <w:t xml:space="preserve"> rendering plant. Initial assessments focused on </w:t>
      </w:r>
      <w:r w:rsidR="00436CDC">
        <w:rPr>
          <w:b w:val="0"/>
        </w:rPr>
        <w:t xml:space="preserve">the </w:t>
      </w:r>
      <w:r w:rsidRPr="00405395">
        <w:rPr>
          <w:b w:val="0"/>
        </w:rPr>
        <w:t>current emission scenario, distinguishing between plant macro-areas: production</w:t>
      </w:r>
      <w:r w:rsidR="00C20D12" w:rsidRPr="00405395">
        <w:rPr>
          <w:b w:val="0"/>
        </w:rPr>
        <w:t xml:space="preserve"> department</w:t>
      </w:r>
      <w:r w:rsidRPr="00405395">
        <w:rPr>
          <w:b w:val="0"/>
        </w:rPr>
        <w:t xml:space="preserve">, cooking vats, and </w:t>
      </w:r>
      <w:r w:rsidR="004F2526" w:rsidRPr="00405395">
        <w:rPr>
          <w:b w:val="0"/>
        </w:rPr>
        <w:t>WWTP</w:t>
      </w:r>
      <w:r w:rsidRPr="00405395">
        <w:rPr>
          <w:b w:val="0"/>
        </w:rPr>
        <w:t>. Predictive simulations proposed odo</w:t>
      </w:r>
      <w:r w:rsidR="00405395">
        <w:rPr>
          <w:b w:val="0"/>
        </w:rPr>
        <w:t>u</w:t>
      </w:r>
      <w:r w:rsidRPr="00405395">
        <w:rPr>
          <w:b w:val="0"/>
        </w:rPr>
        <w:t xml:space="preserve">r containment systems for major contributors. </w:t>
      </w:r>
    </w:p>
    <w:p w14:paraId="3DC8C874" w14:textId="6FA679EC" w:rsidR="00C20D12" w:rsidRPr="00405395" w:rsidRDefault="00C20D12" w:rsidP="005C4B87">
      <w:pPr>
        <w:pStyle w:val="CETReference"/>
        <w:spacing w:before="0" w:after="0" w:line="264" w:lineRule="auto"/>
        <w:jc w:val="both"/>
        <w:rPr>
          <w:b w:val="0"/>
        </w:rPr>
      </w:pPr>
      <w:r w:rsidRPr="00405395">
        <w:rPr>
          <w:b w:val="0"/>
        </w:rPr>
        <w:t>Concerning the current emission scenario, while</w:t>
      </w:r>
      <w:r w:rsidR="009A3333" w:rsidRPr="00405395">
        <w:rPr>
          <w:b w:val="0"/>
        </w:rPr>
        <w:t xml:space="preserve"> the production department </w:t>
      </w:r>
      <w:r w:rsidRPr="00405395">
        <w:rPr>
          <w:b w:val="0"/>
        </w:rPr>
        <w:t>provides</w:t>
      </w:r>
      <w:r w:rsidR="009A3333" w:rsidRPr="00405395">
        <w:rPr>
          <w:b w:val="0"/>
        </w:rPr>
        <w:t xml:space="preserve"> </w:t>
      </w:r>
      <w:r w:rsidRPr="00405395">
        <w:rPr>
          <w:b w:val="0"/>
        </w:rPr>
        <w:t>a negligible contribution</w:t>
      </w:r>
      <w:r w:rsidR="009A3333" w:rsidRPr="00405395">
        <w:rPr>
          <w:b w:val="0"/>
        </w:rPr>
        <w:t xml:space="preserve">, the cooking vats </w:t>
      </w:r>
      <w:r w:rsidRPr="00405395">
        <w:rPr>
          <w:b w:val="0"/>
        </w:rPr>
        <w:t>have</w:t>
      </w:r>
      <w:r w:rsidR="009A3333" w:rsidRPr="00405395">
        <w:rPr>
          <w:b w:val="0"/>
        </w:rPr>
        <w:t xml:space="preserve"> a not entirely negligible impact, with </w:t>
      </w:r>
      <w:r w:rsidRPr="00405395">
        <w:rPr>
          <w:b w:val="0"/>
        </w:rPr>
        <w:t xml:space="preserve">the </w:t>
      </w:r>
      <w:r w:rsidR="009A3333" w:rsidRPr="00405395">
        <w:rPr>
          <w:b w:val="0"/>
        </w:rPr>
        <w:t xml:space="preserve">isoline referred to </w:t>
      </w:r>
      <w:r w:rsidR="006C5442" w:rsidRPr="00405395">
        <w:rPr>
          <w:b w:val="0"/>
        </w:rPr>
        <w:t xml:space="preserve">as </w:t>
      </w:r>
      <w:r w:rsidR="009A3333" w:rsidRPr="00405395">
        <w:rPr>
          <w:b w:val="0"/>
        </w:rPr>
        <w:t xml:space="preserve">1 </w:t>
      </w:r>
      <w:proofErr w:type="spellStart"/>
      <w:r w:rsidR="009A3333" w:rsidRPr="00405395">
        <w:rPr>
          <w:b w:val="0"/>
        </w:rPr>
        <w:t>ou</w:t>
      </w:r>
      <w:r w:rsidR="009A3333" w:rsidRPr="00405395">
        <w:rPr>
          <w:b w:val="0"/>
          <w:vertAlign w:val="subscript"/>
        </w:rPr>
        <w:t>E</w:t>
      </w:r>
      <w:proofErr w:type="spellEnd"/>
      <w:r w:rsidR="009A3333" w:rsidRPr="00405395">
        <w:rPr>
          <w:b w:val="0"/>
        </w:rPr>
        <w:t>/m</w:t>
      </w:r>
      <w:r w:rsidR="009A3333" w:rsidRPr="00405395">
        <w:rPr>
          <w:b w:val="0"/>
          <w:vertAlign w:val="superscript"/>
        </w:rPr>
        <w:t>3</w:t>
      </w:r>
      <w:r w:rsidR="009A3333" w:rsidRPr="00405395">
        <w:rPr>
          <w:b w:val="0"/>
        </w:rPr>
        <w:t xml:space="preserve"> including a portion of the nearest </w:t>
      </w:r>
      <w:r w:rsidR="00436CDC">
        <w:rPr>
          <w:b w:val="0"/>
        </w:rPr>
        <w:t>dwelled</w:t>
      </w:r>
      <w:r w:rsidR="00436CDC" w:rsidRPr="00405395">
        <w:rPr>
          <w:b w:val="0"/>
        </w:rPr>
        <w:t xml:space="preserve"> </w:t>
      </w:r>
      <w:r w:rsidR="009A3333" w:rsidRPr="00405395">
        <w:rPr>
          <w:b w:val="0"/>
        </w:rPr>
        <w:t xml:space="preserve">area to the production site. The </w:t>
      </w:r>
      <w:r w:rsidR="004F2526" w:rsidRPr="00405395">
        <w:rPr>
          <w:b w:val="0"/>
        </w:rPr>
        <w:t>WWTP</w:t>
      </w:r>
      <w:r w:rsidR="009A3333" w:rsidRPr="00405395">
        <w:rPr>
          <w:b w:val="0"/>
        </w:rPr>
        <w:t xml:space="preserve"> emerged as the primary contributor to </w:t>
      </w:r>
      <w:r w:rsidR="00405395">
        <w:rPr>
          <w:b w:val="0"/>
        </w:rPr>
        <w:t>odour</w:t>
      </w:r>
      <w:r w:rsidR="00405395" w:rsidRPr="00405395">
        <w:rPr>
          <w:b w:val="0"/>
        </w:rPr>
        <w:t xml:space="preserve"> </w:t>
      </w:r>
      <w:r w:rsidR="009A3333" w:rsidRPr="00405395">
        <w:rPr>
          <w:b w:val="0"/>
        </w:rPr>
        <w:t xml:space="preserve">impact, with significant concentrations </w:t>
      </w:r>
      <w:r w:rsidRPr="00405395">
        <w:rPr>
          <w:b w:val="0"/>
        </w:rPr>
        <w:t xml:space="preserve">(around 5 </w:t>
      </w:r>
      <w:proofErr w:type="spellStart"/>
      <w:r w:rsidRPr="00405395">
        <w:rPr>
          <w:b w:val="0"/>
        </w:rPr>
        <w:t>ou</w:t>
      </w:r>
      <w:r w:rsidRPr="00405395">
        <w:rPr>
          <w:b w:val="0"/>
          <w:vertAlign w:val="subscript"/>
        </w:rPr>
        <w:t>E</w:t>
      </w:r>
      <w:proofErr w:type="spellEnd"/>
      <w:r w:rsidRPr="00405395">
        <w:rPr>
          <w:b w:val="0"/>
        </w:rPr>
        <w:t>/m</w:t>
      </w:r>
      <w:r w:rsidRPr="00405395">
        <w:rPr>
          <w:b w:val="0"/>
          <w:vertAlign w:val="superscript"/>
        </w:rPr>
        <w:t>3</w:t>
      </w:r>
      <w:r w:rsidRPr="00405395">
        <w:rPr>
          <w:b w:val="0"/>
        </w:rPr>
        <w:t xml:space="preserve">) </w:t>
      </w:r>
      <w:r w:rsidR="009A3333" w:rsidRPr="00405395">
        <w:rPr>
          <w:b w:val="0"/>
        </w:rPr>
        <w:t xml:space="preserve">reaching residences. </w:t>
      </w:r>
    </w:p>
    <w:p w14:paraId="789CCEDA" w14:textId="4D24FF00" w:rsidR="009D3553" w:rsidRPr="00405395" w:rsidRDefault="009A3333" w:rsidP="005C4B87">
      <w:pPr>
        <w:pStyle w:val="CETReference"/>
        <w:spacing w:before="0" w:after="0" w:line="264" w:lineRule="auto"/>
        <w:jc w:val="both"/>
        <w:rPr>
          <w:b w:val="0"/>
        </w:rPr>
      </w:pPr>
      <w:r w:rsidRPr="00405395">
        <w:rPr>
          <w:b w:val="0"/>
        </w:rPr>
        <w:lastRenderedPageBreak/>
        <w:t>Proposed containment systems showed promising results. For cooking vats, the introduction of a cooling system allows to achieve over 70% reduction in odo</w:t>
      </w:r>
      <w:r w:rsidR="00405395">
        <w:rPr>
          <w:b w:val="0"/>
        </w:rPr>
        <w:t>u</w:t>
      </w:r>
      <w:r w:rsidRPr="00405395">
        <w:rPr>
          <w:b w:val="0"/>
        </w:rPr>
        <w:t xml:space="preserve">r concentrations. This finding appears interesting because, through the introduction of a relatively simple and cost-effective system, a negligible impact (&lt;1 </w:t>
      </w:r>
      <w:proofErr w:type="spellStart"/>
      <w:r w:rsidRPr="00405395">
        <w:rPr>
          <w:b w:val="0"/>
        </w:rPr>
        <w:t>ou</w:t>
      </w:r>
      <w:r w:rsidRPr="00405395">
        <w:rPr>
          <w:b w:val="0"/>
          <w:vertAlign w:val="subscript"/>
        </w:rPr>
        <w:t>E</w:t>
      </w:r>
      <w:proofErr w:type="spellEnd"/>
      <w:r w:rsidRPr="00405395">
        <w:rPr>
          <w:b w:val="0"/>
        </w:rPr>
        <w:t>/m</w:t>
      </w:r>
      <w:r w:rsidRPr="00405395">
        <w:rPr>
          <w:b w:val="0"/>
          <w:vertAlign w:val="superscript"/>
        </w:rPr>
        <w:t>3</w:t>
      </w:r>
      <w:r w:rsidRPr="00405395">
        <w:rPr>
          <w:b w:val="0"/>
        </w:rPr>
        <w:t xml:space="preserve">) could be achieved on all inhabited </w:t>
      </w:r>
      <w:r w:rsidR="00436CDC">
        <w:rPr>
          <w:b w:val="0"/>
        </w:rPr>
        <w:t>areas</w:t>
      </w:r>
      <w:r w:rsidRPr="00405395">
        <w:rPr>
          <w:b w:val="0"/>
        </w:rPr>
        <w:t xml:space="preserve">. </w:t>
      </w:r>
      <w:r w:rsidR="005C4B87" w:rsidRPr="00405395">
        <w:rPr>
          <w:b w:val="0"/>
        </w:rPr>
        <w:t>Predictive scenarios for WWTP</w:t>
      </w:r>
      <w:r w:rsidRPr="00405395">
        <w:rPr>
          <w:b w:val="0"/>
        </w:rPr>
        <w:t xml:space="preserve"> highlighted the effectiveness of containment strategies, </w:t>
      </w:r>
      <w:r w:rsidR="005C4B87" w:rsidRPr="00405395">
        <w:rPr>
          <w:b w:val="0"/>
        </w:rPr>
        <w:t xml:space="preserve">i.e. the covering of one or more tanks and the conveyance (via </w:t>
      </w:r>
      <w:r w:rsidR="00436CDC">
        <w:rPr>
          <w:b w:val="0"/>
        </w:rPr>
        <w:t xml:space="preserve">a </w:t>
      </w:r>
      <w:r w:rsidR="005C4B87" w:rsidRPr="00405395">
        <w:rPr>
          <w:b w:val="0"/>
        </w:rPr>
        <w:t xml:space="preserve">wet scrubber system) of air streams to be treated. </w:t>
      </w:r>
      <w:proofErr w:type="gramStart"/>
      <w:r w:rsidR="005C4B87" w:rsidRPr="00405395">
        <w:rPr>
          <w:b w:val="0"/>
        </w:rPr>
        <w:t>In particular, it</w:t>
      </w:r>
      <w:proofErr w:type="gramEnd"/>
      <w:r w:rsidR="005C4B87" w:rsidRPr="00405395">
        <w:rPr>
          <w:b w:val="0"/>
        </w:rPr>
        <w:t xml:space="preserve"> has been highlighted how covering the three identified tanks could ensure an odo</w:t>
      </w:r>
      <w:r w:rsidR="00405395">
        <w:rPr>
          <w:b w:val="0"/>
        </w:rPr>
        <w:t>u</w:t>
      </w:r>
      <w:r w:rsidR="005C4B87" w:rsidRPr="00405395">
        <w:rPr>
          <w:b w:val="0"/>
        </w:rPr>
        <w:t xml:space="preserve">r concentration reduction of around 80%, with only residences within 500 m from the plant reaching concentrations close to 1 </w:t>
      </w:r>
      <w:proofErr w:type="spellStart"/>
      <w:r w:rsidR="009D3553" w:rsidRPr="00405395">
        <w:rPr>
          <w:b w:val="0"/>
        </w:rPr>
        <w:t>ou</w:t>
      </w:r>
      <w:r w:rsidR="009D3553" w:rsidRPr="00405395">
        <w:rPr>
          <w:b w:val="0"/>
          <w:vertAlign w:val="subscript"/>
        </w:rPr>
        <w:t>E</w:t>
      </w:r>
      <w:proofErr w:type="spellEnd"/>
      <w:r w:rsidR="009D3553" w:rsidRPr="00405395">
        <w:rPr>
          <w:b w:val="0"/>
        </w:rPr>
        <w:t>/m</w:t>
      </w:r>
      <w:r w:rsidR="009D3553" w:rsidRPr="00405395">
        <w:rPr>
          <w:b w:val="0"/>
          <w:vertAlign w:val="superscript"/>
        </w:rPr>
        <w:t>3</w:t>
      </w:r>
      <w:r w:rsidR="005C4B87" w:rsidRPr="00405395">
        <w:rPr>
          <w:b w:val="0"/>
        </w:rPr>
        <w:t xml:space="preserve">. </w:t>
      </w:r>
      <w:r w:rsidR="009D3553" w:rsidRPr="00405395">
        <w:rPr>
          <w:b w:val="0"/>
        </w:rPr>
        <w:t>However, the solution that appears to be of greater interest seems to be the closure of only one tank (scenario 2): in this way, by intervening on a single emission source, hence with a relatively low economic cost, receptor concentrations could be reduced by an average of 60%.</w:t>
      </w:r>
    </w:p>
    <w:p w14:paraId="65B70553" w14:textId="12A20DDB" w:rsidR="009A3333" w:rsidRPr="00405395" w:rsidRDefault="009A3333" w:rsidP="005C4B87">
      <w:pPr>
        <w:pStyle w:val="CETReference"/>
        <w:spacing w:before="0" w:after="0" w:line="264" w:lineRule="auto"/>
        <w:jc w:val="both"/>
        <w:rPr>
          <w:b w:val="0"/>
        </w:rPr>
      </w:pPr>
      <w:r w:rsidRPr="00405395">
        <w:rPr>
          <w:b w:val="0"/>
        </w:rPr>
        <w:t xml:space="preserve">Overall, the </w:t>
      </w:r>
      <w:r w:rsidR="00436CDC">
        <w:rPr>
          <w:b w:val="0"/>
        </w:rPr>
        <w:t>odour dispersion modelling has shown to be useful not only by a regulatory point of v</w:t>
      </w:r>
      <w:r w:rsidR="00CE2D09">
        <w:rPr>
          <w:b w:val="0"/>
        </w:rPr>
        <w:t>i</w:t>
      </w:r>
      <w:r w:rsidR="00436CDC">
        <w:rPr>
          <w:b w:val="0"/>
        </w:rPr>
        <w:t>ew, but also for the</w:t>
      </w:r>
      <w:r w:rsidR="00CE2D09" w:rsidRPr="00CE2D09">
        <w:rPr>
          <w:b w:val="0"/>
        </w:rPr>
        <w:t xml:space="preserve"> evaluation of strategies to be implemented for impact reduction</w:t>
      </w:r>
      <w:r w:rsidR="00CE2D09">
        <w:rPr>
          <w:b w:val="0"/>
        </w:rPr>
        <w:t xml:space="preserve">. </w:t>
      </w:r>
    </w:p>
    <w:p w14:paraId="5A13856B" w14:textId="3055C6C3" w:rsidR="006B4888" w:rsidRPr="00405395" w:rsidRDefault="00600535" w:rsidP="00F40293">
      <w:pPr>
        <w:pStyle w:val="CETReference"/>
      </w:pPr>
      <w:r w:rsidRPr="00405395">
        <w:t>References</w:t>
      </w:r>
    </w:p>
    <w:p w14:paraId="134722E0" w14:textId="6079D527" w:rsidR="0045435C" w:rsidRPr="00405395" w:rsidRDefault="008D6BFD" w:rsidP="0045435C">
      <w:pPr>
        <w:widowControl w:val="0"/>
        <w:autoSpaceDE w:val="0"/>
        <w:autoSpaceDN w:val="0"/>
        <w:adjustRightInd w:val="0"/>
        <w:spacing w:line="240" w:lineRule="auto"/>
        <w:ind w:left="480" w:hanging="480"/>
        <w:rPr>
          <w:rFonts w:cs="Arial"/>
          <w:noProof/>
        </w:rPr>
      </w:pPr>
      <w:r w:rsidRPr="00405395">
        <w:fldChar w:fldCharType="begin" w:fldLock="1"/>
      </w:r>
      <w:r w:rsidRPr="00405395">
        <w:instrText xml:space="preserve">ADDIN Mendeley Bibliography CSL_BIBLIOGRAPHY </w:instrText>
      </w:r>
      <w:r w:rsidRPr="00405395">
        <w:fldChar w:fldCharType="separate"/>
      </w:r>
      <w:r w:rsidR="0045435C" w:rsidRPr="00405395">
        <w:rPr>
          <w:rFonts w:cs="Arial"/>
          <w:noProof/>
        </w:rPr>
        <w:t>CEN, 2022. Stationary source emissions - Determination of odour concentration by dynamic olfactometry and odour.</w:t>
      </w:r>
    </w:p>
    <w:p w14:paraId="2B119616" w14:textId="77777777" w:rsidR="0045435C" w:rsidRPr="00405395" w:rsidRDefault="0045435C" w:rsidP="0045435C">
      <w:pPr>
        <w:widowControl w:val="0"/>
        <w:autoSpaceDE w:val="0"/>
        <w:autoSpaceDN w:val="0"/>
        <w:adjustRightInd w:val="0"/>
        <w:spacing w:line="240" w:lineRule="auto"/>
        <w:ind w:left="480" w:hanging="480"/>
        <w:rPr>
          <w:rFonts w:cs="Arial"/>
          <w:noProof/>
        </w:rPr>
      </w:pPr>
      <w:r w:rsidRPr="00405395">
        <w:rPr>
          <w:rFonts w:cs="Arial"/>
          <w:noProof/>
        </w:rPr>
        <w:t>Cheng, W.H., Lin, C.H., Yuan, C.S., Chang, K.L., 2023. VOC Emissions from a Rendering Plant and Evaluation for Removal of Pentanal by Oxidization Using Hydrogen Peroxide. Aerosol Air Qual. Res. 23, 1–10. https://doi.org/10.4209/aaqr.220440</w:t>
      </w:r>
    </w:p>
    <w:p w14:paraId="5CB791FF" w14:textId="77777777" w:rsidR="0045435C" w:rsidRPr="00405395" w:rsidRDefault="0045435C" w:rsidP="0045435C">
      <w:pPr>
        <w:widowControl w:val="0"/>
        <w:autoSpaceDE w:val="0"/>
        <w:autoSpaceDN w:val="0"/>
        <w:adjustRightInd w:val="0"/>
        <w:spacing w:line="240" w:lineRule="auto"/>
        <w:ind w:left="480" w:hanging="480"/>
        <w:rPr>
          <w:rFonts w:cs="Arial"/>
          <w:noProof/>
        </w:rPr>
      </w:pPr>
      <w:r w:rsidRPr="00405395">
        <w:rPr>
          <w:rFonts w:cs="Arial"/>
          <w:noProof/>
        </w:rPr>
        <w:t>Fortune Business Insight, 2024. Rendered Products Market Size, Share &amp; Industry Analysis, By Source (Sheep, Poultry, Cattle, Hogs, and Others), By Type (Tallow, Poultry Fat, Grease, Protein Meal, and Others), By Grade (Food Grade, Feed Grade, and Industrial Grade), and Regional Forecast [WWW Document]. URL https://www.fortunebusinessinsights.com/industry-reports/rendered-products-market-100806</w:t>
      </w:r>
    </w:p>
    <w:p w14:paraId="0968D2D5" w14:textId="77777777" w:rsidR="0045435C" w:rsidRPr="00FB70EB" w:rsidRDefault="0045435C" w:rsidP="0045435C">
      <w:pPr>
        <w:widowControl w:val="0"/>
        <w:autoSpaceDE w:val="0"/>
        <w:autoSpaceDN w:val="0"/>
        <w:adjustRightInd w:val="0"/>
        <w:spacing w:line="240" w:lineRule="auto"/>
        <w:ind w:left="480" w:hanging="480"/>
        <w:rPr>
          <w:rFonts w:cs="Arial"/>
          <w:noProof/>
          <w:lang w:val="it-IT"/>
        </w:rPr>
      </w:pPr>
      <w:r w:rsidRPr="00405395">
        <w:rPr>
          <w:rFonts w:cs="Arial"/>
          <w:noProof/>
        </w:rPr>
        <w:t xml:space="preserve">Gooding, C.H., 2012. Data for the Carbon Footprinting of Rendering Operations. </w:t>
      </w:r>
      <w:r w:rsidRPr="00FB70EB">
        <w:rPr>
          <w:rFonts w:cs="Arial"/>
          <w:noProof/>
          <w:lang w:val="it-IT"/>
        </w:rPr>
        <w:t>J. Ind. Ecol. 16, 223–230. https://doi.org/10.1111/j.1530-9290.2011.00430.x</w:t>
      </w:r>
    </w:p>
    <w:p w14:paraId="156CFE23" w14:textId="77777777" w:rsidR="0045435C" w:rsidRPr="00405395" w:rsidRDefault="0045435C" w:rsidP="0045435C">
      <w:pPr>
        <w:widowControl w:val="0"/>
        <w:autoSpaceDE w:val="0"/>
        <w:autoSpaceDN w:val="0"/>
        <w:adjustRightInd w:val="0"/>
        <w:spacing w:line="240" w:lineRule="auto"/>
        <w:ind w:left="480" w:hanging="480"/>
        <w:rPr>
          <w:rFonts w:cs="Arial"/>
          <w:noProof/>
        </w:rPr>
      </w:pPr>
      <w:r w:rsidRPr="00FB70EB">
        <w:rPr>
          <w:rFonts w:cs="Arial"/>
          <w:noProof/>
          <w:lang w:val="it-IT"/>
        </w:rPr>
        <w:t xml:space="preserve">Invernizzi, M., Brancher, M., Sironi, S., Capelli, L., Piringer, M., Schauberger, G., 2020. </w:t>
      </w:r>
      <w:r w:rsidRPr="00405395">
        <w:rPr>
          <w:rFonts w:cs="Arial"/>
          <w:noProof/>
        </w:rPr>
        <w:t>Odour impact assessment by considering short-term ambient concentrations: A multi-model and two-site comparison. Environ. Int. 144, 105990. https://doi.org/10.1016/j.envint.2020.105990</w:t>
      </w:r>
    </w:p>
    <w:p w14:paraId="115E4681" w14:textId="77777777" w:rsidR="0045435C" w:rsidRPr="00FB70EB" w:rsidRDefault="0045435C" w:rsidP="0045435C">
      <w:pPr>
        <w:widowControl w:val="0"/>
        <w:autoSpaceDE w:val="0"/>
        <w:autoSpaceDN w:val="0"/>
        <w:adjustRightInd w:val="0"/>
        <w:spacing w:line="240" w:lineRule="auto"/>
        <w:ind w:left="480" w:hanging="480"/>
        <w:rPr>
          <w:rFonts w:cs="Arial"/>
          <w:noProof/>
          <w:lang w:val="it-IT"/>
        </w:rPr>
      </w:pPr>
      <w:r w:rsidRPr="00405395">
        <w:rPr>
          <w:rFonts w:cs="Arial"/>
          <w:noProof/>
        </w:rPr>
        <w:t xml:space="preserve">Jȩdrejek, D., Levic, J., Wallace, J., Oleszek, W., 2016. Animal by-products for feed: Characteristics, European regulatory framework, and potential impacts on human and animal health and the environment. </w:t>
      </w:r>
      <w:r w:rsidRPr="00FB70EB">
        <w:rPr>
          <w:rFonts w:cs="Arial"/>
          <w:noProof/>
          <w:lang w:val="it-IT"/>
        </w:rPr>
        <w:t>J. Anim. Feed Sci. 25, 189–202. https://doi.org/10.22358/jafs/65548/2016</w:t>
      </w:r>
    </w:p>
    <w:p w14:paraId="68C388C5" w14:textId="77777777" w:rsidR="0045435C" w:rsidRPr="00405395" w:rsidRDefault="0045435C" w:rsidP="0045435C">
      <w:pPr>
        <w:widowControl w:val="0"/>
        <w:autoSpaceDE w:val="0"/>
        <w:autoSpaceDN w:val="0"/>
        <w:adjustRightInd w:val="0"/>
        <w:spacing w:line="240" w:lineRule="auto"/>
        <w:ind w:left="480" w:hanging="480"/>
        <w:rPr>
          <w:rFonts w:cs="Arial"/>
          <w:noProof/>
        </w:rPr>
      </w:pPr>
      <w:r w:rsidRPr="00FB70EB">
        <w:rPr>
          <w:rFonts w:cs="Arial"/>
          <w:noProof/>
          <w:lang w:val="it-IT"/>
        </w:rPr>
        <w:t xml:space="preserve">Lotesoriere, B.J., Panzitta, A., Capelli, L., 2022. </w:t>
      </w:r>
      <w:r w:rsidRPr="00405395">
        <w:rPr>
          <w:rFonts w:cs="Arial"/>
          <w:noProof/>
        </w:rPr>
        <w:t>A Method to Evaluate Odour Impacts in the Case of Highly Variable Emission Scenarios: a Case Study in a Foundry. Chem. Eng. Trans. 95, 157–162. https://doi.org/10.3303/CET2295027</w:t>
      </w:r>
    </w:p>
    <w:p w14:paraId="3062D977" w14:textId="77777777" w:rsidR="0045435C" w:rsidRPr="00FB70EB" w:rsidRDefault="0045435C" w:rsidP="0045435C">
      <w:pPr>
        <w:widowControl w:val="0"/>
        <w:autoSpaceDE w:val="0"/>
        <w:autoSpaceDN w:val="0"/>
        <w:adjustRightInd w:val="0"/>
        <w:spacing w:line="240" w:lineRule="auto"/>
        <w:ind w:left="480" w:hanging="480"/>
        <w:rPr>
          <w:rFonts w:cs="Arial"/>
          <w:noProof/>
          <w:lang w:val="it-IT"/>
        </w:rPr>
      </w:pPr>
      <w:r w:rsidRPr="00405395">
        <w:rPr>
          <w:rFonts w:cs="Arial"/>
          <w:noProof/>
        </w:rPr>
        <w:t xml:space="preserve">Meeker, D.L., Hamilton, C.R., 2006. An overview of the rendering industry. </w:t>
      </w:r>
      <w:r w:rsidRPr="00FB70EB">
        <w:rPr>
          <w:rFonts w:cs="Arial"/>
          <w:noProof/>
          <w:lang w:val="it-IT"/>
        </w:rPr>
        <w:t>Essent. Render. 1–16.</w:t>
      </w:r>
    </w:p>
    <w:p w14:paraId="5B3D7349" w14:textId="61672480" w:rsidR="0045435C" w:rsidRPr="00CE67FF" w:rsidRDefault="00CE67FF" w:rsidP="00CE67FF">
      <w:pPr>
        <w:pStyle w:val="CETReferencetext"/>
        <w:rPr>
          <w:rFonts w:cs="Arial"/>
          <w:szCs w:val="18"/>
          <w:lang w:val="it-IT" w:eastAsia="it-IT"/>
        </w:rPr>
      </w:pPr>
      <w:bookmarkStart w:id="5" w:name="_Hlk167525811"/>
      <w:r w:rsidRPr="006636AB">
        <w:rPr>
          <w:rFonts w:cs="Arial"/>
          <w:szCs w:val="18"/>
          <w:lang w:val="it-IT" w:eastAsia="it-IT"/>
        </w:rPr>
        <w:t>MASE 2023. Indirizzi per l’applicazione dell’articolo 272-bis del dlgs 152/2006 in materia di emissioni odorigene di impianti e attività. 28/07/2023  https://www.mase.gov.it/pagina/indirizzi-lapplicazione-dellarticolo-272-bis-del-dlgs-1522006-materia-di-emissioni-odorigene</w:t>
      </w:r>
      <w:bookmarkEnd w:id="5"/>
    </w:p>
    <w:p w14:paraId="5F7C952E" w14:textId="77777777" w:rsidR="0045435C" w:rsidRPr="00405395" w:rsidRDefault="0045435C" w:rsidP="0045435C">
      <w:pPr>
        <w:widowControl w:val="0"/>
        <w:autoSpaceDE w:val="0"/>
        <w:autoSpaceDN w:val="0"/>
        <w:adjustRightInd w:val="0"/>
        <w:spacing w:line="240" w:lineRule="auto"/>
        <w:ind w:left="480" w:hanging="480"/>
        <w:rPr>
          <w:rFonts w:cs="Arial"/>
          <w:noProof/>
        </w:rPr>
      </w:pPr>
      <w:r w:rsidRPr="00FB70EB">
        <w:rPr>
          <w:rFonts w:cs="Arial"/>
          <w:noProof/>
          <w:lang w:val="it-IT"/>
        </w:rPr>
        <w:t xml:space="preserve">Müller, F.M., de Oliveira, D., Michels, C., 2023. </w:t>
      </w:r>
      <w:r w:rsidRPr="00405395">
        <w:rPr>
          <w:rFonts w:cs="Arial"/>
          <w:noProof/>
        </w:rPr>
        <w:t>Current status, gaps and challenges of rendering industries wastewater. J. Water Process Eng. 52. https://doi.org/10.1016/j.jwpe.2022.103480</w:t>
      </w:r>
    </w:p>
    <w:p w14:paraId="4973E17F" w14:textId="77777777" w:rsidR="0045435C" w:rsidRPr="00405395" w:rsidRDefault="0045435C" w:rsidP="0045435C">
      <w:pPr>
        <w:widowControl w:val="0"/>
        <w:autoSpaceDE w:val="0"/>
        <w:autoSpaceDN w:val="0"/>
        <w:adjustRightInd w:val="0"/>
        <w:spacing w:line="240" w:lineRule="auto"/>
        <w:ind w:left="480" w:hanging="480"/>
        <w:rPr>
          <w:rFonts w:cs="Arial"/>
          <w:noProof/>
        </w:rPr>
      </w:pPr>
      <w:r w:rsidRPr="00405395">
        <w:rPr>
          <w:rFonts w:cs="Arial"/>
          <w:noProof/>
        </w:rPr>
        <w:t>Racar, M., Dolar, D., Farkaš, M., Milčić, N., Špehar, A., Košutić, K., 2019. Rendering plant wastewater reclamation by coagulation, sand filtration, and ultrafiltration. Chemosphere 227, 207–215. https://doi.org/10.1016/j.chemosphere.2019.04.045</w:t>
      </w:r>
    </w:p>
    <w:p w14:paraId="7D9EB287" w14:textId="77777777" w:rsidR="0045435C" w:rsidRPr="00405395" w:rsidRDefault="0045435C" w:rsidP="0045435C">
      <w:pPr>
        <w:widowControl w:val="0"/>
        <w:autoSpaceDE w:val="0"/>
        <w:autoSpaceDN w:val="0"/>
        <w:adjustRightInd w:val="0"/>
        <w:spacing w:line="240" w:lineRule="auto"/>
        <w:ind w:left="480" w:hanging="480"/>
        <w:rPr>
          <w:rFonts w:cs="Arial"/>
          <w:noProof/>
        </w:rPr>
      </w:pPr>
      <w:r w:rsidRPr="00405395">
        <w:rPr>
          <w:rFonts w:cs="Arial"/>
          <w:noProof/>
        </w:rPr>
        <w:t>Sazakli, E., Leotsinidis, M., 2021. Odor nuisance and health risk assessment of VOC emissions from a rendering plant. Air Qual. Atmos. Heal. 14, 301–312. https://doi.org/10.1007/s11869-020-00935-2</w:t>
      </w:r>
    </w:p>
    <w:p w14:paraId="4C33ECBD" w14:textId="77777777" w:rsidR="0045435C" w:rsidRPr="00405395" w:rsidRDefault="0045435C" w:rsidP="0045435C">
      <w:pPr>
        <w:widowControl w:val="0"/>
        <w:autoSpaceDE w:val="0"/>
        <w:autoSpaceDN w:val="0"/>
        <w:adjustRightInd w:val="0"/>
        <w:spacing w:line="240" w:lineRule="auto"/>
        <w:ind w:left="480" w:hanging="480"/>
        <w:rPr>
          <w:rFonts w:cs="Arial"/>
          <w:noProof/>
        </w:rPr>
      </w:pPr>
      <w:r w:rsidRPr="00405395">
        <w:rPr>
          <w:rFonts w:cs="Arial"/>
          <w:noProof/>
        </w:rPr>
        <w:t>Shareefdeen, Z., Herner, B., Webb, D., Verhaeghe, L., Wilson, S., 2005. An odor predictive model for rendering applications. Chem. Eng. J. 113, 215–220. https://doi.org/10.1016/j.cej.2005.03.006</w:t>
      </w:r>
    </w:p>
    <w:p w14:paraId="7F0DE6B3" w14:textId="77777777" w:rsidR="0045435C" w:rsidRPr="00405395" w:rsidRDefault="0045435C" w:rsidP="0045435C">
      <w:pPr>
        <w:widowControl w:val="0"/>
        <w:autoSpaceDE w:val="0"/>
        <w:autoSpaceDN w:val="0"/>
        <w:adjustRightInd w:val="0"/>
        <w:spacing w:line="240" w:lineRule="auto"/>
        <w:ind w:left="480" w:hanging="480"/>
        <w:rPr>
          <w:rFonts w:cs="Arial"/>
          <w:noProof/>
        </w:rPr>
      </w:pPr>
      <w:r w:rsidRPr="00405395">
        <w:rPr>
          <w:rFonts w:cs="Arial"/>
          <w:noProof/>
        </w:rPr>
        <w:t>Sindt, G.L., 2017. Environmental issues in the rendering industry. Essent. Render. 14.</w:t>
      </w:r>
    </w:p>
    <w:p w14:paraId="53584B46" w14:textId="77777777" w:rsidR="0045435C" w:rsidRPr="00FB70EB" w:rsidRDefault="0045435C" w:rsidP="0045435C">
      <w:pPr>
        <w:widowControl w:val="0"/>
        <w:autoSpaceDE w:val="0"/>
        <w:autoSpaceDN w:val="0"/>
        <w:adjustRightInd w:val="0"/>
        <w:spacing w:line="240" w:lineRule="auto"/>
        <w:ind w:left="480" w:hanging="480"/>
        <w:rPr>
          <w:rFonts w:cs="Arial"/>
          <w:noProof/>
          <w:lang w:val="it-IT"/>
        </w:rPr>
      </w:pPr>
      <w:r w:rsidRPr="00405395">
        <w:rPr>
          <w:rFonts w:cs="Arial"/>
          <w:noProof/>
        </w:rPr>
        <w:t xml:space="preserve">Tagliaferri, F., Facagni, L., Invernizzi, M., Ferrer Hernández, A.L., Hernández-Garces, A., Sironi, S., 2024. Odor Impact Assessment via Dispersion Model: Comparison of Different Input Meteorological Datasets. </w:t>
      </w:r>
      <w:r w:rsidRPr="00FB70EB">
        <w:rPr>
          <w:rFonts w:cs="Arial"/>
          <w:noProof/>
          <w:lang w:val="it-IT"/>
        </w:rPr>
        <w:t>Appl. Sci. 14, 2457. https://doi.org/10.3390/app14062457</w:t>
      </w:r>
    </w:p>
    <w:p w14:paraId="7D4CAC25" w14:textId="77777777" w:rsidR="0045435C" w:rsidRPr="00405395" w:rsidRDefault="0045435C" w:rsidP="0045435C">
      <w:pPr>
        <w:widowControl w:val="0"/>
        <w:autoSpaceDE w:val="0"/>
        <w:autoSpaceDN w:val="0"/>
        <w:adjustRightInd w:val="0"/>
        <w:spacing w:line="240" w:lineRule="auto"/>
        <w:ind w:left="480" w:hanging="480"/>
        <w:rPr>
          <w:rFonts w:cs="Arial"/>
          <w:noProof/>
        </w:rPr>
      </w:pPr>
      <w:r w:rsidRPr="00FB70EB">
        <w:rPr>
          <w:rFonts w:cs="Arial"/>
          <w:noProof/>
          <w:lang w:val="it-IT"/>
        </w:rPr>
        <w:t xml:space="preserve">Tagliaferri, F., Facagni, L., Invernizzi, M., Sironi, S., 2023. </w:t>
      </w:r>
      <w:r w:rsidRPr="00405395">
        <w:rPr>
          <w:rFonts w:cs="Arial"/>
          <w:noProof/>
        </w:rPr>
        <w:t>Variability in odour impact assessment due to different cloud cover estimation approaches: A northern Italy case study. Case Stud. Chem. Environ. Eng. 8, 100492. https://doi.org/10.1016/j.cscee.2023.100492</w:t>
      </w:r>
    </w:p>
    <w:p w14:paraId="017500FB" w14:textId="77777777" w:rsidR="0045435C" w:rsidRPr="00405395" w:rsidRDefault="0045435C" w:rsidP="0045435C">
      <w:pPr>
        <w:widowControl w:val="0"/>
        <w:autoSpaceDE w:val="0"/>
        <w:autoSpaceDN w:val="0"/>
        <w:adjustRightInd w:val="0"/>
        <w:spacing w:line="240" w:lineRule="auto"/>
        <w:ind w:left="480" w:hanging="480"/>
        <w:rPr>
          <w:rFonts w:cs="Arial"/>
          <w:noProof/>
        </w:rPr>
      </w:pPr>
      <w:r w:rsidRPr="00FB70EB">
        <w:rPr>
          <w:rFonts w:cs="Arial"/>
          <w:noProof/>
          <w:lang w:val="it-IT"/>
        </w:rPr>
        <w:t xml:space="preserve">Tagliaferri, F., Invernizzi, M., Sironi, S., Capelli, L., 2020. </w:t>
      </w:r>
      <w:r w:rsidRPr="00405395">
        <w:rPr>
          <w:rFonts w:cs="Arial"/>
          <w:noProof/>
        </w:rPr>
        <w:t>Influence of modelling choices on the results of landfill odour dispersion. Detritus 12, 92–99. https://doi.org/10.31025/2611-4135/2020.13998</w:t>
      </w:r>
    </w:p>
    <w:p w14:paraId="00B34247" w14:textId="77777777" w:rsidR="0045435C" w:rsidRPr="00405395" w:rsidRDefault="0045435C" w:rsidP="0045435C">
      <w:pPr>
        <w:widowControl w:val="0"/>
        <w:autoSpaceDE w:val="0"/>
        <w:autoSpaceDN w:val="0"/>
        <w:adjustRightInd w:val="0"/>
        <w:spacing w:line="240" w:lineRule="auto"/>
        <w:ind w:left="480" w:hanging="480"/>
        <w:rPr>
          <w:rFonts w:cs="Arial"/>
          <w:noProof/>
        </w:rPr>
      </w:pPr>
      <w:r w:rsidRPr="00405395">
        <w:rPr>
          <w:rFonts w:cs="Arial"/>
          <w:noProof/>
        </w:rPr>
        <w:t>US-EPA, 2023. Air Quality Dispersion Modeling - Alternative Models [WWW Document]. URL https://www.epa.gov/scram/air-quality-dispersion-modeling-alternative-models</w:t>
      </w:r>
    </w:p>
    <w:p w14:paraId="4769A5A3" w14:textId="14CDAC4A" w:rsidR="005C4B87" w:rsidRPr="00405395" w:rsidRDefault="0045435C" w:rsidP="00CE2D09">
      <w:pPr>
        <w:widowControl w:val="0"/>
        <w:autoSpaceDE w:val="0"/>
        <w:autoSpaceDN w:val="0"/>
        <w:adjustRightInd w:val="0"/>
        <w:spacing w:line="240" w:lineRule="auto"/>
        <w:ind w:left="480" w:hanging="480"/>
      </w:pPr>
      <w:r w:rsidRPr="00405395">
        <w:rPr>
          <w:rFonts w:cs="Arial"/>
          <w:noProof/>
        </w:rPr>
        <w:t>Wysocka, I., 2023. Absorption processes in reducing the odor nuisance of wastewater. MethodsX 10, 101996. https://doi.org/10.1016/j.mex.2023.101996</w:t>
      </w:r>
      <w:r w:rsidR="008D6BFD" w:rsidRPr="00405395">
        <w:fldChar w:fldCharType="end"/>
      </w:r>
    </w:p>
    <w:sectPr w:rsidR="005C4B87" w:rsidRPr="00405395" w:rsidSect="00F2675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5A23A" w14:textId="77777777" w:rsidR="00CA534F" w:rsidRDefault="00CA534F" w:rsidP="004F5E36">
      <w:r>
        <w:separator/>
      </w:r>
    </w:p>
  </w:endnote>
  <w:endnote w:type="continuationSeparator" w:id="0">
    <w:p w14:paraId="618B6D8B" w14:textId="77777777" w:rsidR="00CA534F" w:rsidRDefault="00CA534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EEFD7" w14:textId="77777777" w:rsidR="00CA534F" w:rsidRDefault="00CA534F" w:rsidP="004F5E36">
      <w:r>
        <w:separator/>
      </w:r>
    </w:p>
  </w:footnote>
  <w:footnote w:type="continuationSeparator" w:id="0">
    <w:p w14:paraId="2DF9D3BF" w14:textId="77777777" w:rsidR="00CA534F" w:rsidRDefault="00CA534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76EEFA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851"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99290094">
    <w:abstractNumId w:val="10"/>
  </w:num>
  <w:num w:numId="2" w16cid:durableId="41103414">
    <w:abstractNumId w:val="8"/>
  </w:num>
  <w:num w:numId="3" w16cid:durableId="494154774">
    <w:abstractNumId w:val="3"/>
  </w:num>
  <w:num w:numId="4" w16cid:durableId="525287051">
    <w:abstractNumId w:val="2"/>
  </w:num>
  <w:num w:numId="5" w16cid:durableId="1986228898">
    <w:abstractNumId w:val="1"/>
  </w:num>
  <w:num w:numId="6" w16cid:durableId="884021725">
    <w:abstractNumId w:val="0"/>
  </w:num>
  <w:num w:numId="7" w16cid:durableId="119805828">
    <w:abstractNumId w:val="9"/>
  </w:num>
  <w:num w:numId="8" w16cid:durableId="1052079883">
    <w:abstractNumId w:val="7"/>
  </w:num>
  <w:num w:numId="9" w16cid:durableId="250310209">
    <w:abstractNumId w:val="6"/>
  </w:num>
  <w:num w:numId="10" w16cid:durableId="598879123">
    <w:abstractNumId w:val="5"/>
  </w:num>
  <w:num w:numId="11" w16cid:durableId="2104954829">
    <w:abstractNumId w:val="4"/>
  </w:num>
  <w:num w:numId="12" w16cid:durableId="1652832152">
    <w:abstractNumId w:val="17"/>
  </w:num>
  <w:num w:numId="13" w16cid:durableId="811600755">
    <w:abstractNumId w:val="12"/>
  </w:num>
  <w:num w:numId="14" w16cid:durableId="1903983419">
    <w:abstractNumId w:val="18"/>
  </w:num>
  <w:num w:numId="15" w16cid:durableId="1862165536">
    <w:abstractNumId w:val="20"/>
  </w:num>
  <w:num w:numId="16" w16cid:durableId="1794248839">
    <w:abstractNumId w:val="19"/>
  </w:num>
  <w:num w:numId="17" w16cid:durableId="698436796">
    <w:abstractNumId w:val="11"/>
  </w:num>
  <w:num w:numId="18" w16cid:durableId="874387082">
    <w:abstractNumId w:val="12"/>
    <w:lvlOverride w:ilvl="0">
      <w:startOverride w:val="1"/>
    </w:lvlOverride>
  </w:num>
  <w:num w:numId="19" w16cid:durableId="1860773128">
    <w:abstractNumId w:val="16"/>
  </w:num>
  <w:num w:numId="20" w16cid:durableId="1092160936">
    <w:abstractNumId w:val="15"/>
  </w:num>
  <w:num w:numId="21" w16cid:durableId="1393962551">
    <w:abstractNumId w:val="14"/>
  </w:num>
  <w:num w:numId="22" w16cid:durableId="4578441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5C8D"/>
    <w:rsid w:val="000206F4"/>
    <w:rsid w:val="0003148D"/>
    <w:rsid w:val="00031EEC"/>
    <w:rsid w:val="00051566"/>
    <w:rsid w:val="00062A9A"/>
    <w:rsid w:val="00065058"/>
    <w:rsid w:val="00076029"/>
    <w:rsid w:val="000763F7"/>
    <w:rsid w:val="00086C39"/>
    <w:rsid w:val="000A03B2"/>
    <w:rsid w:val="000A6846"/>
    <w:rsid w:val="000C3596"/>
    <w:rsid w:val="000D0268"/>
    <w:rsid w:val="000D34BE"/>
    <w:rsid w:val="000E01A8"/>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84B"/>
    <w:rsid w:val="00150E59"/>
    <w:rsid w:val="00152DE3"/>
    <w:rsid w:val="00164CF9"/>
    <w:rsid w:val="001667A6"/>
    <w:rsid w:val="00184AD6"/>
    <w:rsid w:val="001A4AF7"/>
    <w:rsid w:val="001A6FFD"/>
    <w:rsid w:val="001B0349"/>
    <w:rsid w:val="001B1E93"/>
    <w:rsid w:val="001B64DE"/>
    <w:rsid w:val="001B65C1"/>
    <w:rsid w:val="001C4E9F"/>
    <w:rsid w:val="001C684B"/>
    <w:rsid w:val="001D0CFB"/>
    <w:rsid w:val="001D21AF"/>
    <w:rsid w:val="001D53FC"/>
    <w:rsid w:val="001F13C9"/>
    <w:rsid w:val="001F42A5"/>
    <w:rsid w:val="001F63A6"/>
    <w:rsid w:val="001F7B9D"/>
    <w:rsid w:val="00201C93"/>
    <w:rsid w:val="002224B4"/>
    <w:rsid w:val="002447EF"/>
    <w:rsid w:val="00251550"/>
    <w:rsid w:val="00263B05"/>
    <w:rsid w:val="0027221A"/>
    <w:rsid w:val="00275B61"/>
    <w:rsid w:val="00280FAF"/>
    <w:rsid w:val="00282656"/>
    <w:rsid w:val="00295281"/>
    <w:rsid w:val="00296B83"/>
    <w:rsid w:val="002A0C66"/>
    <w:rsid w:val="002A5869"/>
    <w:rsid w:val="002B4015"/>
    <w:rsid w:val="002B78CE"/>
    <w:rsid w:val="002C2FB6"/>
    <w:rsid w:val="002C3CFF"/>
    <w:rsid w:val="002E5FA7"/>
    <w:rsid w:val="002F3309"/>
    <w:rsid w:val="003008CE"/>
    <w:rsid w:val="003009B7"/>
    <w:rsid w:val="00300E56"/>
    <w:rsid w:val="0030469C"/>
    <w:rsid w:val="00321CA6"/>
    <w:rsid w:val="00323763"/>
    <w:rsid w:val="00323C5F"/>
    <w:rsid w:val="003323EB"/>
    <w:rsid w:val="00333273"/>
    <w:rsid w:val="00334C09"/>
    <w:rsid w:val="00344084"/>
    <w:rsid w:val="00344408"/>
    <w:rsid w:val="00347E7E"/>
    <w:rsid w:val="003723D4"/>
    <w:rsid w:val="00381905"/>
    <w:rsid w:val="00384CC8"/>
    <w:rsid w:val="003871FD"/>
    <w:rsid w:val="003A1E30"/>
    <w:rsid w:val="003A2829"/>
    <w:rsid w:val="003A7D1C"/>
    <w:rsid w:val="003B304B"/>
    <w:rsid w:val="003B3146"/>
    <w:rsid w:val="003F015E"/>
    <w:rsid w:val="00400414"/>
    <w:rsid w:val="00405395"/>
    <w:rsid w:val="0041446B"/>
    <w:rsid w:val="00436CDC"/>
    <w:rsid w:val="0044071E"/>
    <w:rsid w:val="0044329C"/>
    <w:rsid w:val="004457D8"/>
    <w:rsid w:val="00447BC6"/>
    <w:rsid w:val="00453E24"/>
    <w:rsid w:val="0045435C"/>
    <w:rsid w:val="00457456"/>
    <w:rsid w:val="004577FE"/>
    <w:rsid w:val="00457B9C"/>
    <w:rsid w:val="0046164A"/>
    <w:rsid w:val="004628D2"/>
    <w:rsid w:val="00462DCD"/>
    <w:rsid w:val="004648AD"/>
    <w:rsid w:val="004703A9"/>
    <w:rsid w:val="00475A15"/>
    <w:rsid w:val="004760DE"/>
    <w:rsid w:val="004763D7"/>
    <w:rsid w:val="004A004E"/>
    <w:rsid w:val="004A24CF"/>
    <w:rsid w:val="004C3D1D"/>
    <w:rsid w:val="004C3D84"/>
    <w:rsid w:val="004C570E"/>
    <w:rsid w:val="004C7913"/>
    <w:rsid w:val="004E4DD6"/>
    <w:rsid w:val="004F2526"/>
    <w:rsid w:val="004F34E3"/>
    <w:rsid w:val="004F5E36"/>
    <w:rsid w:val="00500E1D"/>
    <w:rsid w:val="00507B47"/>
    <w:rsid w:val="00507BEF"/>
    <w:rsid w:val="00507CC9"/>
    <w:rsid w:val="005119A5"/>
    <w:rsid w:val="00522AC8"/>
    <w:rsid w:val="005278B7"/>
    <w:rsid w:val="00532016"/>
    <w:rsid w:val="005346C8"/>
    <w:rsid w:val="00534979"/>
    <w:rsid w:val="00543E7D"/>
    <w:rsid w:val="00547A68"/>
    <w:rsid w:val="005531C9"/>
    <w:rsid w:val="00570C43"/>
    <w:rsid w:val="00572481"/>
    <w:rsid w:val="005772C3"/>
    <w:rsid w:val="005A2EDB"/>
    <w:rsid w:val="005B2110"/>
    <w:rsid w:val="005B460F"/>
    <w:rsid w:val="005B61E6"/>
    <w:rsid w:val="005C4B87"/>
    <w:rsid w:val="005C77E1"/>
    <w:rsid w:val="005D668A"/>
    <w:rsid w:val="005D6A2F"/>
    <w:rsid w:val="005E1A82"/>
    <w:rsid w:val="005E794C"/>
    <w:rsid w:val="005F0A28"/>
    <w:rsid w:val="005F0E5E"/>
    <w:rsid w:val="005F21EF"/>
    <w:rsid w:val="00600535"/>
    <w:rsid w:val="00610CD6"/>
    <w:rsid w:val="00614AE9"/>
    <w:rsid w:val="00620DEE"/>
    <w:rsid w:val="00621F92"/>
    <w:rsid w:val="0062280A"/>
    <w:rsid w:val="00625639"/>
    <w:rsid w:val="00631B33"/>
    <w:rsid w:val="0064184D"/>
    <w:rsid w:val="006422CC"/>
    <w:rsid w:val="00660E3E"/>
    <w:rsid w:val="00662E74"/>
    <w:rsid w:val="006640BA"/>
    <w:rsid w:val="00680C23"/>
    <w:rsid w:val="00681416"/>
    <w:rsid w:val="00693766"/>
    <w:rsid w:val="00696BFF"/>
    <w:rsid w:val="006A3281"/>
    <w:rsid w:val="006B3E00"/>
    <w:rsid w:val="006B4888"/>
    <w:rsid w:val="006C0363"/>
    <w:rsid w:val="006C2E45"/>
    <w:rsid w:val="006C359C"/>
    <w:rsid w:val="006C5442"/>
    <w:rsid w:val="006C5579"/>
    <w:rsid w:val="006D6E8B"/>
    <w:rsid w:val="006E737D"/>
    <w:rsid w:val="00704715"/>
    <w:rsid w:val="00710B15"/>
    <w:rsid w:val="00713973"/>
    <w:rsid w:val="00720A24"/>
    <w:rsid w:val="00732386"/>
    <w:rsid w:val="0073514D"/>
    <w:rsid w:val="007377EA"/>
    <w:rsid w:val="007447F3"/>
    <w:rsid w:val="0075499F"/>
    <w:rsid w:val="007661C8"/>
    <w:rsid w:val="0077098D"/>
    <w:rsid w:val="00783B5F"/>
    <w:rsid w:val="007931FA"/>
    <w:rsid w:val="007A4861"/>
    <w:rsid w:val="007A4865"/>
    <w:rsid w:val="007A72ED"/>
    <w:rsid w:val="007A7BBA"/>
    <w:rsid w:val="007B0C50"/>
    <w:rsid w:val="007B48F9"/>
    <w:rsid w:val="007C1A43"/>
    <w:rsid w:val="007C305A"/>
    <w:rsid w:val="007E6D13"/>
    <w:rsid w:val="007E700F"/>
    <w:rsid w:val="007F3844"/>
    <w:rsid w:val="0080013E"/>
    <w:rsid w:val="00807DC1"/>
    <w:rsid w:val="00812CF3"/>
    <w:rsid w:val="00813288"/>
    <w:rsid w:val="008168FC"/>
    <w:rsid w:val="0082058F"/>
    <w:rsid w:val="00824C79"/>
    <w:rsid w:val="00830996"/>
    <w:rsid w:val="008345F1"/>
    <w:rsid w:val="00865B07"/>
    <w:rsid w:val="008667EA"/>
    <w:rsid w:val="00866DCE"/>
    <w:rsid w:val="008739EB"/>
    <w:rsid w:val="0087637F"/>
    <w:rsid w:val="00881498"/>
    <w:rsid w:val="00892AD5"/>
    <w:rsid w:val="008A1512"/>
    <w:rsid w:val="008D32B9"/>
    <w:rsid w:val="008D433B"/>
    <w:rsid w:val="008D4A16"/>
    <w:rsid w:val="008D6BFD"/>
    <w:rsid w:val="008E566E"/>
    <w:rsid w:val="008F7FCF"/>
    <w:rsid w:val="0090161A"/>
    <w:rsid w:val="00901EB6"/>
    <w:rsid w:val="00904C62"/>
    <w:rsid w:val="00922BA8"/>
    <w:rsid w:val="0092328E"/>
    <w:rsid w:val="00924DAC"/>
    <w:rsid w:val="00927058"/>
    <w:rsid w:val="00927806"/>
    <w:rsid w:val="00942750"/>
    <w:rsid w:val="009450CE"/>
    <w:rsid w:val="00947179"/>
    <w:rsid w:val="00950237"/>
    <w:rsid w:val="0095164B"/>
    <w:rsid w:val="00954090"/>
    <w:rsid w:val="009573E7"/>
    <w:rsid w:val="00961C1D"/>
    <w:rsid w:val="00963E05"/>
    <w:rsid w:val="0096425A"/>
    <w:rsid w:val="00964A45"/>
    <w:rsid w:val="00967843"/>
    <w:rsid w:val="00967D54"/>
    <w:rsid w:val="00971028"/>
    <w:rsid w:val="00974D3F"/>
    <w:rsid w:val="00975AE3"/>
    <w:rsid w:val="009832C9"/>
    <w:rsid w:val="00993B84"/>
    <w:rsid w:val="00996483"/>
    <w:rsid w:val="00996F5A"/>
    <w:rsid w:val="009A3333"/>
    <w:rsid w:val="009B041A"/>
    <w:rsid w:val="009B4967"/>
    <w:rsid w:val="009C03FC"/>
    <w:rsid w:val="009C37C3"/>
    <w:rsid w:val="009C7C86"/>
    <w:rsid w:val="009D0A5F"/>
    <w:rsid w:val="009D2FF7"/>
    <w:rsid w:val="009D3553"/>
    <w:rsid w:val="009E7884"/>
    <w:rsid w:val="009E788A"/>
    <w:rsid w:val="009F0E08"/>
    <w:rsid w:val="00A1763D"/>
    <w:rsid w:val="00A17CEC"/>
    <w:rsid w:val="00A27EF0"/>
    <w:rsid w:val="00A42361"/>
    <w:rsid w:val="00A50B20"/>
    <w:rsid w:val="00A51390"/>
    <w:rsid w:val="00A60D13"/>
    <w:rsid w:val="00A6644F"/>
    <w:rsid w:val="00A7223D"/>
    <w:rsid w:val="00A72745"/>
    <w:rsid w:val="00A76EFC"/>
    <w:rsid w:val="00A91010"/>
    <w:rsid w:val="00A97F29"/>
    <w:rsid w:val="00AA41B1"/>
    <w:rsid w:val="00AA702E"/>
    <w:rsid w:val="00AB0964"/>
    <w:rsid w:val="00AB5011"/>
    <w:rsid w:val="00AC7368"/>
    <w:rsid w:val="00AD16B9"/>
    <w:rsid w:val="00AE2846"/>
    <w:rsid w:val="00AE377D"/>
    <w:rsid w:val="00AE5900"/>
    <w:rsid w:val="00AF0EBA"/>
    <w:rsid w:val="00B02C8A"/>
    <w:rsid w:val="00B17FBD"/>
    <w:rsid w:val="00B315A6"/>
    <w:rsid w:val="00B31813"/>
    <w:rsid w:val="00B33365"/>
    <w:rsid w:val="00B57B36"/>
    <w:rsid w:val="00B57E6F"/>
    <w:rsid w:val="00B8686D"/>
    <w:rsid w:val="00B93F69"/>
    <w:rsid w:val="00BB1DDC"/>
    <w:rsid w:val="00BC30C9"/>
    <w:rsid w:val="00BD077D"/>
    <w:rsid w:val="00BE3E58"/>
    <w:rsid w:val="00BF27EE"/>
    <w:rsid w:val="00BF2DD3"/>
    <w:rsid w:val="00C01616"/>
    <w:rsid w:val="00C0162B"/>
    <w:rsid w:val="00C068ED"/>
    <w:rsid w:val="00C20D12"/>
    <w:rsid w:val="00C22E0C"/>
    <w:rsid w:val="00C345B1"/>
    <w:rsid w:val="00C40142"/>
    <w:rsid w:val="00C52C3C"/>
    <w:rsid w:val="00C57182"/>
    <w:rsid w:val="00C57863"/>
    <w:rsid w:val="00C640AF"/>
    <w:rsid w:val="00C655FD"/>
    <w:rsid w:val="00C75407"/>
    <w:rsid w:val="00C84343"/>
    <w:rsid w:val="00C870A8"/>
    <w:rsid w:val="00C94434"/>
    <w:rsid w:val="00CA0D75"/>
    <w:rsid w:val="00CA1C95"/>
    <w:rsid w:val="00CA534F"/>
    <w:rsid w:val="00CA5A9C"/>
    <w:rsid w:val="00CC4C20"/>
    <w:rsid w:val="00CC69D6"/>
    <w:rsid w:val="00CD3517"/>
    <w:rsid w:val="00CD5FE2"/>
    <w:rsid w:val="00CE2B70"/>
    <w:rsid w:val="00CE2D09"/>
    <w:rsid w:val="00CE67FF"/>
    <w:rsid w:val="00CE7C68"/>
    <w:rsid w:val="00D02B4C"/>
    <w:rsid w:val="00D040C4"/>
    <w:rsid w:val="00D20AD1"/>
    <w:rsid w:val="00D30465"/>
    <w:rsid w:val="00D36C8A"/>
    <w:rsid w:val="00D46B7E"/>
    <w:rsid w:val="00D57C84"/>
    <w:rsid w:val="00D6057D"/>
    <w:rsid w:val="00D71640"/>
    <w:rsid w:val="00D836C5"/>
    <w:rsid w:val="00D84576"/>
    <w:rsid w:val="00D92F09"/>
    <w:rsid w:val="00D94AE2"/>
    <w:rsid w:val="00D94BB8"/>
    <w:rsid w:val="00DA1399"/>
    <w:rsid w:val="00DA24C6"/>
    <w:rsid w:val="00DA4D7B"/>
    <w:rsid w:val="00DD271C"/>
    <w:rsid w:val="00DE264A"/>
    <w:rsid w:val="00DF09E4"/>
    <w:rsid w:val="00DF25AB"/>
    <w:rsid w:val="00DF4C95"/>
    <w:rsid w:val="00DF5072"/>
    <w:rsid w:val="00E02D18"/>
    <w:rsid w:val="00E041E7"/>
    <w:rsid w:val="00E17E61"/>
    <w:rsid w:val="00E23CA1"/>
    <w:rsid w:val="00E354BD"/>
    <w:rsid w:val="00E409A8"/>
    <w:rsid w:val="00E50C12"/>
    <w:rsid w:val="00E65B91"/>
    <w:rsid w:val="00E67B80"/>
    <w:rsid w:val="00E7209D"/>
    <w:rsid w:val="00E72EAD"/>
    <w:rsid w:val="00E77223"/>
    <w:rsid w:val="00E8528B"/>
    <w:rsid w:val="00E85B94"/>
    <w:rsid w:val="00E86404"/>
    <w:rsid w:val="00E86625"/>
    <w:rsid w:val="00E869FD"/>
    <w:rsid w:val="00E96683"/>
    <w:rsid w:val="00E978D0"/>
    <w:rsid w:val="00EA4613"/>
    <w:rsid w:val="00EA4A88"/>
    <w:rsid w:val="00EA7F91"/>
    <w:rsid w:val="00EB1523"/>
    <w:rsid w:val="00EB4AC9"/>
    <w:rsid w:val="00EB7CDE"/>
    <w:rsid w:val="00EC0E49"/>
    <w:rsid w:val="00EC101F"/>
    <w:rsid w:val="00EC1D9F"/>
    <w:rsid w:val="00ED7C0D"/>
    <w:rsid w:val="00EE0131"/>
    <w:rsid w:val="00EE17B0"/>
    <w:rsid w:val="00EF06D9"/>
    <w:rsid w:val="00EF1411"/>
    <w:rsid w:val="00F2675F"/>
    <w:rsid w:val="00F30C64"/>
    <w:rsid w:val="00F32BA2"/>
    <w:rsid w:val="00F32CDB"/>
    <w:rsid w:val="00F36819"/>
    <w:rsid w:val="00F40293"/>
    <w:rsid w:val="00F565FE"/>
    <w:rsid w:val="00F63A70"/>
    <w:rsid w:val="00F63D8C"/>
    <w:rsid w:val="00F64F73"/>
    <w:rsid w:val="00F7534E"/>
    <w:rsid w:val="00F769E5"/>
    <w:rsid w:val="00F76EBF"/>
    <w:rsid w:val="00F90E7F"/>
    <w:rsid w:val="00FA1802"/>
    <w:rsid w:val="00FA21D0"/>
    <w:rsid w:val="00FA5F5F"/>
    <w:rsid w:val="00FB70EB"/>
    <w:rsid w:val="00FB730C"/>
    <w:rsid w:val="00FC2695"/>
    <w:rsid w:val="00FC3320"/>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5A2EDB"/>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5A2EDB"/>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styleId="Revisione">
    <w:name w:val="Revision"/>
    <w:hidden/>
    <w:uiPriority w:val="99"/>
    <w:semiHidden/>
    <w:rsid w:val="001C4E9F"/>
    <w:pPr>
      <w:spacing w:after="0" w:line="240" w:lineRule="auto"/>
    </w:pPr>
    <w:rPr>
      <w:rFonts w:ascii="Arial" w:eastAsia="Times New Roman" w:hAnsi="Arial" w:cs="Times New Roman"/>
      <w:sz w:val="18"/>
      <w:szCs w:val="20"/>
      <w:lang w:val="en-GB"/>
    </w:rPr>
  </w:style>
  <w:style w:type="character" w:styleId="Menzionenonrisolta">
    <w:name w:val="Unresolved Mention"/>
    <w:basedOn w:val="Carpredefinitoparagrafo"/>
    <w:uiPriority w:val="99"/>
    <w:semiHidden/>
    <w:unhideWhenUsed/>
    <w:rsid w:val="00CE6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05863">
      <w:bodyDiv w:val="1"/>
      <w:marLeft w:val="0"/>
      <w:marRight w:val="0"/>
      <w:marTop w:val="0"/>
      <w:marBottom w:val="0"/>
      <w:divBdr>
        <w:top w:val="none" w:sz="0" w:space="0" w:color="auto"/>
        <w:left w:val="none" w:sz="0" w:space="0" w:color="auto"/>
        <w:bottom w:val="none" w:sz="0" w:space="0" w:color="auto"/>
        <w:right w:val="none" w:sz="0" w:space="0" w:color="auto"/>
      </w:divBdr>
      <w:divsChild>
        <w:div w:id="1180581349">
          <w:marLeft w:val="0"/>
          <w:marRight w:val="0"/>
          <w:marTop w:val="0"/>
          <w:marBottom w:val="0"/>
          <w:divBdr>
            <w:top w:val="single" w:sz="2" w:space="0" w:color="E3E3E3"/>
            <w:left w:val="single" w:sz="2" w:space="0" w:color="E3E3E3"/>
            <w:bottom w:val="single" w:sz="2" w:space="0" w:color="E3E3E3"/>
            <w:right w:val="single" w:sz="2" w:space="0" w:color="E3E3E3"/>
          </w:divBdr>
          <w:divsChild>
            <w:div w:id="1090661931">
              <w:marLeft w:val="0"/>
              <w:marRight w:val="0"/>
              <w:marTop w:val="0"/>
              <w:marBottom w:val="0"/>
              <w:divBdr>
                <w:top w:val="single" w:sz="2" w:space="0" w:color="E3E3E3"/>
                <w:left w:val="single" w:sz="2" w:space="0" w:color="E3E3E3"/>
                <w:bottom w:val="single" w:sz="2" w:space="0" w:color="E3E3E3"/>
                <w:right w:val="single" w:sz="2" w:space="0" w:color="E3E3E3"/>
              </w:divBdr>
              <w:divsChild>
                <w:div w:id="615019303">
                  <w:marLeft w:val="0"/>
                  <w:marRight w:val="0"/>
                  <w:marTop w:val="0"/>
                  <w:marBottom w:val="0"/>
                  <w:divBdr>
                    <w:top w:val="single" w:sz="2" w:space="0" w:color="E3E3E3"/>
                    <w:left w:val="single" w:sz="2" w:space="0" w:color="E3E3E3"/>
                    <w:bottom w:val="single" w:sz="2" w:space="0" w:color="E3E3E3"/>
                    <w:right w:val="single" w:sz="2" w:space="0" w:color="E3E3E3"/>
                  </w:divBdr>
                  <w:divsChild>
                    <w:div w:id="815100036">
                      <w:marLeft w:val="0"/>
                      <w:marRight w:val="0"/>
                      <w:marTop w:val="0"/>
                      <w:marBottom w:val="0"/>
                      <w:divBdr>
                        <w:top w:val="single" w:sz="2" w:space="0" w:color="E3E3E3"/>
                        <w:left w:val="single" w:sz="2" w:space="0" w:color="E3E3E3"/>
                        <w:bottom w:val="single" w:sz="2" w:space="0" w:color="E3E3E3"/>
                        <w:right w:val="single" w:sz="2" w:space="0" w:color="E3E3E3"/>
                      </w:divBdr>
                      <w:divsChild>
                        <w:div w:id="1449426654">
                          <w:marLeft w:val="0"/>
                          <w:marRight w:val="0"/>
                          <w:marTop w:val="0"/>
                          <w:marBottom w:val="0"/>
                          <w:divBdr>
                            <w:top w:val="single" w:sz="2" w:space="0" w:color="E3E3E3"/>
                            <w:left w:val="single" w:sz="2" w:space="0" w:color="E3E3E3"/>
                            <w:bottom w:val="single" w:sz="2" w:space="0" w:color="E3E3E3"/>
                            <w:right w:val="single" w:sz="2" w:space="0" w:color="E3E3E3"/>
                          </w:divBdr>
                          <w:divsChild>
                            <w:div w:id="697774563">
                              <w:marLeft w:val="0"/>
                              <w:marRight w:val="0"/>
                              <w:marTop w:val="0"/>
                              <w:marBottom w:val="0"/>
                              <w:divBdr>
                                <w:top w:val="single" w:sz="2" w:space="0" w:color="E3E3E3"/>
                                <w:left w:val="single" w:sz="2" w:space="0" w:color="E3E3E3"/>
                                <w:bottom w:val="single" w:sz="2" w:space="0" w:color="E3E3E3"/>
                                <w:right w:val="single" w:sz="2" w:space="0" w:color="E3E3E3"/>
                              </w:divBdr>
                              <w:divsChild>
                                <w:div w:id="1427656267">
                                  <w:marLeft w:val="0"/>
                                  <w:marRight w:val="0"/>
                                  <w:marTop w:val="100"/>
                                  <w:marBottom w:val="100"/>
                                  <w:divBdr>
                                    <w:top w:val="single" w:sz="2" w:space="0" w:color="E3E3E3"/>
                                    <w:left w:val="single" w:sz="2" w:space="0" w:color="E3E3E3"/>
                                    <w:bottom w:val="single" w:sz="2" w:space="0" w:color="E3E3E3"/>
                                    <w:right w:val="single" w:sz="2" w:space="0" w:color="E3E3E3"/>
                                  </w:divBdr>
                                  <w:divsChild>
                                    <w:div w:id="1826162844">
                                      <w:marLeft w:val="0"/>
                                      <w:marRight w:val="0"/>
                                      <w:marTop w:val="0"/>
                                      <w:marBottom w:val="0"/>
                                      <w:divBdr>
                                        <w:top w:val="single" w:sz="2" w:space="0" w:color="E3E3E3"/>
                                        <w:left w:val="single" w:sz="2" w:space="0" w:color="E3E3E3"/>
                                        <w:bottom w:val="single" w:sz="2" w:space="0" w:color="E3E3E3"/>
                                        <w:right w:val="single" w:sz="2" w:space="0" w:color="E3E3E3"/>
                                      </w:divBdr>
                                      <w:divsChild>
                                        <w:div w:id="547109855">
                                          <w:marLeft w:val="0"/>
                                          <w:marRight w:val="0"/>
                                          <w:marTop w:val="0"/>
                                          <w:marBottom w:val="0"/>
                                          <w:divBdr>
                                            <w:top w:val="single" w:sz="2" w:space="0" w:color="E3E3E3"/>
                                            <w:left w:val="single" w:sz="2" w:space="0" w:color="E3E3E3"/>
                                            <w:bottom w:val="single" w:sz="2" w:space="0" w:color="E3E3E3"/>
                                            <w:right w:val="single" w:sz="2" w:space="0" w:color="E3E3E3"/>
                                          </w:divBdr>
                                          <w:divsChild>
                                            <w:div w:id="2085488474">
                                              <w:marLeft w:val="0"/>
                                              <w:marRight w:val="0"/>
                                              <w:marTop w:val="0"/>
                                              <w:marBottom w:val="0"/>
                                              <w:divBdr>
                                                <w:top w:val="single" w:sz="2" w:space="0" w:color="E3E3E3"/>
                                                <w:left w:val="single" w:sz="2" w:space="0" w:color="E3E3E3"/>
                                                <w:bottom w:val="single" w:sz="2" w:space="0" w:color="E3E3E3"/>
                                                <w:right w:val="single" w:sz="2" w:space="0" w:color="E3E3E3"/>
                                              </w:divBdr>
                                              <w:divsChild>
                                                <w:div w:id="748119364">
                                                  <w:marLeft w:val="0"/>
                                                  <w:marRight w:val="0"/>
                                                  <w:marTop w:val="0"/>
                                                  <w:marBottom w:val="0"/>
                                                  <w:divBdr>
                                                    <w:top w:val="single" w:sz="2" w:space="0" w:color="E3E3E3"/>
                                                    <w:left w:val="single" w:sz="2" w:space="0" w:color="E3E3E3"/>
                                                    <w:bottom w:val="single" w:sz="2" w:space="0" w:color="E3E3E3"/>
                                                    <w:right w:val="single" w:sz="2" w:space="0" w:color="E3E3E3"/>
                                                  </w:divBdr>
                                                  <w:divsChild>
                                                    <w:div w:id="467552556">
                                                      <w:marLeft w:val="0"/>
                                                      <w:marRight w:val="0"/>
                                                      <w:marTop w:val="0"/>
                                                      <w:marBottom w:val="0"/>
                                                      <w:divBdr>
                                                        <w:top w:val="single" w:sz="2" w:space="0" w:color="E3E3E3"/>
                                                        <w:left w:val="single" w:sz="2" w:space="0" w:color="E3E3E3"/>
                                                        <w:bottom w:val="single" w:sz="2" w:space="0" w:color="E3E3E3"/>
                                                        <w:right w:val="single" w:sz="2" w:space="0" w:color="E3E3E3"/>
                                                      </w:divBdr>
                                                      <w:divsChild>
                                                        <w:div w:id="15693421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10498230">
          <w:marLeft w:val="0"/>
          <w:marRight w:val="0"/>
          <w:marTop w:val="0"/>
          <w:marBottom w:val="0"/>
          <w:divBdr>
            <w:top w:val="none" w:sz="0" w:space="0" w:color="auto"/>
            <w:left w:val="none" w:sz="0" w:space="0" w:color="auto"/>
            <w:bottom w:val="none" w:sz="0" w:space="0" w:color="auto"/>
            <w:right w:val="none" w:sz="0" w:space="0" w:color="auto"/>
          </w:divBdr>
          <w:divsChild>
            <w:div w:id="134833036">
              <w:marLeft w:val="0"/>
              <w:marRight w:val="0"/>
              <w:marTop w:val="100"/>
              <w:marBottom w:val="100"/>
              <w:divBdr>
                <w:top w:val="single" w:sz="2" w:space="0" w:color="E3E3E3"/>
                <w:left w:val="single" w:sz="2" w:space="0" w:color="E3E3E3"/>
                <w:bottom w:val="single" w:sz="2" w:space="0" w:color="E3E3E3"/>
                <w:right w:val="single" w:sz="2" w:space="0" w:color="E3E3E3"/>
              </w:divBdr>
              <w:divsChild>
                <w:div w:id="14925254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8052">
      <w:bodyDiv w:val="1"/>
      <w:marLeft w:val="0"/>
      <w:marRight w:val="0"/>
      <w:marTop w:val="0"/>
      <w:marBottom w:val="0"/>
      <w:divBdr>
        <w:top w:val="none" w:sz="0" w:space="0" w:color="auto"/>
        <w:left w:val="none" w:sz="0" w:space="0" w:color="auto"/>
        <w:bottom w:val="none" w:sz="0" w:space="0" w:color="auto"/>
        <w:right w:val="none" w:sz="0" w:space="0" w:color="auto"/>
      </w:divBdr>
      <w:divsChild>
        <w:div w:id="787771452">
          <w:marLeft w:val="0"/>
          <w:marRight w:val="0"/>
          <w:marTop w:val="0"/>
          <w:marBottom w:val="0"/>
          <w:divBdr>
            <w:top w:val="single" w:sz="2" w:space="0" w:color="E3E3E3"/>
            <w:left w:val="single" w:sz="2" w:space="0" w:color="E3E3E3"/>
            <w:bottom w:val="single" w:sz="2" w:space="0" w:color="E3E3E3"/>
            <w:right w:val="single" w:sz="2" w:space="0" w:color="E3E3E3"/>
          </w:divBdr>
          <w:divsChild>
            <w:div w:id="818031984">
              <w:marLeft w:val="0"/>
              <w:marRight w:val="0"/>
              <w:marTop w:val="0"/>
              <w:marBottom w:val="0"/>
              <w:divBdr>
                <w:top w:val="single" w:sz="2" w:space="0" w:color="E3E3E3"/>
                <w:left w:val="single" w:sz="2" w:space="0" w:color="E3E3E3"/>
                <w:bottom w:val="single" w:sz="2" w:space="0" w:color="E3E3E3"/>
                <w:right w:val="single" w:sz="2" w:space="0" w:color="E3E3E3"/>
              </w:divBdr>
              <w:divsChild>
                <w:div w:id="2065374578">
                  <w:marLeft w:val="0"/>
                  <w:marRight w:val="0"/>
                  <w:marTop w:val="0"/>
                  <w:marBottom w:val="0"/>
                  <w:divBdr>
                    <w:top w:val="single" w:sz="2" w:space="0" w:color="E3E3E3"/>
                    <w:left w:val="single" w:sz="2" w:space="0" w:color="E3E3E3"/>
                    <w:bottom w:val="single" w:sz="2" w:space="0" w:color="E3E3E3"/>
                    <w:right w:val="single" w:sz="2" w:space="0" w:color="E3E3E3"/>
                  </w:divBdr>
                  <w:divsChild>
                    <w:div w:id="1333988102">
                      <w:marLeft w:val="0"/>
                      <w:marRight w:val="0"/>
                      <w:marTop w:val="0"/>
                      <w:marBottom w:val="0"/>
                      <w:divBdr>
                        <w:top w:val="single" w:sz="2" w:space="0" w:color="E3E3E3"/>
                        <w:left w:val="single" w:sz="2" w:space="0" w:color="E3E3E3"/>
                        <w:bottom w:val="single" w:sz="2" w:space="0" w:color="E3E3E3"/>
                        <w:right w:val="single" w:sz="2" w:space="0" w:color="E3E3E3"/>
                      </w:divBdr>
                      <w:divsChild>
                        <w:div w:id="708532199">
                          <w:marLeft w:val="0"/>
                          <w:marRight w:val="0"/>
                          <w:marTop w:val="0"/>
                          <w:marBottom w:val="0"/>
                          <w:divBdr>
                            <w:top w:val="single" w:sz="2" w:space="0" w:color="E3E3E3"/>
                            <w:left w:val="single" w:sz="2" w:space="0" w:color="E3E3E3"/>
                            <w:bottom w:val="single" w:sz="2" w:space="0" w:color="E3E3E3"/>
                            <w:right w:val="single" w:sz="2" w:space="0" w:color="E3E3E3"/>
                          </w:divBdr>
                          <w:divsChild>
                            <w:div w:id="588999812">
                              <w:marLeft w:val="0"/>
                              <w:marRight w:val="0"/>
                              <w:marTop w:val="0"/>
                              <w:marBottom w:val="0"/>
                              <w:divBdr>
                                <w:top w:val="single" w:sz="2" w:space="0" w:color="E3E3E3"/>
                                <w:left w:val="single" w:sz="2" w:space="0" w:color="E3E3E3"/>
                                <w:bottom w:val="single" w:sz="2" w:space="0" w:color="E3E3E3"/>
                                <w:right w:val="single" w:sz="2" w:space="0" w:color="E3E3E3"/>
                              </w:divBdr>
                              <w:divsChild>
                                <w:div w:id="599990188">
                                  <w:marLeft w:val="0"/>
                                  <w:marRight w:val="0"/>
                                  <w:marTop w:val="100"/>
                                  <w:marBottom w:val="100"/>
                                  <w:divBdr>
                                    <w:top w:val="single" w:sz="2" w:space="0" w:color="E3E3E3"/>
                                    <w:left w:val="single" w:sz="2" w:space="0" w:color="E3E3E3"/>
                                    <w:bottom w:val="single" w:sz="2" w:space="0" w:color="E3E3E3"/>
                                    <w:right w:val="single" w:sz="2" w:space="0" w:color="E3E3E3"/>
                                  </w:divBdr>
                                  <w:divsChild>
                                    <w:div w:id="362093207">
                                      <w:marLeft w:val="0"/>
                                      <w:marRight w:val="0"/>
                                      <w:marTop w:val="0"/>
                                      <w:marBottom w:val="0"/>
                                      <w:divBdr>
                                        <w:top w:val="single" w:sz="2" w:space="0" w:color="E3E3E3"/>
                                        <w:left w:val="single" w:sz="2" w:space="0" w:color="E3E3E3"/>
                                        <w:bottom w:val="single" w:sz="2" w:space="0" w:color="E3E3E3"/>
                                        <w:right w:val="single" w:sz="2" w:space="0" w:color="E3E3E3"/>
                                      </w:divBdr>
                                      <w:divsChild>
                                        <w:div w:id="1426684056">
                                          <w:marLeft w:val="0"/>
                                          <w:marRight w:val="0"/>
                                          <w:marTop w:val="0"/>
                                          <w:marBottom w:val="0"/>
                                          <w:divBdr>
                                            <w:top w:val="single" w:sz="2" w:space="0" w:color="E3E3E3"/>
                                            <w:left w:val="single" w:sz="2" w:space="0" w:color="E3E3E3"/>
                                            <w:bottom w:val="single" w:sz="2" w:space="0" w:color="E3E3E3"/>
                                            <w:right w:val="single" w:sz="2" w:space="0" w:color="E3E3E3"/>
                                          </w:divBdr>
                                          <w:divsChild>
                                            <w:div w:id="1930575722">
                                              <w:marLeft w:val="0"/>
                                              <w:marRight w:val="0"/>
                                              <w:marTop w:val="0"/>
                                              <w:marBottom w:val="0"/>
                                              <w:divBdr>
                                                <w:top w:val="single" w:sz="2" w:space="0" w:color="E3E3E3"/>
                                                <w:left w:val="single" w:sz="2" w:space="0" w:color="E3E3E3"/>
                                                <w:bottom w:val="single" w:sz="2" w:space="0" w:color="E3E3E3"/>
                                                <w:right w:val="single" w:sz="2" w:space="0" w:color="E3E3E3"/>
                                              </w:divBdr>
                                              <w:divsChild>
                                                <w:div w:id="46999781">
                                                  <w:marLeft w:val="0"/>
                                                  <w:marRight w:val="0"/>
                                                  <w:marTop w:val="0"/>
                                                  <w:marBottom w:val="0"/>
                                                  <w:divBdr>
                                                    <w:top w:val="single" w:sz="2" w:space="0" w:color="E3E3E3"/>
                                                    <w:left w:val="single" w:sz="2" w:space="0" w:color="E3E3E3"/>
                                                    <w:bottom w:val="single" w:sz="2" w:space="0" w:color="E3E3E3"/>
                                                    <w:right w:val="single" w:sz="2" w:space="0" w:color="E3E3E3"/>
                                                  </w:divBdr>
                                                  <w:divsChild>
                                                    <w:div w:id="656030747">
                                                      <w:marLeft w:val="0"/>
                                                      <w:marRight w:val="0"/>
                                                      <w:marTop w:val="0"/>
                                                      <w:marBottom w:val="0"/>
                                                      <w:divBdr>
                                                        <w:top w:val="single" w:sz="2" w:space="0" w:color="E3E3E3"/>
                                                        <w:left w:val="single" w:sz="2" w:space="0" w:color="E3E3E3"/>
                                                        <w:bottom w:val="single" w:sz="2" w:space="0" w:color="E3E3E3"/>
                                                        <w:right w:val="single" w:sz="2" w:space="0" w:color="E3E3E3"/>
                                                      </w:divBdr>
                                                      <w:divsChild>
                                                        <w:div w:id="10348906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88297668">
          <w:marLeft w:val="0"/>
          <w:marRight w:val="0"/>
          <w:marTop w:val="0"/>
          <w:marBottom w:val="0"/>
          <w:divBdr>
            <w:top w:val="none" w:sz="0" w:space="0" w:color="auto"/>
            <w:left w:val="none" w:sz="0" w:space="0" w:color="auto"/>
            <w:bottom w:val="none" w:sz="0" w:space="0" w:color="auto"/>
            <w:right w:val="none" w:sz="0" w:space="0" w:color="auto"/>
          </w:divBdr>
          <w:divsChild>
            <w:div w:id="1155417279">
              <w:marLeft w:val="0"/>
              <w:marRight w:val="0"/>
              <w:marTop w:val="100"/>
              <w:marBottom w:val="100"/>
              <w:divBdr>
                <w:top w:val="single" w:sz="2" w:space="0" w:color="E3E3E3"/>
                <w:left w:val="single" w:sz="2" w:space="0" w:color="E3E3E3"/>
                <w:bottom w:val="single" w:sz="2" w:space="0" w:color="E3E3E3"/>
                <w:right w:val="single" w:sz="2" w:space="0" w:color="E3E3E3"/>
              </w:divBdr>
              <w:divsChild>
                <w:div w:id="3347222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64737549">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0633">
      <w:bodyDiv w:val="1"/>
      <w:marLeft w:val="0"/>
      <w:marRight w:val="0"/>
      <w:marTop w:val="0"/>
      <w:marBottom w:val="0"/>
      <w:divBdr>
        <w:top w:val="none" w:sz="0" w:space="0" w:color="auto"/>
        <w:left w:val="none" w:sz="0" w:space="0" w:color="auto"/>
        <w:bottom w:val="none" w:sz="0" w:space="0" w:color="auto"/>
        <w:right w:val="none" w:sz="0" w:space="0" w:color="auto"/>
      </w:divBdr>
      <w:divsChild>
        <w:div w:id="370811930">
          <w:marLeft w:val="0"/>
          <w:marRight w:val="0"/>
          <w:marTop w:val="0"/>
          <w:marBottom w:val="0"/>
          <w:divBdr>
            <w:top w:val="single" w:sz="2" w:space="0" w:color="E3E3E3"/>
            <w:left w:val="single" w:sz="2" w:space="0" w:color="E3E3E3"/>
            <w:bottom w:val="single" w:sz="2" w:space="0" w:color="E3E3E3"/>
            <w:right w:val="single" w:sz="2" w:space="0" w:color="E3E3E3"/>
          </w:divBdr>
          <w:divsChild>
            <w:div w:id="20865258">
              <w:marLeft w:val="0"/>
              <w:marRight w:val="0"/>
              <w:marTop w:val="100"/>
              <w:marBottom w:val="100"/>
              <w:divBdr>
                <w:top w:val="single" w:sz="2" w:space="0" w:color="E3E3E3"/>
                <w:left w:val="single" w:sz="2" w:space="0" w:color="E3E3E3"/>
                <w:bottom w:val="single" w:sz="2" w:space="0" w:color="E3E3E3"/>
                <w:right w:val="single" w:sz="2" w:space="0" w:color="E3E3E3"/>
              </w:divBdr>
              <w:divsChild>
                <w:div w:id="1744526920">
                  <w:marLeft w:val="0"/>
                  <w:marRight w:val="0"/>
                  <w:marTop w:val="0"/>
                  <w:marBottom w:val="0"/>
                  <w:divBdr>
                    <w:top w:val="single" w:sz="2" w:space="0" w:color="E3E3E3"/>
                    <w:left w:val="single" w:sz="2" w:space="0" w:color="E3E3E3"/>
                    <w:bottom w:val="single" w:sz="2" w:space="0" w:color="E3E3E3"/>
                    <w:right w:val="single" w:sz="2" w:space="0" w:color="E3E3E3"/>
                  </w:divBdr>
                  <w:divsChild>
                    <w:div w:id="1843082974">
                      <w:marLeft w:val="0"/>
                      <w:marRight w:val="0"/>
                      <w:marTop w:val="0"/>
                      <w:marBottom w:val="0"/>
                      <w:divBdr>
                        <w:top w:val="single" w:sz="2" w:space="0" w:color="E3E3E3"/>
                        <w:left w:val="single" w:sz="2" w:space="0" w:color="E3E3E3"/>
                        <w:bottom w:val="single" w:sz="2" w:space="0" w:color="E3E3E3"/>
                        <w:right w:val="single" w:sz="2" w:space="0" w:color="E3E3E3"/>
                      </w:divBdr>
                      <w:divsChild>
                        <w:div w:id="1310525173">
                          <w:marLeft w:val="0"/>
                          <w:marRight w:val="0"/>
                          <w:marTop w:val="0"/>
                          <w:marBottom w:val="0"/>
                          <w:divBdr>
                            <w:top w:val="single" w:sz="2" w:space="0" w:color="E3E3E3"/>
                            <w:left w:val="single" w:sz="2" w:space="0" w:color="E3E3E3"/>
                            <w:bottom w:val="single" w:sz="2" w:space="0" w:color="E3E3E3"/>
                            <w:right w:val="single" w:sz="2" w:space="0" w:color="E3E3E3"/>
                          </w:divBdr>
                          <w:divsChild>
                            <w:div w:id="2056389337">
                              <w:marLeft w:val="0"/>
                              <w:marRight w:val="0"/>
                              <w:marTop w:val="0"/>
                              <w:marBottom w:val="0"/>
                              <w:divBdr>
                                <w:top w:val="single" w:sz="2" w:space="0" w:color="E3E3E3"/>
                                <w:left w:val="single" w:sz="2" w:space="0" w:color="E3E3E3"/>
                                <w:bottom w:val="single" w:sz="2" w:space="0" w:color="E3E3E3"/>
                                <w:right w:val="single" w:sz="2" w:space="0" w:color="E3E3E3"/>
                              </w:divBdr>
                              <w:divsChild>
                                <w:div w:id="738093970">
                                  <w:marLeft w:val="0"/>
                                  <w:marRight w:val="0"/>
                                  <w:marTop w:val="0"/>
                                  <w:marBottom w:val="0"/>
                                  <w:divBdr>
                                    <w:top w:val="single" w:sz="2" w:space="0" w:color="E3E3E3"/>
                                    <w:left w:val="single" w:sz="2" w:space="0" w:color="E3E3E3"/>
                                    <w:bottom w:val="single" w:sz="2" w:space="0" w:color="E3E3E3"/>
                                    <w:right w:val="single" w:sz="2" w:space="0" w:color="E3E3E3"/>
                                  </w:divBdr>
                                  <w:divsChild>
                                    <w:div w:id="10419822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zio.invernizzi@polimi.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10011</Words>
  <Characters>57066</Characters>
  <Application>Microsoft Office Word</Application>
  <DocSecurity>0</DocSecurity>
  <Lines>475</Lines>
  <Paragraphs>133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66944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Francesca Tagliaferri</cp:lastModifiedBy>
  <cp:revision>4</cp:revision>
  <cp:lastPrinted>2024-05-25T08:51:00Z</cp:lastPrinted>
  <dcterms:created xsi:type="dcterms:W3CDTF">2024-05-27T09:24:00Z</dcterms:created>
  <dcterms:modified xsi:type="dcterms:W3CDTF">2024-07-04T14:09:00Z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http://www.zotero.org/styles/chemosphere</vt:lpwstr>
  </property>
  <property fmtid="{D5CDD505-2E9C-101B-9397-08002B2CF9AE}" pid="11" name="Mendeley Recent Style Name 3_1">
    <vt:lpwstr>Chemosphere</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11th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acd72c11-866e-3d23-ba63-12cd6437ed14</vt:lpwstr>
  </property>
  <property fmtid="{D5CDD505-2E9C-101B-9397-08002B2CF9AE}" pid="26" name="Mendeley Citation Style_1">
    <vt:lpwstr>http://www.zotero.org/styles/chemosphere</vt:lpwstr>
  </property>
  <property fmtid="{D5CDD505-2E9C-101B-9397-08002B2CF9AE}" pid="27" name="GrammarlyDocumentId">
    <vt:lpwstr>0be4c261749b9753608d9f4efca3fcbe9be122be1e9533799b2508d41248bc53</vt:lpwstr>
  </property>
</Properties>
</file>