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W w:w="0" w:type="auto"/>
        <w:jc w:val="center"/>
        <w:tblBorders>
          <w:bottom w:val="single" w:sz="4" w:space="0" w:color="auto"/>
        </w:tblBorders>
        <w:tblLook w:val="01E0" w:firstRow="1" w:lastRow="1" w:firstColumn="1" w:lastColumn="1" w:noHBand="0" w:noVBand="0"/>
      </w:tblPr>
      <w:tblGrid>
        <w:gridCol w:w="6940"/>
        <w:gridCol w:w="1842"/>
      </w:tblGrid>
      <w:tr w:rsidR="00F7368B" w:rsidRPr="00B918E6" w14:paraId="361A067E" w14:textId="77777777" w:rsidTr="007E0AD1">
        <w:trPr>
          <w:trHeight w:val="852"/>
          <w:jc w:val="center"/>
        </w:trPr>
        <w:tc>
          <w:tcPr>
            <w:tcW w:w="6946" w:type="dxa"/>
            <w:vMerge w:val="restart"/>
            <w:tcBorders>
              <w:right w:val="single" w:sz="4" w:space="0" w:color="auto"/>
            </w:tcBorders>
          </w:tcPr>
          <w:p w14:paraId="7C62068E" w14:textId="77777777" w:rsidR="00F7368B" w:rsidRPr="00B918E6" w:rsidRDefault="00F7368B" w:rsidP="007E0AD1">
            <w:pPr>
              <w:tabs>
                <w:tab w:val="left" w:pos="-108"/>
              </w:tabs>
              <w:ind w:left="-108"/>
              <w:jc w:val="left"/>
              <w:rPr>
                <w:rFonts w:cs="Arial"/>
                <w:b/>
                <w:bCs/>
                <w:i/>
                <w:iCs/>
                <w:color w:val="000066"/>
                <w:sz w:val="12"/>
                <w:szCs w:val="12"/>
                <w:lang w:eastAsia="it-IT"/>
              </w:rPr>
            </w:pPr>
            <w:r w:rsidRPr="00B918E6">
              <w:rPr>
                <w:rFonts w:ascii="AdvP6960" w:hAnsi="AdvP6960" w:cs="AdvP6960"/>
                <w:noProof/>
                <w:color w:val="241F20"/>
                <w:szCs w:val="18"/>
                <w:lang w:eastAsia="it-IT"/>
              </w:rPr>
              <w:drawing>
                <wp:inline distT="0" distB="0" distL="0" distR="0" wp14:anchorId="14DF8B46" wp14:editId="5EEEB79F">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B918E6">
              <w:rPr>
                <w:rFonts w:ascii="AdvP6960" w:hAnsi="AdvP6960" w:cs="AdvP6960"/>
                <w:color w:val="241F20"/>
                <w:szCs w:val="18"/>
                <w:lang w:eastAsia="it-IT"/>
              </w:rPr>
              <w:t xml:space="preserve"> </w:t>
            </w:r>
            <w:r w:rsidRPr="00B918E6">
              <w:rPr>
                <w:rFonts w:cs="Arial"/>
                <w:b/>
                <w:bCs/>
                <w:i/>
                <w:iCs/>
                <w:color w:val="000066"/>
                <w:sz w:val="24"/>
                <w:szCs w:val="24"/>
                <w:lang w:eastAsia="it-IT"/>
              </w:rPr>
              <w:t>CHEMICAL ENGINEERING</w:t>
            </w:r>
            <w:r w:rsidRPr="00B918E6">
              <w:rPr>
                <w:rFonts w:cs="Arial"/>
                <w:b/>
                <w:bCs/>
                <w:i/>
                <w:iCs/>
                <w:color w:val="0033FF"/>
                <w:sz w:val="24"/>
                <w:szCs w:val="24"/>
                <w:lang w:eastAsia="it-IT"/>
              </w:rPr>
              <w:t xml:space="preserve"> </w:t>
            </w:r>
            <w:r w:rsidRPr="00B918E6">
              <w:rPr>
                <w:rFonts w:cs="Arial"/>
                <w:b/>
                <w:bCs/>
                <w:i/>
                <w:iCs/>
                <w:color w:val="666666"/>
                <w:sz w:val="24"/>
                <w:szCs w:val="24"/>
                <w:lang w:eastAsia="it-IT"/>
              </w:rPr>
              <w:t>TRANSACTIONS</w:t>
            </w:r>
            <w:r w:rsidRPr="00B918E6">
              <w:rPr>
                <w:color w:val="333333"/>
                <w:sz w:val="24"/>
                <w:szCs w:val="24"/>
                <w:lang w:eastAsia="it-IT"/>
              </w:rPr>
              <w:t xml:space="preserve"> </w:t>
            </w:r>
            <w:r w:rsidRPr="00B918E6">
              <w:rPr>
                <w:rFonts w:cs="Arial"/>
                <w:b/>
                <w:bCs/>
                <w:i/>
                <w:iCs/>
                <w:color w:val="000066"/>
                <w:sz w:val="27"/>
                <w:szCs w:val="27"/>
                <w:lang w:eastAsia="it-IT"/>
              </w:rPr>
              <w:br/>
            </w:r>
          </w:p>
          <w:p w14:paraId="57A27749" w14:textId="77777777" w:rsidR="00F7368B" w:rsidRPr="00B918E6" w:rsidRDefault="00F7368B" w:rsidP="007E0AD1">
            <w:pPr>
              <w:tabs>
                <w:tab w:val="left" w:pos="-108"/>
              </w:tabs>
              <w:ind w:left="-108"/>
              <w:rPr>
                <w:rFonts w:cs="Arial"/>
                <w:b/>
                <w:bCs/>
                <w:i/>
                <w:iCs/>
                <w:color w:val="000066"/>
                <w:sz w:val="22"/>
                <w:szCs w:val="22"/>
                <w:lang w:eastAsia="it-IT"/>
              </w:rPr>
            </w:pPr>
            <w:r w:rsidRPr="00B918E6">
              <w:rPr>
                <w:rFonts w:cs="Arial"/>
                <w:b/>
                <w:bCs/>
                <w:i/>
                <w:iCs/>
                <w:color w:val="000066"/>
                <w:sz w:val="22"/>
                <w:szCs w:val="22"/>
                <w:lang w:eastAsia="it-IT"/>
              </w:rPr>
              <w:t>VOL. xxx, 2024</w:t>
            </w:r>
          </w:p>
        </w:tc>
        <w:tc>
          <w:tcPr>
            <w:tcW w:w="1843" w:type="dxa"/>
            <w:tcBorders>
              <w:left w:val="single" w:sz="4" w:space="0" w:color="auto"/>
              <w:bottom w:val="nil"/>
              <w:right w:val="single" w:sz="4" w:space="0" w:color="auto"/>
            </w:tcBorders>
          </w:tcPr>
          <w:p w14:paraId="0EC7158C" w14:textId="77777777" w:rsidR="00F7368B" w:rsidRPr="00B918E6" w:rsidRDefault="00F7368B" w:rsidP="007E0AD1">
            <w:pPr>
              <w:spacing w:line="140" w:lineRule="atLeast"/>
              <w:jc w:val="right"/>
              <w:rPr>
                <w:rFonts w:cs="Arial"/>
                <w:sz w:val="14"/>
                <w:szCs w:val="14"/>
              </w:rPr>
            </w:pPr>
            <w:r w:rsidRPr="00B918E6">
              <w:rPr>
                <w:rFonts w:cs="Arial"/>
                <w:sz w:val="14"/>
                <w:szCs w:val="14"/>
              </w:rPr>
              <w:t>A publication of</w:t>
            </w:r>
          </w:p>
          <w:p w14:paraId="0692502A" w14:textId="77777777" w:rsidR="00F7368B" w:rsidRPr="00B918E6" w:rsidRDefault="00F7368B" w:rsidP="007E0AD1">
            <w:pPr>
              <w:jc w:val="right"/>
            </w:pPr>
            <w:r w:rsidRPr="00B918E6">
              <w:rPr>
                <w:noProof/>
                <w:lang w:eastAsia="it-IT"/>
              </w:rPr>
              <w:drawing>
                <wp:inline distT="0" distB="0" distL="0" distR="0" wp14:anchorId="07073BA3" wp14:editId="3B878CC5">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F7368B" w:rsidRPr="00B918E6" w14:paraId="3A24E958" w14:textId="77777777" w:rsidTr="007E0AD1">
        <w:trPr>
          <w:trHeight w:val="567"/>
          <w:jc w:val="center"/>
        </w:trPr>
        <w:tc>
          <w:tcPr>
            <w:tcW w:w="6946" w:type="dxa"/>
            <w:vMerge/>
            <w:tcBorders>
              <w:right w:val="single" w:sz="4" w:space="0" w:color="auto"/>
            </w:tcBorders>
          </w:tcPr>
          <w:p w14:paraId="1F77E232" w14:textId="77777777" w:rsidR="00F7368B" w:rsidRPr="00B918E6" w:rsidRDefault="00F7368B" w:rsidP="007E0AD1">
            <w:pPr>
              <w:tabs>
                <w:tab w:val="left" w:pos="-108"/>
              </w:tabs>
            </w:pPr>
          </w:p>
        </w:tc>
        <w:tc>
          <w:tcPr>
            <w:tcW w:w="1843" w:type="dxa"/>
            <w:tcBorders>
              <w:left w:val="single" w:sz="4" w:space="0" w:color="auto"/>
              <w:bottom w:val="nil"/>
              <w:right w:val="single" w:sz="4" w:space="0" w:color="auto"/>
            </w:tcBorders>
          </w:tcPr>
          <w:p w14:paraId="552D6A82" w14:textId="77777777" w:rsidR="00F7368B" w:rsidRPr="00B918E6" w:rsidRDefault="00F7368B" w:rsidP="007E0AD1">
            <w:pPr>
              <w:spacing w:line="140" w:lineRule="atLeast"/>
              <w:jc w:val="right"/>
              <w:rPr>
                <w:rFonts w:cs="Arial"/>
                <w:sz w:val="14"/>
                <w:szCs w:val="14"/>
              </w:rPr>
            </w:pPr>
            <w:r w:rsidRPr="00B918E6">
              <w:rPr>
                <w:rFonts w:cs="Arial"/>
                <w:sz w:val="14"/>
                <w:szCs w:val="14"/>
              </w:rPr>
              <w:t>The Italian Association</w:t>
            </w:r>
          </w:p>
          <w:p w14:paraId="4A5BEEF8" w14:textId="77777777" w:rsidR="00F7368B" w:rsidRPr="00B918E6" w:rsidRDefault="00F7368B" w:rsidP="007E0AD1">
            <w:pPr>
              <w:spacing w:line="140" w:lineRule="atLeast"/>
              <w:jc w:val="right"/>
              <w:rPr>
                <w:rFonts w:cs="Arial"/>
                <w:sz w:val="14"/>
                <w:szCs w:val="14"/>
              </w:rPr>
            </w:pPr>
            <w:r w:rsidRPr="00B918E6">
              <w:rPr>
                <w:rFonts w:cs="Arial"/>
                <w:sz w:val="14"/>
                <w:szCs w:val="14"/>
              </w:rPr>
              <w:t>of Chemical Engineering</w:t>
            </w:r>
          </w:p>
          <w:p w14:paraId="43EB6F98" w14:textId="77777777" w:rsidR="00F7368B" w:rsidRPr="00B918E6" w:rsidRDefault="00F7368B" w:rsidP="007E0AD1">
            <w:pPr>
              <w:spacing w:line="140" w:lineRule="atLeast"/>
              <w:jc w:val="right"/>
              <w:rPr>
                <w:rFonts w:cs="Arial"/>
                <w:sz w:val="13"/>
                <w:szCs w:val="13"/>
              </w:rPr>
            </w:pPr>
            <w:r w:rsidRPr="00B918E6">
              <w:rPr>
                <w:rFonts w:cs="Arial"/>
                <w:sz w:val="13"/>
                <w:szCs w:val="13"/>
              </w:rPr>
              <w:t>Online at www.cetjournal.it</w:t>
            </w:r>
          </w:p>
        </w:tc>
      </w:tr>
      <w:tr w:rsidR="00F7368B" w:rsidRPr="00B918E6" w14:paraId="5C4DEAE5" w14:textId="77777777" w:rsidTr="007E0AD1">
        <w:trPr>
          <w:trHeight w:val="68"/>
          <w:jc w:val="center"/>
        </w:trPr>
        <w:tc>
          <w:tcPr>
            <w:tcW w:w="8789" w:type="dxa"/>
            <w:gridSpan w:val="2"/>
          </w:tcPr>
          <w:p w14:paraId="3518A79E" w14:textId="77777777" w:rsidR="00F7368B" w:rsidRPr="00AC5E4B" w:rsidRDefault="00F7368B" w:rsidP="007E0AD1">
            <w:pPr>
              <w:ind w:left="-107"/>
              <w:outlineLvl w:val="2"/>
              <w:rPr>
                <w:rFonts w:ascii="Tahoma" w:hAnsi="Tahoma" w:cs="Tahoma"/>
                <w:bCs/>
                <w:color w:val="000000"/>
                <w:sz w:val="14"/>
                <w:szCs w:val="14"/>
                <w:lang w:val="it-IT" w:eastAsia="it-IT"/>
              </w:rPr>
            </w:pPr>
            <w:r w:rsidRPr="00AC5E4B">
              <w:rPr>
                <w:rFonts w:ascii="Tahoma" w:hAnsi="Tahoma" w:cs="Tahoma"/>
                <w:iCs/>
                <w:color w:val="333333"/>
                <w:sz w:val="14"/>
                <w:szCs w:val="14"/>
                <w:lang w:val="it-IT" w:eastAsia="it-IT"/>
              </w:rPr>
              <w:t>Guest Editors:</w:t>
            </w:r>
            <w:r w:rsidRPr="00AC5E4B">
              <w:rPr>
                <w:rFonts w:ascii="Tahoma" w:hAnsi="Tahoma" w:cs="Tahoma"/>
                <w:color w:val="000000"/>
                <w:sz w:val="14"/>
                <w:szCs w:val="14"/>
                <w:shd w:val="clear" w:color="auto" w:fill="FFFFFF"/>
                <w:lang w:val="it-IT"/>
              </w:rPr>
              <w:t xml:space="preserve"> </w:t>
            </w:r>
            <w:r w:rsidRPr="00AC5E4B">
              <w:rPr>
                <w:sz w:val="14"/>
                <w:szCs w:val="14"/>
                <w:lang w:val="it-IT"/>
              </w:rPr>
              <w:t>Selena Sironi, Laura Capelli</w:t>
            </w:r>
          </w:p>
          <w:p w14:paraId="0DE3194A" w14:textId="77777777" w:rsidR="00F7368B" w:rsidRPr="00B918E6" w:rsidRDefault="00F7368B" w:rsidP="007E0AD1">
            <w:pPr>
              <w:tabs>
                <w:tab w:val="left" w:pos="-108"/>
              </w:tabs>
              <w:spacing w:line="140" w:lineRule="atLeast"/>
              <w:ind w:left="-107"/>
              <w:jc w:val="left"/>
            </w:pPr>
            <w:r w:rsidRPr="00B918E6">
              <w:rPr>
                <w:rFonts w:ascii="Tahoma" w:hAnsi="Tahoma" w:cs="Tahoma"/>
                <w:iCs/>
                <w:color w:val="333333"/>
                <w:sz w:val="14"/>
                <w:szCs w:val="14"/>
                <w:lang w:eastAsia="it-IT"/>
              </w:rPr>
              <w:t>Copyright © 2024, AIDIC Servizi S.r.l.</w:t>
            </w:r>
            <w:r w:rsidRPr="00B918E6">
              <w:rPr>
                <w:rFonts w:ascii="Tahoma" w:hAnsi="Tahoma" w:cs="Tahoma"/>
                <w:iCs/>
                <w:color w:val="333333"/>
                <w:sz w:val="14"/>
                <w:szCs w:val="14"/>
                <w:lang w:eastAsia="it-IT"/>
              </w:rPr>
              <w:br/>
            </w:r>
            <w:r w:rsidRPr="00B918E6">
              <w:rPr>
                <w:rFonts w:ascii="Tahoma" w:hAnsi="Tahoma" w:cs="Tahoma"/>
                <w:b/>
                <w:iCs/>
                <w:color w:val="000000"/>
                <w:sz w:val="14"/>
                <w:szCs w:val="14"/>
                <w:lang w:eastAsia="it-IT"/>
              </w:rPr>
              <w:t>ISBN</w:t>
            </w:r>
            <w:r w:rsidRPr="00B918E6">
              <w:rPr>
                <w:rFonts w:ascii="Tahoma" w:hAnsi="Tahoma" w:cs="Tahoma"/>
                <w:iCs/>
                <w:color w:val="000000"/>
                <w:sz w:val="14"/>
                <w:szCs w:val="14"/>
                <w:lang w:eastAsia="it-IT"/>
              </w:rPr>
              <w:t xml:space="preserve"> </w:t>
            </w:r>
            <w:r w:rsidRPr="00B918E6">
              <w:rPr>
                <w:rFonts w:ascii="Tahoma" w:hAnsi="Tahoma" w:cs="Tahoma"/>
                <w:sz w:val="14"/>
                <w:szCs w:val="14"/>
              </w:rPr>
              <w:t>979-12-81206-13-7</w:t>
            </w:r>
            <w:r w:rsidRPr="00B918E6">
              <w:rPr>
                <w:rFonts w:ascii="Tahoma" w:hAnsi="Tahoma" w:cs="Tahoma"/>
                <w:iCs/>
                <w:color w:val="333333"/>
                <w:sz w:val="14"/>
                <w:szCs w:val="14"/>
                <w:lang w:eastAsia="it-IT"/>
              </w:rPr>
              <w:t xml:space="preserve">; </w:t>
            </w:r>
            <w:r w:rsidRPr="00B918E6">
              <w:rPr>
                <w:rFonts w:ascii="Tahoma" w:hAnsi="Tahoma" w:cs="Tahoma"/>
                <w:b/>
                <w:iCs/>
                <w:color w:val="333333"/>
                <w:sz w:val="14"/>
                <w:szCs w:val="14"/>
                <w:lang w:eastAsia="it-IT"/>
              </w:rPr>
              <w:t>ISSN</w:t>
            </w:r>
            <w:r w:rsidRPr="00B918E6">
              <w:rPr>
                <w:rFonts w:ascii="Tahoma" w:hAnsi="Tahoma" w:cs="Tahoma"/>
                <w:iCs/>
                <w:color w:val="333333"/>
                <w:sz w:val="14"/>
                <w:szCs w:val="14"/>
                <w:lang w:eastAsia="it-IT"/>
              </w:rPr>
              <w:t xml:space="preserve"> 2283-9216</w:t>
            </w:r>
          </w:p>
        </w:tc>
      </w:tr>
    </w:tbl>
    <w:p w14:paraId="433B1E42" w14:textId="1EA7E6A5" w:rsidR="009B540B" w:rsidRPr="00B918E6" w:rsidRDefault="00EF072F" w:rsidP="009B540B">
      <w:pPr>
        <w:pStyle w:val="CETTitle"/>
      </w:pPr>
      <w:r w:rsidRPr="00B918E6">
        <w:t>Assessing the significance of fugitive emissions from a landfill biogas collecting system using a quantitative optical gas imaging (QOGI) method</w:t>
      </w:r>
      <w:r w:rsidR="00F54350" w:rsidRPr="00B918E6">
        <w:t>: a case study</w:t>
      </w:r>
    </w:p>
    <w:p w14:paraId="2B3CA35C" w14:textId="21A9069F" w:rsidR="00E978D0" w:rsidRPr="00AC5E4B" w:rsidRDefault="009B540B" w:rsidP="00AB5011">
      <w:pPr>
        <w:pStyle w:val="CETAuthors"/>
        <w:rPr>
          <w:noProof w:val="0"/>
          <w:lang w:val="it-IT"/>
        </w:rPr>
      </w:pPr>
      <w:r w:rsidRPr="00AC5E4B">
        <w:rPr>
          <w:noProof w:val="0"/>
          <w:lang w:val="it-IT"/>
        </w:rPr>
        <w:t xml:space="preserve">Federico </w:t>
      </w:r>
      <w:proofErr w:type="gramStart"/>
      <w:r w:rsidRPr="00AC5E4B">
        <w:rPr>
          <w:noProof w:val="0"/>
          <w:lang w:val="it-IT"/>
        </w:rPr>
        <w:t>Cangialosi</w:t>
      </w:r>
      <w:r w:rsidR="001F0A41" w:rsidRPr="00AC5E4B">
        <w:rPr>
          <w:noProof w:val="0"/>
          <w:vertAlign w:val="superscript"/>
          <w:lang w:val="it-IT"/>
        </w:rPr>
        <w:t>a,</w:t>
      </w:r>
      <w:r w:rsidR="001F0A41" w:rsidRPr="00AC5E4B">
        <w:rPr>
          <w:noProof w:val="0"/>
          <w:lang w:val="it-IT"/>
        </w:rPr>
        <w:t>*</w:t>
      </w:r>
      <w:proofErr w:type="gramEnd"/>
      <w:r w:rsidR="00600535" w:rsidRPr="00AC5E4B">
        <w:rPr>
          <w:noProof w:val="0"/>
          <w:lang w:val="it-IT"/>
        </w:rPr>
        <w:t xml:space="preserve">, </w:t>
      </w:r>
      <w:r w:rsidR="00EF072F" w:rsidRPr="00AC5E4B">
        <w:rPr>
          <w:noProof w:val="0"/>
          <w:lang w:val="it-IT"/>
        </w:rPr>
        <w:t>Luciana Milella</w:t>
      </w:r>
      <w:r w:rsidR="00EF072F" w:rsidRPr="00AC5E4B">
        <w:rPr>
          <w:noProof w:val="0"/>
          <w:vertAlign w:val="superscript"/>
          <w:lang w:val="it-IT"/>
        </w:rPr>
        <w:t>a</w:t>
      </w:r>
      <w:r w:rsidR="00EF072F" w:rsidRPr="00AC5E4B">
        <w:rPr>
          <w:noProof w:val="0"/>
          <w:lang w:val="it-IT"/>
        </w:rPr>
        <w:t xml:space="preserve">, </w:t>
      </w:r>
      <w:r w:rsidR="005C3E58" w:rsidRPr="00AC5E4B">
        <w:rPr>
          <w:noProof w:val="0"/>
          <w:lang w:val="it-IT"/>
        </w:rPr>
        <w:t>Antonio Fornaro</w:t>
      </w:r>
      <w:r w:rsidR="00600535" w:rsidRPr="00AC5E4B">
        <w:rPr>
          <w:noProof w:val="0"/>
          <w:vertAlign w:val="superscript"/>
          <w:lang w:val="it-IT"/>
        </w:rPr>
        <w:t>b</w:t>
      </w:r>
    </w:p>
    <w:p w14:paraId="38D29194" w14:textId="31B6CE8C" w:rsidR="00E978D0" w:rsidRPr="00AC5E4B" w:rsidRDefault="00E978D0" w:rsidP="007E7559">
      <w:pPr>
        <w:pStyle w:val="CETAddress"/>
        <w:rPr>
          <w:noProof w:val="0"/>
          <w:lang w:val="it-IT"/>
        </w:rPr>
      </w:pPr>
      <w:r w:rsidRPr="00AC5E4B">
        <w:rPr>
          <w:noProof w:val="0"/>
          <w:vertAlign w:val="superscript"/>
          <w:lang w:val="it-IT"/>
        </w:rPr>
        <w:t>a</w:t>
      </w:r>
      <w:r w:rsidR="009B540B" w:rsidRPr="00AC5E4B">
        <w:rPr>
          <w:noProof w:val="0"/>
          <w:lang w:val="it-IT"/>
        </w:rPr>
        <w:t xml:space="preserve">T&amp;A - Tecnologia e Ambiente Srl, </w:t>
      </w:r>
      <w:r w:rsidR="00EF072F" w:rsidRPr="00AC5E4B">
        <w:rPr>
          <w:noProof w:val="0"/>
          <w:lang w:val="it-IT"/>
        </w:rPr>
        <w:t>Via Michele Mummolo, 13 - 70017 Putignano (BA),</w:t>
      </w:r>
      <w:r w:rsidR="009B540B" w:rsidRPr="00AC5E4B">
        <w:rPr>
          <w:noProof w:val="0"/>
          <w:lang w:val="it-IT"/>
        </w:rPr>
        <w:t xml:space="preserve"> Italy</w:t>
      </w:r>
      <w:r w:rsidRPr="00AC5E4B">
        <w:rPr>
          <w:noProof w:val="0"/>
          <w:lang w:val="it-IT"/>
        </w:rPr>
        <w:t xml:space="preserve"> </w:t>
      </w:r>
    </w:p>
    <w:p w14:paraId="1E718FE8" w14:textId="2D20EAFB" w:rsidR="005C3E58" w:rsidRPr="00AC5E4B" w:rsidRDefault="009B540B" w:rsidP="007E7559">
      <w:pPr>
        <w:pStyle w:val="CETAddress"/>
        <w:rPr>
          <w:noProof w:val="0"/>
          <w:lang w:val="it-IT"/>
        </w:rPr>
      </w:pPr>
      <w:r w:rsidRPr="00AC5E4B">
        <w:rPr>
          <w:noProof w:val="0"/>
          <w:lang w:val="it-IT"/>
        </w:rPr>
        <w:t>federico</w:t>
      </w:r>
      <w:r w:rsidR="00600535" w:rsidRPr="00AC5E4B">
        <w:rPr>
          <w:noProof w:val="0"/>
          <w:lang w:val="it-IT"/>
        </w:rPr>
        <w:t>.</w:t>
      </w:r>
      <w:r w:rsidRPr="00AC5E4B">
        <w:rPr>
          <w:noProof w:val="0"/>
          <w:lang w:val="it-IT"/>
        </w:rPr>
        <w:t>cangialosi</w:t>
      </w:r>
      <w:r w:rsidR="00600535" w:rsidRPr="00AC5E4B">
        <w:rPr>
          <w:noProof w:val="0"/>
          <w:lang w:val="it-IT"/>
        </w:rPr>
        <w:t>@</w:t>
      </w:r>
      <w:r w:rsidRPr="00AC5E4B">
        <w:rPr>
          <w:noProof w:val="0"/>
          <w:lang w:val="it-IT"/>
        </w:rPr>
        <w:t>icloud</w:t>
      </w:r>
      <w:r w:rsidR="00600535" w:rsidRPr="00AC5E4B">
        <w:rPr>
          <w:noProof w:val="0"/>
          <w:lang w:val="it-IT"/>
        </w:rPr>
        <w:t>.com</w:t>
      </w:r>
    </w:p>
    <w:p w14:paraId="48E66C89" w14:textId="1A51C70E" w:rsidR="005C3E58" w:rsidRPr="00AC5E4B" w:rsidRDefault="005C3E58" w:rsidP="007E7559">
      <w:pPr>
        <w:pStyle w:val="CETAddress"/>
        <w:rPr>
          <w:noProof w:val="0"/>
          <w:lang w:val="it-IT"/>
        </w:rPr>
      </w:pPr>
      <w:r w:rsidRPr="00AC5E4B">
        <w:rPr>
          <w:noProof w:val="0"/>
          <w:vertAlign w:val="superscript"/>
          <w:lang w:val="it-IT"/>
        </w:rPr>
        <w:t>b</w:t>
      </w:r>
      <w:r w:rsidRPr="00AC5E4B">
        <w:rPr>
          <w:noProof w:val="0"/>
          <w:lang w:val="it-IT"/>
        </w:rPr>
        <w:t xml:space="preserve">Lab Service Analytica S.R.L., via Emilia 51/c – 40011 Anzola dell'Emilia (BO), Italy </w:t>
      </w:r>
    </w:p>
    <w:p w14:paraId="62955941" w14:textId="77777777" w:rsidR="007E7559" w:rsidRPr="00AC5E4B" w:rsidRDefault="007E7559" w:rsidP="00BA05CD">
      <w:pPr>
        <w:pStyle w:val="CETBodytext"/>
        <w:rPr>
          <w:lang w:val="it-IT"/>
        </w:rPr>
      </w:pPr>
    </w:p>
    <w:p w14:paraId="3DCC23BD" w14:textId="07D03CA4" w:rsidR="00A81211" w:rsidRPr="00B918E6" w:rsidRDefault="00BA05CD" w:rsidP="007E7559">
      <w:pPr>
        <w:pStyle w:val="CETBodytext"/>
        <w:rPr>
          <w:lang w:val="en-GB"/>
        </w:rPr>
      </w:pPr>
      <w:r w:rsidRPr="00B918E6">
        <w:rPr>
          <w:lang w:val="en-GB"/>
        </w:rPr>
        <w:t xml:space="preserve">The biogas collection system in landfills is a crucial environmental safeguard aimed at either recovering gas energy or producing biomethane. However, the unintentional release of biogas during collection and utilization processes poses an environmental risk due to its high greenhouse potential and could significantly contribute to overall </w:t>
      </w:r>
      <w:r w:rsidR="00444FF4" w:rsidRPr="00B918E6">
        <w:rPr>
          <w:lang w:val="en-GB"/>
        </w:rPr>
        <w:t>odour</w:t>
      </w:r>
      <w:r w:rsidRPr="00B918E6">
        <w:rPr>
          <w:lang w:val="en-GB"/>
        </w:rPr>
        <w:t xml:space="preserve"> emissions from landfills. While recent studies have addressed </w:t>
      </w:r>
      <w:r w:rsidR="00444FF4" w:rsidRPr="00B918E6">
        <w:rPr>
          <w:lang w:val="en-GB"/>
        </w:rPr>
        <w:t>odour</w:t>
      </w:r>
      <w:r w:rsidRPr="00B918E6">
        <w:rPr>
          <w:lang w:val="en-GB"/>
        </w:rPr>
        <w:t xml:space="preserve"> emission issues from the landfill surface, there is a notable gap in research focusing on the impact of fugitive biogas emissions on </w:t>
      </w:r>
      <w:r w:rsidR="00444FF4" w:rsidRPr="00B918E6">
        <w:rPr>
          <w:lang w:val="en-GB"/>
        </w:rPr>
        <w:t>odour</w:t>
      </w:r>
      <w:r w:rsidRPr="00B918E6">
        <w:rPr>
          <w:lang w:val="en-GB"/>
        </w:rPr>
        <w:t xml:space="preserve"> impact assessment.</w:t>
      </w:r>
      <w:r w:rsidR="00E13605" w:rsidRPr="00B918E6">
        <w:rPr>
          <w:lang w:val="en-GB"/>
        </w:rPr>
        <w:t xml:space="preserve"> </w:t>
      </w:r>
      <w:r w:rsidRPr="00B918E6">
        <w:rPr>
          <w:lang w:val="en-GB"/>
        </w:rPr>
        <w:t xml:space="preserve">The escape of pure biogas from the collection system has an extreme </w:t>
      </w:r>
      <w:r w:rsidR="00696741">
        <w:rPr>
          <w:lang w:val="en-GB"/>
        </w:rPr>
        <w:t>odorous</w:t>
      </w:r>
      <w:r w:rsidRPr="00B918E6">
        <w:rPr>
          <w:lang w:val="en-GB"/>
        </w:rPr>
        <w:t xml:space="preserve"> impact compared to biogas emissions from the landfill surface, which are significantly depleted in </w:t>
      </w:r>
      <w:r w:rsidR="00444FF4" w:rsidRPr="00B918E6">
        <w:rPr>
          <w:lang w:val="en-GB"/>
        </w:rPr>
        <w:t>odour</w:t>
      </w:r>
      <w:r w:rsidRPr="00B918E6">
        <w:rPr>
          <w:lang w:val="en-GB"/>
        </w:rPr>
        <w:t xml:space="preserve"> concentration. Moreover, while technical guidelines exist for evaluating biogas dispersion from the landfill surface, comprehensive studies addressing fugitive emissions from landfills are still lacking.</w:t>
      </w:r>
      <w:r w:rsidR="00E13605" w:rsidRPr="00B918E6">
        <w:rPr>
          <w:lang w:val="en-GB"/>
        </w:rPr>
        <w:t xml:space="preserve"> </w:t>
      </w:r>
      <w:r w:rsidRPr="00B918E6">
        <w:rPr>
          <w:lang w:val="en-GB"/>
        </w:rPr>
        <w:t xml:space="preserve">This paper proposes an approach for estimating the impact of fugitive biogas emissions on overall </w:t>
      </w:r>
      <w:r w:rsidR="00444FF4" w:rsidRPr="00B918E6">
        <w:rPr>
          <w:lang w:val="en-GB"/>
        </w:rPr>
        <w:t>odour</w:t>
      </w:r>
      <w:r w:rsidRPr="00B918E6">
        <w:rPr>
          <w:lang w:val="en-GB"/>
        </w:rPr>
        <w:t xml:space="preserve"> emissions from a non-hazardous landfill that collects biogas through a network of over 408 vertical wells. Initially, we assessed the mass flow rate of biogas leaks from each fugitive source using Quantitative Optical Gas Imaging (QOGI), a valuable tool in environmental monitoring that provides accurate real-time measurements of gas concentrations and flow rates.</w:t>
      </w:r>
      <w:r w:rsidR="00E13605" w:rsidRPr="00B918E6">
        <w:rPr>
          <w:lang w:val="en-GB"/>
        </w:rPr>
        <w:t xml:space="preserve"> </w:t>
      </w:r>
      <w:r w:rsidRPr="00B918E6">
        <w:rPr>
          <w:lang w:val="en-GB"/>
        </w:rPr>
        <w:t xml:space="preserve">QOGI measurements were compared with Flame Ionization Detector (FID) measurements on critical wells to evaluate the technique's reliability. After field validation of biogas fugitive flux measurements, a </w:t>
      </w:r>
      <w:proofErr w:type="spellStart"/>
      <w:r w:rsidRPr="00B918E6">
        <w:rPr>
          <w:lang w:val="en-GB"/>
        </w:rPr>
        <w:t>Langrangian</w:t>
      </w:r>
      <w:proofErr w:type="spellEnd"/>
      <w:r w:rsidRPr="00B918E6">
        <w:rPr>
          <w:lang w:val="en-GB"/>
        </w:rPr>
        <w:t xml:space="preserve"> puff model was used to compare overall </w:t>
      </w:r>
      <w:r w:rsidR="00444FF4" w:rsidRPr="00B918E6">
        <w:rPr>
          <w:lang w:val="en-GB"/>
        </w:rPr>
        <w:t>odour</w:t>
      </w:r>
      <w:r w:rsidRPr="00B918E6">
        <w:rPr>
          <w:lang w:val="en-GB"/>
        </w:rPr>
        <w:t xml:space="preserve"> exposure from the landfill, considering scenarios with and without fugitive emissions.</w:t>
      </w:r>
      <w:r w:rsidR="00E13605" w:rsidRPr="00B918E6">
        <w:rPr>
          <w:lang w:val="en-GB"/>
        </w:rPr>
        <w:t xml:space="preserve"> </w:t>
      </w:r>
      <w:r w:rsidRPr="00B918E6">
        <w:rPr>
          <w:lang w:val="en-GB"/>
        </w:rPr>
        <w:t xml:space="preserve">The significance of fugitive emissions in terms of </w:t>
      </w:r>
      <w:r w:rsidR="00444FF4" w:rsidRPr="00B918E6">
        <w:rPr>
          <w:lang w:val="en-GB"/>
        </w:rPr>
        <w:t>odour</w:t>
      </w:r>
      <w:r w:rsidRPr="00B918E6">
        <w:rPr>
          <w:lang w:val="en-GB"/>
        </w:rPr>
        <w:t xml:space="preserve"> impact on receptors was assessed at the level of individual biogas wells, driving improvements in landfill biogas collection. This approach enables design engineers and plant managers to reduce fugitive emissions by inspecting and repairing valves and connections within the wellfield system or by expanding the biogas capture network through the addition of new wells.</w:t>
      </w:r>
    </w:p>
    <w:p w14:paraId="476B2F2E" w14:textId="77777777" w:rsidR="00600535" w:rsidRPr="00B918E6" w:rsidRDefault="00600535" w:rsidP="007E7559">
      <w:pPr>
        <w:pStyle w:val="CETHeading1"/>
        <w:rPr>
          <w:lang w:val="en-GB"/>
        </w:rPr>
      </w:pPr>
      <w:r w:rsidRPr="00B918E6">
        <w:rPr>
          <w:lang w:val="en-GB"/>
        </w:rPr>
        <w:t>Introduction</w:t>
      </w:r>
    </w:p>
    <w:p w14:paraId="181AFB53" w14:textId="03E24D72" w:rsidR="003765DC" w:rsidRPr="00B918E6" w:rsidRDefault="003765DC" w:rsidP="00BA05CD">
      <w:pPr>
        <w:pStyle w:val="CETListbullets"/>
        <w:ind w:left="0" w:firstLine="0"/>
      </w:pPr>
      <w:r w:rsidRPr="00B918E6">
        <w:t xml:space="preserve">The release of </w:t>
      </w:r>
      <w:r w:rsidR="00444FF4" w:rsidRPr="00B918E6">
        <w:t>odour</w:t>
      </w:r>
      <w:r w:rsidRPr="00B918E6">
        <w:t xml:space="preserve"> emissions frequently emerges as a primary cause of citizens' complaints regarding local environmental quality. Landfill operations encounter significant challenges related to surface emissions of landfill gas (LFG) and emissions from freshly delivered waste (Capelli et al., 2008). While various techniques (analytical, sensory, and instrumental) prove useful in monitoring and assessing the impact of </w:t>
      </w:r>
      <w:r w:rsidR="00444FF4" w:rsidRPr="00B918E6">
        <w:t>odour</w:t>
      </w:r>
      <w:r w:rsidRPr="00B918E6">
        <w:t xml:space="preserve"> emissions from landfills (</w:t>
      </w:r>
      <w:proofErr w:type="spellStart"/>
      <w:r w:rsidRPr="00B918E6">
        <w:t>Gębicki</w:t>
      </w:r>
      <w:proofErr w:type="spellEnd"/>
      <w:r w:rsidRPr="00B918E6">
        <w:t xml:space="preserve"> et al., 2017), primarily associated with surface emissions of landfill biogas (</w:t>
      </w:r>
      <w:proofErr w:type="spellStart"/>
      <w:r w:rsidRPr="00B918E6">
        <w:t>Lucernoni</w:t>
      </w:r>
      <w:proofErr w:type="spellEnd"/>
      <w:r w:rsidRPr="00B918E6">
        <w:t xml:space="preserve"> et al., 2017), in recent years, the issue of LFG fugitive emissions has been increasingly acknowledged as a significant source not to be disregarded due to its high greenhouse potential and high </w:t>
      </w:r>
      <w:r w:rsidR="00444FF4" w:rsidRPr="00B918E6">
        <w:t>odour</w:t>
      </w:r>
      <w:r w:rsidRPr="00B918E6">
        <w:t xml:space="preserve">-producing impact. </w:t>
      </w:r>
      <w:r w:rsidR="0086051A" w:rsidRPr="00B918E6">
        <w:t>F</w:t>
      </w:r>
      <w:r w:rsidRPr="00B918E6">
        <w:t xml:space="preserve">ugitive emissions </w:t>
      </w:r>
      <w:r w:rsidR="0086051A" w:rsidRPr="00B918E6">
        <w:t xml:space="preserve">can be defined as </w:t>
      </w:r>
      <w:r w:rsidRPr="00B918E6">
        <w:t xml:space="preserve">emissions that are not intentionally produced by a stack or vent and may include leaks from industrial plants and pipelines. In the case of landfills, fugitive emissions encompass leaks from defective valves or seals, gas migration to the surface near wells, and non-productive discharges such as biogas flaring. Optical gas imaging (OGI) is included among the methods capable of detecting and identifying fugitive emissions of Volatile Organic Compounds in EN 17628:2022, with its methodology being theoretically applicable to methane: the application of OGI technology for identifying methane leaks (Ravikumar et al., 2017) could prove beneficial </w:t>
      </w:r>
      <w:r w:rsidRPr="00B918E6">
        <w:lastRenderedPageBreak/>
        <w:t xml:space="preserve">in reducing such </w:t>
      </w:r>
      <w:r w:rsidR="00444FF4" w:rsidRPr="00B918E6">
        <w:t>odour</w:t>
      </w:r>
      <w:r w:rsidRPr="00B918E6">
        <w:t xml:space="preserve"> emission sources. In this study, we utilized quantitative OGI (QOGI) to evaluate fugitive emissions from a landfill by measuring methane leak rates from the biogas collection system. The objective of the research is twofold: firstly, to assess the capability of QOGI in quantifying methane emission rates from fugitive emissions and verifying whether reasonable assumptions for emission rates are compatible, in terms of order of magnitude, with observed QOGI values. Subsequently, </w:t>
      </w:r>
      <w:r w:rsidR="00444FF4" w:rsidRPr="00B918E6">
        <w:t>odour</w:t>
      </w:r>
      <w:r w:rsidRPr="00B918E6">
        <w:t xml:space="preserve"> dispersion model</w:t>
      </w:r>
      <w:r w:rsidR="00696741">
        <w:t>l</w:t>
      </w:r>
      <w:r w:rsidRPr="00B918E6">
        <w:t>ing was conducted to evaluate the impact on receptors of estimated fugitive emissions, thus offering a case study in a field where comprehensive and detailed approaches for simulation purposes are still lacking (Barclay et al., 2023).</w:t>
      </w:r>
    </w:p>
    <w:p w14:paraId="57EC4A4F" w14:textId="4B6969C8" w:rsidR="00756DB8" w:rsidRPr="00B918E6" w:rsidRDefault="00384804" w:rsidP="00756DB8">
      <w:pPr>
        <w:pStyle w:val="CETHeading1"/>
        <w:rPr>
          <w:lang w:val="en-GB"/>
        </w:rPr>
      </w:pPr>
      <w:r w:rsidRPr="00B918E6">
        <w:rPr>
          <w:lang w:val="en-GB"/>
        </w:rPr>
        <w:t>Material</w:t>
      </w:r>
      <w:r w:rsidR="00626645" w:rsidRPr="00B918E6">
        <w:rPr>
          <w:lang w:val="en-GB"/>
        </w:rPr>
        <w:t>s</w:t>
      </w:r>
      <w:r w:rsidR="00756DB8" w:rsidRPr="00B918E6">
        <w:rPr>
          <w:lang w:val="en-GB"/>
        </w:rPr>
        <w:t xml:space="preserve"> and methods</w:t>
      </w:r>
    </w:p>
    <w:p w14:paraId="7E53BF27" w14:textId="4CFF941F" w:rsidR="00CE317F" w:rsidRPr="00B918E6" w:rsidRDefault="00CE317F" w:rsidP="00F61EFD">
      <w:pPr>
        <w:pStyle w:val="CETBodytext"/>
        <w:rPr>
          <w:lang w:val="en-GB"/>
        </w:rPr>
      </w:pPr>
      <w:r w:rsidRPr="00B918E6">
        <w:rPr>
          <w:lang w:val="en-GB"/>
        </w:rPr>
        <w:t>The research was undertaken at a non-hazardous landfill located in Taranto (Puglia, Italy). This landfill is divided into three operational lots: Lot I and Lot II, covering an area of 213,000 m</w:t>
      </w:r>
      <w:r w:rsidRPr="00B918E6">
        <w:rPr>
          <w:vertAlign w:val="superscript"/>
          <w:lang w:val="en-GB"/>
        </w:rPr>
        <w:t>2</w:t>
      </w:r>
      <w:r w:rsidRPr="00B918E6">
        <w:rPr>
          <w:lang w:val="en-GB"/>
        </w:rPr>
        <w:t>, and Lot III, spanning 185,000 m</w:t>
      </w:r>
      <w:r w:rsidRPr="00B918E6">
        <w:rPr>
          <w:vertAlign w:val="superscript"/>
          <w:lang w:val="en-GB"/>
        </w:rPr>
        <w:t>2</w:t>
      </w:r>
      <w:r w:rsidRPr="00B918E6">
        <w:rPr>
          <w:lang w:val="en-GB"/>
        </w:rPr>
        <w:t>. Lot I and Lot II are authorized to 6.2 Mm</w:t>
      </w:r>
      <w:r w:rsidRPr="00B918E6">
        <w:rPr>
          <w:vertAlign w:val="superscript"/>
          <w:lang w:val="en-GB"/>
        </w:rPr>
        <w:t>3</w:t>
      </w:r>
      <w:r w:rsidRPr="00B918E6">
        <w:rPr>
          <w:lang w:val="en-GB"/>
        </w:rPr>
        <w:t>, while Lot III has an authorized capacity of 4.6 Mm</w:t>
      </w:r>
      <w:r w:rsidRPr="00B918E6">
        <w:rPr>
          <w:vertAlign w:val="superscript"/>
          <w:lang w:val="en-GB"/>
        </w:rPr>
        <w:t>3</w:t>
      </w:r>
      <w:r w:rsidRPr="00B918E6">
        <w:rPr>
          <w:lang w:val="en-GB"/>
        </w:rPr>
        <w:t>. The investigation focused on Lots I and II for this study, as waste disposal activities have only recently begun in Lot III, making it not yet relevant in terms of LFG emissions. Further detailed site descriptions can be found elsewhere, as extensive investigations, including odour emission model</w:t>
      </w:r>
      <w:r w:rsidR="00696741">
        <w:rPr>
          <w:lang w:val="en-GB"/>
        </w:rPr>
        <w:t>l</w:t>
      </w:r>
      <w:r w:rsidRPr="00B918E6">
        <w:rPr>
          <w:lang w:val="en-GB"/>
        </w:rPr>
        <w:t xml:space="preserve">ing (Capelli et al., 2018) and fenceline </w:t>
      </w:r>
      <w:r w:rsidR="00444FF4" w:rsidRPr="00B918E6">
        <w:rPr>
          <w:lang w:val="en-GB"/>
        </w:rPr>
        <w:t>odour</w:t>
      </w:r>
      <w:r w:rsidRPr="00B918E6">
        <w:rPr>
          <w:lang w:val="en-GB"/>
        </w:rPr>
        <w:t xml:space="preserve"> monitoring using IOMS (Cangialosi et al., 2018), have been carried out at this site.</w:t>
      </w:r>
    </w:p>
    <w:p w14:paraId="1EDD6B1A" w14:textId="77777777" w:rsidR="004E4C17" w:rsidRPr="00B918E6" w:rsidRDefault="004E4C17" w:rsidP="00870537">
      <w:pPr>
        <w:pStyle w:val="CETBodytext"/>
        <w:rPr>
          <w:highlight w:val="yellow"/>
          <w:lang w:val="en-GB"/>
        </w:rPr>
      </w:pPr>
    </w:p>
    <w:p w14:paraId="2477EBB6" w14:textId="1CEEBC8C" w:rsidR="007B4ABA" w:rsidRPr="00B918E6" w:rsidRDefault="00385B54" w:rsidP="00A057D9">
      <w:pPr>
        <w:keepNext/>
        <w:numPr>
          <w:ilvl w:val="2"/>
          <w:numId w:val="1"/>
        </w:numPr>
        <w:tabs>
          <w:tab w:val="clear" w:pos="7100"/>
        </w:tabs>
        <w:suppressAutoHyphens/>
        <w:spacing w:before="120" w:after="120" w:line="240" w:lineRule="auto"/>
        <w:jc w:val="left"/>
        <w:rPr>
          <w:b/>
        </w:rPr>
      </w:pPr>
      <w:r w:rsidRPr="00B918E6">
        <w:rPr>
          <w:b/>
        </w:rPr>
        <w:t>B</w:t>
      </w:r>
      <w:r w:rsidR="00081739" w:rsidRPr="00B918E6">
        <w:rPr>
          <w:b/>
        </w:rPr>
        <w:t xml:space="preserve">iogas management </w:t>
      </w:r>
      <w:r w:rsidRPr="00B918E6">
        <w:rPr>
          <w:b/>
        </w:rPr>
        <w:t>system and control</w:t>
      </w:r>
    </w:p>
    <w:p w14:paraId="6D79B1C1" w14:textId="1AEEDD35" w:rsidR="005C52E8" w:rsidRPr="00B918E6" w:rsidRDefault="005C52E8" w:rsidP="005C52E8">
      <w:pPr>
        <w:pStyle w:val="CETBodytext"/>
        <w:rPr>
          <w:lang w:val="en-GB"/>
        </w:rPr>
      </w:pPr>
      <w:r w:rsidRPr="00B918E6">
        <w:rPr>
          <w:lang w:val="en-GB"/>
        </w:rPr>
        <w:t xml:space="preserve">The biogas management system currently in operation for Lots I and II was implemented in multiple phases over time. In Lot I the final implementation occurred over 10 phases from January 2006 to July 2019. This process involved both the drilling of new wells and the re-drilling of existing ones due to efficiency loss, resulting in a total of 169 operational biogas wells. In Lot II, the </w:t>
      </w:r>
      <w:r w:rsidR="00C86D11" w:rsidRPr="00B918E6">
        <w:rPr>
          <w:lang w:val="en-GB"/>
        </w:rPr>
        <w:t xml:space="preserve">development of </w:t>
      </w:r>
      <w:r w:rsidRPr="00B918E6">
        <w:rPr>
          <w:lang w:val="en-GB"/>
        </w:rPr>
        <w:t xml:space="preserve">biogas collection system </w:t>
      </w:r>
      <w:r w:rsidR="00C86D11" w:rsidRPr="00B918E6">
        <w:rPr>
          <w:lang w:val="en-GB"/>
        </w:rPr>
        <w:t>occurred</w:t>
      </w:r>
      <w:r w:rsidRPr="00B918E6">
        <w:rPr>
          <w:lang w:val="en-GB"/>
        </w:rPr>
        <w:t xml:space="preserve"> in 9 phases from December 2013 to November 2021, </w:t>
      </w:r>
      <w:r w:rsidR="00C86D11" w:rsidRPr="00B918E6">
        <w:rPr>
          <w:lang w:val="en-GB"/>
        </w:rPr>
        <w:t xml:space="preserve">resulting in the </w:t>
      </w:r>
      <w:r w:rsidRPr="00B918E6">
        <w:rPr>
          <w:lang w:val="en-GB"/>
        </w:rPr>
        <w:t>construction and gas collection from 239 wells.</w:t>
      </w:r>
    </w:p>
    <w:p w14:paraId="741FB750" w14:textId="7FC5BDCE" w:rsidR="0061699E" w:rsidRPr="00B918E6" w:rsidRDefault="005C52E8" w:rsidP="00A25F35">
      <w:pPr>
        <w:pStyle w:val="CETBodytext"/>
        <w:rPr>
          <w:lang w:val="en-GB"/>
        </w:rPr>
      </w:pPr>
      <w:r w:rsidRPr="00B918E6">
        <w:rPr>
          <w:lang w:val="en-GB"/>
        </w:rPr>
        <w:t>To achieve energy recovery, two engines with capacities of 1</w:t>
      </w:r>
      <w:r w:rsidR="00444FF4" w:rsidRPr="00B918E6">
        <w:rPr>
          <w:lang w:val="en-GB"/>
        </w:rPr>
        <w:t>.</w:t>
      </w:r>
      <w:r w:rsidRPr="00B918E6">
        <w:rPr>
          <w:lang w:val="en-GB"/>
        </w:rPr>
        <w:t>065 MW and 0.995 MW are utilized, resulting in a total recovery rate of 1</w:t>
      </w:r>
      <w:r w:rsidR="00444FF4" w:rsidRPr="00B918E6">
        <w:rPr>
          <w:lang w:val="en-GB"/>
        </w:rPr>
        <w:t>,</w:t>
      </w:r>
      <w:r w:rsidRPr="00B918E6">
        <w:rPr>
          <w:lang w:val="en-GB"/>
        </w:rPr>
        <w:t>000 Nm</w:t>
      </w:r>
      <w:r w:rsidRPr="00B918E6">
        <w:rPr>
          <w:vertAlign w:val="superscript"/>
          <w:lang w:val="en-GB"/>
        </w:rPr>
        <w:t>3</w:t>
      </w:r>
      <w:r w:rsidRPr="00B918E6">
        <w:rPr>
          <w:lang w:val="en-GB"/>
        </w:rPr>
        <w:t>/h. Additionally, three blower-flare facilities</w:t>
      </w:r>
      <w:r w:rsidR="00C86D11" w:rsidRPr="00B918E6">
        <w:rPr>
          <w:lang w:val="en-GB"/>
        </w:rPr>
        <w:t>,</w:t>
      </w:r>
      <w:r w:rsidRPr="00B918E6">
        <w:rPr>
          <w:lang w:val="en-GB"/>
        </w:rPr>
        <w:t xml:space="preserve"> with nominal capacities of 2</w:t>
      </w:r>
      <w:r w:rsidR="00444FF4" w:rsidRPr="00B918E6">
        <w:rPr>
          <w:lang w:val="en-GB"/>
        </w:rPr>
        <w:t>,</w:t>
      </w:r>
      <w:r w:rsidRPr="00B918E6">
        <w:rPr>
          <w:lang w:val="en-GB"/>
        </w:rPr>
        <w:t>000, 1</w:t>
      </w:r>
      <w:r w:rsidR="00444FF4" w:rsidRPr="00B918E6">
        <w:rPr>
          <w:lang w:val="en-GB"/>
        </w:rPr>
        <w:t>,</w:t>
      </w:r>
      <w:r w:rsidRPr="00B918E6">
        <w:rPr>
          <w:lang w:val="en-GB"/>
        </w:rPr>
        <w:t>000, and 500 Nm</w:t>
      </w:r>
      <w:r w:rsidRPr="00B918E6">
        <w:rPr>
          <w:vertAlign w:val="superscript"/>
          <w:lang w:val="en-GB"/>
        </w:rPr>
        <w:t>3</w:t>
      </w:r>
      <w:r w:rsidRPr="00B918E6">
        <w:rPr>
          <w:lang w:val="en-GB"/>
        </w:rPr>
        <w:t xml:space="preserve">/h respectively, are employed to </w:t>
      </w:r>
      <w:r w:rsidR="00CA2B8C">
        <w:rPr>
          <w:lang w:val="en-GB"/>
        </w:rPr>
        <w:t>manage</w:t>
      </w:r>
      <w:r w:rsidRPr="00B918E6">
        <w:rPr>
          <w:lang w:val="en-GB"/>
        </w:rPr>
        <w:t xml:space="preserve"> biogas collection beyond the engine capacity</w:t>
      </w:r>
      <w:r w:rsidR="00C86D11" w:rsidRPr="00B918E6">
        <w:rPr>
          <w:lang w:val="en-GB"/>
        </w:rPr>
        <w:t>:</w:t>
      </w:r>
      <w:r w:rsidRPr="00B918E6">
        <w:rPr>
          <w:lang w:val="en-GB"/>
        </w:rPr>
        <w:t xml:space="preserve"> </w:t>
      </w:r>
      <w:r w:rsidR="00C86D11" w:rsidRPr="00B918E6">
        <w:rPr>
          <w:lang w:val="en-GB"/>
        </w:rPr>
        <w:t>t</w:t>
      </w:r>
      <w:r w:rsidRPr="00B918E6">
        <w:rPr>
          <w:lang w:val="en-GB"/>
        </w:rPr>
        <w:t>he static and/or dynamic flares supporting the existing biogas network are activated as needed based on differential pressures measured at each individual capture well.</w:t>
      </w:r>
      <w:r w:rsidR="00C86D11" w:rsidRPr="00B918E6">
        <w:rPr>
          <w:lang w:val="en-GB"/>
        </w:rPr>
        <w:t xml:space="preserve"> </w:t>
      </w:r>
      <w:r w:rsidRPr="00B918E6">
        <w:rPr>
          <w:lang w:val="en-GB"/>
        </w:rPr>
        <w:t xml:space="preserve">The </w:t>
      </w:r>
      <w:r w:rsidR="00C86D11" w:rsidRPr="00B918E6">
        <w:rPr>
          <w:lang w:val="en-GB"/>
        </w:rPr>
        <w:t xml:space="preserve">average composition of recovered </w:t>
      </w:r>
      <w:r w:rsidRPr="00B918E6">
        <w:rPr>
          <w:lang w:val="en-GB"/>
        </w:rPr>
        <w:t xml:space="preserve">biogas </w:t>
      </w:r>
      <w:r w:rsidR="00C86D11" w:rsidRPr="00B918E6">
        <w:rPr>
          <w:lang w:val="en-GB"/>
        </w:rPr>
        <w:t xml:space="preserve">is: </w:t>
      </w:r>
      <w:r w:rsidRPr="00B918E6">
        <w:rPr>
          <w:lang w:val="en-GB"/>
        </w:rPr>
        <w:t>55% CH</w:t>
      </w:r>
      <w:r w:rsidRPr="00B918E6">
        <w:rPr>
          <w:vertAlign w:val="subscript"/>
          <w:lang w:val="en-GB"/>
        </w:rPr>
        <w:t>4</w:t>
      </w:r>
      <w:r w:rsidRPr="00B918E6">
        <w:rPr>
          <w:lang w:val="en-GB"/>
        </w:rPr>
        <w:t>, 30% CO</w:t>
      </w:r>
      <w:r w:rsidRPr="00B918E6">
        <w:rPr>
          <w:vertAlign w:val="subscript"/>
          <w:lang w:val="en-GB"/>
        </w:rPr>
        <w:t>2</w:t>
      </w:r>
      <w:r w:rsidRPr="00B918E6">
        <w:rPr>
          <w:lang w:val="en-GB"/>
        </w:rPr>
        <w:t>, 3% O</w:t>
      </w:r>
      <w:r w:rsidRPr="00B918E6">
        <w:rPr>
          <w:vertAlign w:val="subscript"/>
          <w:lang w:val="en-GB"/>
        </w:rPr>
        <w:t>2</w:t>
      </w:r>
      <w:r w:rsidRPr="00B918E6">
        <w:rPr>
          <w:lang w:val="en-GB"/>
        </w:rPr>
        <w:t>, and 11% N</w:t>
      </w:r>
      <w:r w:rsidRPr="00B918E6">
        <w:rPr>
          <w:vertAlign w:val="subscript"/>
          <w:lang w:val="en-GB"/>
        </w:rPr>
        <w:t>2</w:t>
      </w:r>
      <w:r w:rsidRPr="00B918E6">
        <w:rPr>
          <w:lang w:val="en-GB"/>
        </w:rPr>
        <w:t>, with other components in trace</w:t>
      </w:r>
      <w:r w:rsidR="00C86D11" w:rsidRPr="00B918E6">
        <w:rPr>
          <w:lang w:val="en-GB"/>
        </w:rPr>
        <w:t>s</w:t>
      </w:r>
      <w:r w:rsidRPr="00B918E6">
        <w:rPr>
          <w:lang w:val="en-GB"/>
        </w:rPr>
        <w:t xml:space="preserve"> (&lt;1%).</w:t>
      </w:r>
      <w:r w:rsidR="00C86D11" w:rsidRPr="00B918E6">
        <w:rPr>
          <w:lang w:val="en-GB"/>
        </w:rPr>
        <w:t xml:space="preserve"> </w:t>
      </w:r>
      <w:r w:rsidRPr="00B918E6">
        <w:rPr>
          <w:lang w:val="en-GB"/>
        </w:rPr>
        <w:t>As part of the monitoring and control plan, monthly survey</w:t>
      </w:r>
      <w:r w:rsidR="00C86D11" w:rsidRPr="00B918E6">
        <w:rPr>
          <w:lang w:val="en-GB"/>
        </w:rPr>
        <w:t>s</w:t>
      </w:r>
      <w:r w:rsidRPr="00B918E6">
        <w:rPr>
          <w:lang w:val="en-GB"/>
        </w:rPr>
        <w:t xml:space="preserve"> of surface gas emissions </w:t>
      </w:r>
      <w:r w:rsidR="00C86D11" w:rsidRPr="00B918E6">
        <w:rPr>
          <w:lang w:val="en-GB"/>
        </w:rPr>
        <w:t>are</w:t>
      </w:r>
      <w:r w:rsidRPr="00B918E6">
        <w:rPr>
          <w:lang w:val="en-GB"/>
        </w:rPr>
        <w:t xml:space="preserve"> conducted following the UK EA Guidance (UK EA, 2010) which provides a </w:t>
      </w:r>
      <w:r w:rsidR="00AE2431" w:rsidRPr="00B918E6">
        <w:rPr>
          <w:lang w:val="en-GB"/>
        </w:rPr>
        <w:t>protocol</w:t>
      </w:r>
      <w:r w:rsidRPr="00B918E6">
        <w:rPr>
          <w:lang w:val="en-GB"/>
        </w:rPr>
        <w:t xml:space="preserve"> to evaluate the impact of landfill gas emissions and calculate the diffuse emissions from the landfill surface. The monitoring results, </w:t>
      </w:r>
      <w:r w:rsidR="00C86D11" w:rsidRPr="00B918E6">
        <w:rPr>
          <w:lang w:val="en-GB"/>
        </w:rPr>
        <w:t>along</w:t>
      </w:r>
      <w:r w:rsidRPr="00B918E6">
        <w:rPr>
          <w:lang w:val="en-GB"/>
        </w:rPr>
        <w:t xml:space="preserve"> with information on the </w:t>
      </w:r>
      <w:r w:rsidR="00C86D11" w:rsidRPr="00B918E6">
        <w:rPr>
          <w:lang w:val="en-GB"/>
        </w:rPr>
        <w:t>volumes</w:t>
      </w:r>
      <w:r w:rsidRPr="00B918E6">
        <w:rPr>
          <w:lang w:val="en-GB"/>
        </w:rPr>
        <w:t xml:space="preserve"> of captured biogas, are currently utilized to assess the efficiency of biogas capture from the wells</w:t>
      </w:r>
      <w:r w:rsidR="00C86D11" w:rsidRPr="00B918E6">
        <w:rPr>
          <w:lang w:val="en-GB"/>
        </w:rPr>
        <w:t>:</w:t>
      </w:r>
      <w:r w:rsidRPr="00B918E6">
        <w:rPr>
          <w:lang w:val="en-GB"/>
        </w:rPr>
        <w:t xml:space="preserve"> </w:t>
      </w:r>
      <w:r w:rsidR="00C86D11" w:rsidRPr="00B918E6">
        <w:rPr>
          <w:lang w:val="en-GB"/>
        </w:rPr>
        <w:t>t</w:t>
      </w:r>
      <w:r w:rsidRPr="00B918E6">
        <w:rPr>
          <w:lang w:val="en-GB"/>
        </w:rPr>
        <w:t xml:space="preserve">his efficiency is calculated as the ratio between the mass of collected gas and the sum of the collected and diffuse biogas, with the latter being measured according to the UK </w:t>
      </w:r>
      <w:r w:rsidR="0061699E" w:rsidRPr="00B918E6">
        <w:rPr>
          <w:lang w:val="en-GB"/>
        </w:rPr>
        <w:t>EA g</w:t>
      </w:r>
      <w:r w:rsidRPr="00B918E6">
        <w:rPr>
          <w:lang w:val="en-GB"/>
        </w:rPr>
        <w:t>uid</w:t>
      </w:r>
      <w:r w:rsidR="00C86D11" w:rsidRPr="00B918E6">
        <w:rPr>
          <w:lang w:val="en-GB"/>
        </w:rPr>
        <w:t>ance</w:t>
      </w:r>
      <w:r w:rsidR="0061699E" w:rsidRPr="00B918E6">
        <w:rPr>
          <w:lang w:val="en-GB"/>
        </w:rPr>
        <w:t xml:space="preserve"> (2010)</w:t>
      </w:r>
      <w:r w:rsidR="00C86D11" w:rsidRPr="00B918E6">
        <w:rPr>
          <w:lang w:val="en-GB"/>
        </w:rPr>
        <w:t>.</w:t>
      </w:r>
      <w:r w:rsidR="0061699E" w:rsidRPr="00B918E6">
        <w:rPr>
          <w:lang w:val="en-GB"/>
        </w:rPr>
        <w:t xml:space="preserve"> Nevertheless, for a more accurate estimation of capture efficiency, it may be important to consider fugitive emissions from the entire landfill gas collection system (wells, wellheads, pipe junctions, etc.), as it is not known to what extent fugitive emissions from the biogas management system are relevant to the overall biogas budget (recovered, diffuse from the surface, fugitive). To address this issue, a Leak Detection and Repair (LDAR) survey has been undertaken on the landfill surface over the past four years to identify and mitigate </w:t>
      </w:r>
      <w:r w:rsidR="00AE2431" w:rsidRPr="00B918E6">
        <w:rPr>
          <w:lang w:val="en-GB"/>
        </w:rPr>
        <w:t xml:space="preserve">fugitive </w:t>
      </w:r>
      <w:r w:rsidR="0061699E" w:rsidRPr="00B918E6">
        <w:rPr>
          <w:lang w:val="en-GB"/>
        </w:rPr>
        <w:t xml:space="preserve">emissions of biogas by employing the OGI method. Once the leaks were identified with OGI, their significance was assessed using a portable Flame Ionization Detector (FID) in walkover mode (UK EA, 2010). </w:t>
      </w:r>
      <w:r w:rsidR="00ED767A" w:rsidRPr="00B918E6">
        <w:rPr>
          <w:lang w:val="en-GB"/>
        </w:rPr>
        <w:t xml:space="preserve">OGI </w:t>
      </w:r>
      <w:r w:rsidR="0061699E" w:rsidRPr="00B918E6">
        <w:rPr>
          <w:lang w:val="en-GB"/>
        </w:rPr>
        <w:t>employs</w:t>
      </w:r>
      <w:r w:rsidR="00ED767A" w:rsidRPr="00B918E6">
        <w:rPr>
          <w:lang w:val="en-GB"/>
        </w:rPr>
        <w:t xml:space="preserve"> high-resolution and sensitivity infrared image acquisition and processing to detect the predominant presence of methane in biogas through the stretching band C-H bond. An IR </w:t>
      </w:r>
      <w:proofErr w:type="spellStart"/>
      <w:r w:rsidR="00ED767A" w:rsidRPr="00B918E6">
        <w:rPr>
          <w:lang w:val="en-GB"/>
        </w:rPr>
        <w:t>EyeCgas</w:t>
      </w:r>
      <w:proofErr w:type="spellEnd"/>
      <w:r w:rsidR="003A7AA0" w:rsidRPr="00B918E6">
        <w:rPr>
          <w:lang w:val="en-GB"/>
        </w:rPr>
        <w:t>®</w:t>
      </w:r>
      <w:r w:rsidR="00ED767A" w:rsidRPr="00B918E6">
        <w:rPr>
          <w:lang w:val="en-GB"/>
        </w:rPr>
        <w:t xml:space="preserve"> model</w:t>
      </w:r>
      <w:r w:rsidR="003A7AA0" w:rsidRPr="00B918E6">
        <w:rPr>
          <w:lang w:val="en-GB"/>
        </w:rPr>
        <w:t xml:space="preserve"> (</w:t>
      </w:r>
      <w:proofErr w:type="spellStart"/>
      <w:r w:rsidR="003A7AA0" w:rsidRPr="00B918E6">
        <w:rPr>
          <w:lang w:val="en-GB"/>
        </w:rPr>
        <w:t>Opgal</w:t>
      </w:r>
      <w:proofErr w:type="spellEnd"/>
      <w:r w:rsidR="003A7AA0" w:rsidRPr="00B918E6">
        <w:rPr>
          <w:lang w:val="en-GB"/>
        </w:rPr>
        <w:t>, Israel)</w:t>
      </w:r>
      <w:r w:rsidR="00ED767A" w:rsidRPr="00B918E6">
        <w:rPr>
          <w:lang w:val="en-GB"/>
        </w:rPr>
        <w:t xml:space="preserve">, certified as IP65 and ATEX, was employed, featuring a cooled optical sensor and a differential thermal sensitivity &lt;12mK at 25°C, </w:t>
      </w:r>
      <w:r w:rsidR="003A7AA0" w:rsidRPr="00B918E6">
        <w:rPr>
          <w:lang w:val="en-GB"/>
        </w:rPr>
        <w:t xml:space="preserve">with a Minimum Detectable Leak Rate of 0.35 g/h of </w:t>
      </w:r>
      <w:r w:rsidR="005D3FD4" w:rsidRPr="00B918E6">
        <w:rPr>
          <w:lang w:val="en-GB"/>
        </w:rPr>
        <w:t>m</w:t>
      </w:r>
      <w:r w:rsidR="003A7AA0" w:rsidRPr="00B918E6">
        <w:rPr>
          <w:lang w:val="en-GB"/>
        </w:rPr>
        <w:t>ethane</w:t>
      </w:r>
      <w:r w:rsidR="005D3FD4" w:rsidRPr="00B918E6">
        <w:rPr>
          <w:lang w:val="en-GB"/>
        </w:rPr>
        <w:t xml:space="preserve">. </w:t>
      </w:r>
      <w:r w:rsidR="0061699E" w:rsidRPr="00B918E6">
        <w:rPr>
          <w:lang w:val="en-GB"/>
        </w:rPr>
        <w:t>The technology's capability for gas leak rate quantification, based on proprietary software developments, is described in detail elsewhere (</w:t>
      </w:r>
      <w:proofErr w:type="spellStart"/>
      <w:r w:rsidR="0061699E" w:rsidRPr="00B918E6">
        <w:rPr>
          <w:lang w:val="en-GB"/>
        </w:rPr>
        <w:t>Hashmonay</w:t>
      </w:r>
      <w:proofErr w:type="spellEnd"/>
      <w:r w:rsidR="0061699E" w:rsidRPr="00B918E6">
        <w:rPr>
          <w:lang w:val="en-GB"/>
        </w:rPr>
        <w:t>, 2022).</w:t>
      </w:r>
    </w:p>
    <w:p w14:paraId="15D142A2" w14:textId="4239267C" w:rsidR="00A057D9" w:rsidRPr="00B918E6" w:rsidRDefault="00A057D9" w:rsidP="00A057D9">
      <w:pPr>
        <w:keepNext/>
        <w:numPr>
          <w:ilvl w:val="2"/>
          <w:numId w:val="1"/>
        </w:numPr>
        <w:tabs>
          <w:tab w:val="clear" w:pos="7100"/>
        </w:tabs>
        <w:suppressAutoHyphens/>
        <w:spacing w:before="120" w:after="120" w:line="240" w:lineRule="auto"/>
        <w:jc w:val="left"/>
        <w:rPr>
          <w:b/>
        </w:rPr>
      </w:pPr>
      <w:bookmarkStart w:id="0" w:name="_Ref160719364"/>
      <w:r w:rsidRPr="00B918E6">
        <w:rPr>
          <w:b/>
        </w:rPr>
        <w:t>Order</w:t>
      </w:r>
      <w:r w:rsidR="00EA06EE" w:rsidRPr="00B918E6">
        <w:rPr>
          <w:b/>
        </w:rPr>
        <w:t>-</w:t>
      </w:r>
      <w:r w:rsidRPr="00B918E6">
        <w:rPr>
          <w:b/>
        </w:rPr>
        <w:t>of</w:t>
      </w:r>
      <w:r w:rsidR="00EA06EE" w:rsidRPr="00B918E6">
        <w:rPr>
          <w:b/>
        </w:rPr>
        <w:t>-</w:t>
      </w:r>
      <w:r w:rsidRPr="00B918E6">
        <w:rPr>
          <w:b/>
        </w:rPr>
        <w:t xml:space="preserve">magnitude odour emission rate </w:t>
      </w:r>
      <w:r w:rsidR="00EF495E" w:rsidRPr="00B918E6">
        <w:rPr>
          <w:b/>
        </w:rPr>
        <w:t>estimation</w:t>
      </w:r>
      <w:r w:rsidRPr="00B918E6">
        <w:rPr>
          <w:b/>
        </w:rPr>
        <w:t xml:space="preserve"> from fugitive sources</w:t>
      </w:r>
      <w:bookmarkEnd w:id="0"/>
    </w:p>
    <w:p w14:paraId="6A90AA9C" w14:textId="67DC70D5" w:rsidR="00E16C9E" w:rsidRPr="00B918E6" w:rsidRDefault="00EA06EE" w:rsidP="00AC1286">
      <w:pPr>
        <w:pStyle w:val="CETBodytext"/>
        <w:rPr>
          <w:lang w:val="en-GB"/>
        </w:rPr>
      </w:pPr>
      <w:r w:rsidRPr="00B918E6">
        <w:rPr>
          <w:lang w:val="en-GB"/>
        </w:rPr>
        <w:t xml:space="preserve">QOGI measurements, including both methane concentration and leak rate, were compared with FID measurements to evaluate the relevant mechanism for LFG fugitive emissions. Once the mechanism of LFG emissions was identified, the assumed volumetric leaking rate of LFG was compared with QOGI measurements to assess their compatibility on an order-of-magnitude basis. Then, using the estimated and assessed volumetric flow rate of fugitive emissions for each well (Q) and assuming the </w:t>
      </w:r>
      <w:r w:rsidR="00444FF4" w:rsidRPr="00B918E6">
        <w:rPr>
          <w:lang w:val="en-GB"/>
        </w:rPr>
        <w:t>odour</w:t>
      </w:r>
      <w:r w:rsidRPr="00B918E6">
        <w:rPr>
          <w:lang w:val="en-GB"/>
        </w:rPr>
        <w:t xml:space="preserve"> concentration of landfill biogas (C), the Odour Emission Rate (OER) of fugitive emissions was calculated according to the following formula</w:t>
      </w:r>
      <w:r w:rsidR="00EA3EAF" w:rsidRPr="00B918E6">
        <w:rPr>
          <w:lang w:val="en-GB"/>
        </w:rPr>
        <w:t>:</w:t>
      </w:r>
    </w:p>
    <w:tbl>
      <w:tblPr>
        <w:tblW w:w="5000" w:type="pct"/>
        <w:tblLook w:val="04A0" w:firstRow="1" w:lastRow="0" w:firstColumn="1" w:lastColumn="0" w:noHBand="0" w:noVBand="1"/>
      </w:tblPr>
      <w:tblGrid>
        <w:gridCol w:w="7984"/>
        <w:gridCol w:w="803"/>
      </w:tblGrid>
      <w:tr w:rsidR="00CD5B5A" w:rsidRPr="00B918E6" w14:paraId="64F57D42" w14:textId="77777777" w:rsidTr="00101BE7">
        <w:tc>
          <w:tcPr>
            <w:tcW w:w="7984" w:type="dxa"/>
            <w:shd w:val="clear" w:color="auto" w:fill="auto"/>
            <w:vAlign w:val="center"/>
          </w:tcPr>
          <w:p w14:paraId="00AD0CC1" w14:textId="7A425AFE" w:rsidR="00CD5B5A" w:rsidRPr="00B918E6" w:rsidRDefault="00CD5B5A" w:rsidP="00415B12">
            <w:pPr>
              <w:pStyle w:val="CETBodytextItalic"/>
            </w:pPr>
            <m:oMathPara>
              <m:oMathParaPr>
                <m:jc m:val="left"/>
              </m:oMathParaPr>
              <m:oMath>
                <m:r>
                  <w:rPr>
                    <w:rFonts w:ascii="Cambria Math" w:hAnsi="Cambria Math"/>
                  </w:rPr>
                  <m:t xml:space="preserve">OER </m:t>
                </m:r>
                <m:d>
                  <m:dPr>
                    <m:ctrlPr>
                      <w:rPr>
                        <w:rFonts w:ascii="Cambria Math" w:hAnsi="Cambria Math"/>
                      </w:rPr>
                    </m:ctrlPr>
                  </m:dPr>
                  <m:e>
                    <m:f>
                      <m:fPr>
                        <m:ctrlPr>
                          <w:rPr>
                            <w:rFonts w:ascii="Cambria Math" w:hAnsi="Cambria Math"/>
                          </w:rPr>
                        </m:ctrlPr>
                      </m:fPr>
                      <m:num>
                        <m:r>
                          <w:rPr>
                            <w:rFonts w:ascii="Cambria Math" w:hAnsi="Cambria Math"/>
                          </w:rPr>
                          <m:t>ou</m:t>
                        </m:r>
                      </m:num>
                      <m:den>
                        <m:r>
                          <w:rPr>
                            <w:rFonts w:ascii="Cambria Math" w:hAnsi="Cambria Math"/>
                          </w:rPr>
                          <m:t>s</m:t>
                        </m:r>
                      </m:den>
                    </m:f>
                  </m:e>
                </m:d>
                <m:r>
                  <w:rPr>
                    <w:rFonts w:ascii="Cambria Math" w:hAnsi="Cambria Math"/>
                  </w:rPr>
                  <m:t>=Q</m:t>
                </m:r>
                <m:d>
                  <m:dPr>
                    <m:ctrlPr>
                      <w:rPr>
                        <w:rFonts w:ascii="Cambria Math" w:hAnsi="Cambria Math"/>
                      </w:rPr>
                    </m:ctrlPr>
                  </m:dPr>
                  <m:e>
                    <m:f>
                      <m:fPr>
                        <m:ctrlPr>
                          <w:rPr>
                            <w:rFonts w:ascii="Cambria Math" w:hAnsi="Cambria Math"/>
                          </w:rPr>
                        </m:ctrlPr>
                      </m:fPr>
                      <m:num>
                        <m:sSup>
                          <m:sSupPr>
                            <m:ctrlPr>
                              <w:rPr>
                                <w:rFonts w:ascii="Cambria Math" w:hAnsi="Cambria Math"/>
                              </w:rPr>
                            </m:ctrlPr>
                          </m:sSupPr>
                          <m:e>
                            <m:r>
                              <w:rPr>
                                <w:rFonts w:ascii="Cambria Math" w:hAnsi="Cambria Math"/>
                              </w:rPr>
                              <m:t>m</m:t>
                            </m:r>
                          </m:e>
                          <m:sup>
                            <m:r>
                              <w:rPr>
                                <w:rFonts w:ascii="Cambria Math" w:hAnsi="Cambria Math"/>
                              </w:rPr>
                              <m:t>3</m:t>
                            </m:r>
                          </m:sup>
                        </m:sSup>
                      </m:num>
                      <m:den>
                        <m:r>
                          <w:rPr>
                            <w:rFonts w:ascii="Cambria Math" w:hAnsi="Cambria Math"/>
                          </w:rPr>
                          <m:t>s</m:t>
                        </m:r>
                      </m:den>
                    </m:f>
                  </m:e>
                </m:d>
                <m:r>
                  <w:rPr>
                    <w:rFonts w:ascii="Cambria Math" w:hAnsi="Cambria Math"/>
                  </w:rPr>
                  <m:t xml:space="preserve">x C </m:t>
                </m:r>
                <m:d>
                  <m:dPr>
                    <m:ctrlPr>
                      <w:rPr>
                        <w:rFonts w:ascii="Cambria Math" w:hAnsi="Cambria Math"/>
                      </w:rPr>
                    </m:ctrlPr>
                  </m:dPr>
                  <m:e>
                    <m:f>
                      <m:fPr>
                        <m:ctrlPr>
                          <w:rPr>
                            <w:rFonts w:ascii="Cambria Math" w:hAnsi="Cambria Math"/>
                          </w:rPr>
                        </m:ctrlPr>
                      </m:fPr>
                      <m:num>
                        <m:r>
                          <w:rPr>
                            <w:rFonts w:ascii="Cambria Math" w:hAnsi="Cambria Math"/>
                          </w:rPr>
                          <m:t>ou</m:t>
                        </m:r>
                      </m:num>
                      <m:den>
                        <m:sSup>
                          <m:sSupPr>
                            <m:ctrlPr>
                              <w:rPr>
                                <w:rFonts w:ascii="Cambria Math" w:hAnsi="Cambria Math"/>
                              </w:rPr>
                            </m:ctrlPr>
                          </m:sSupPr>
                          <m:e>
                            <m:r>
                              <w:rPr>
                                <w:rFonts w:ascii="Cambria Math" w:hAnsi="Cambria Math"/>
                              </w:rPr>
                              <m:t>m</m:t>
                            </m:r>
                          </m:e>
                          <m:sup>
                            <m:r>
                              <w:rPr>
                                <w:rFonts w:ascii="Cambria Math" w:hAnsi="Cambria Math"/>
                              </w:rPr>
                              <m:t>3</m:t>
                            </m:r>
                          </m:sup>
                        </m:sSup>
                      </m:den>
                    </m:f>
                  </m:e>
                </m:d>
              </m:oMath>
            </m:oMathPara>
          </w:p>
        </w:tc>
        <w:tc>
          <w:tcPr>
            <w:tcW w:w="803" w:type="dxa"/>
            <w:shd w:val="clear" w:color="auto" w:fill="auto"/>
            <w:vAlign w:val="center"/>
          </w:tcPr>
          <w:p w14:paraId="09CEFE11" w14:textId="77777777" w:rsidR="00CD5B5A" w:rsidRPr="00B918E6" w:rsidRDefault="00CD5B5A" w:rsidP="007E0AD1">
            <w:pPr>
              <w:pStyle w:val="CETEquation"/>
              <w:jc w:val="right"/>
            </w:pPr>
            <w:r w:rsidRPr="00B918E6">
              <w:t>(1)</w:t>
            </w:r>
          </w:p>
        </w:tc>
      </w:tr>
    </w:tbl>
    <w:p w14:paraId="51FF81A9" w14:textId="7B57ABA2" w:rsidR="00943C37" w:rsidRPr="00B918E6" w:rsidRDefault="00444FF4" w:rsidP="00943C37">
      <w:pPr>
        <w:keepNext/>
        <w:numPr>
          <w:ilvl w:val="2"/>
          <w:numId w:val="1"/>
        </w:numPr>
        <w:tabs>
          <w:tab w:val="clear" w:pos="7100"/>
        </w:tabs>
        <w:suppressAutoHyphens/>
        <w:spacing w:before="120" w:after="120" w:line="240" w:lineRule="auto"/>
        <w:jc w:val="left"/>
        <w:rPr>
          <w:b/>
        </w:rPr>
      </w:pPr>
      <w:bookmarkStart w:id="1" w:name="_Hlk37897574"/>
      <w:bookmarkStart w:id="2" w:name="_Hlk37882273"/>
      <w:r w:rsidRPr="00B918E6">
        <w:rPr>
          <w:b/>
        </w:rPr>
        <w:lastRenderedPageBreak/>
        <w:t>Odour</w:t>
      </w:r>
      <w:r w:rsidR="00B56A44" w:rsidRPr="00B918E6">
        <w:rPr>
          <w:b/>
        </w:rPr>
        <w:t xml:space="preserve"> exposure by dispersion </w:t>
      </w:r>
      <w:proofErr w:type="spellStart"/>
      <w:r w:rsidR="00B56A44" w:rsidRPr="00B918E6">
        <w:rPr>
          <w:b/>
        </w:rPr>
        <w:t>modeling</w:t>
      </w:r>
      <w:proofErr w:type="spellEnd"/>
    </w:p>
    <w:p w14:paraId="273F2DB6" w14:textId="6BAAE360" w:rsidR="00D84236" w:rsidRPr="00B918E6" w:rsidRDefault="00385B54" w:rsidP="00D84236">
      <w:pPr>
        <w:pStyle w:val="CETBodytext"/>
        <w:rPr>
          <w:lang w:val="en-GB"/>
        </w:rPr>
      </w:pPr>
      <w:r w:rsidRPr="00B918E6">
        <w:rPr>
          <w:lang w:val="en-GB"/>
        </w:rPr>
        <w:t>A</w:t>
      </w:r>
      <w:r w:rsidR="00AC1286" w:rsidRPr="00B918E6">
        <w:rPr>
          <w:lang w:val="en-GB"/>
        </w:rPr>
        <w:t xml:space="preserve"> </w:t>
      </w:r>
      <w:proofErr w:type="spellStart"/>
      <w:r w:rsidR="00AC1286" w:rsidRPr="00B918E6">
        <w:rPr>
          <w:lang w:val="en-GB"/>
        </w:rPr>
        <w:t>Lagrangian</w:t>
      </w:r>
      <w:proofErr w:type="spellEnd"/>
      <w:r w:rsidR="00AC1286" w:rsidRPr="00B918E6">
        <w:rPr>
          <w:lang w:val="en-GB"/>
        </w:rPr>
        <w:t xml:space="preserve"> puff model</w:t>
      </w:r>
      <w:r w:rsidRPr="00B918E6">
        <w:rPr>
          <w:lang w:val="en-GB"/>
        </w:rPr>
        <w:t xml:space="preserve"> (CALPUFF)</w:t>
      </w:r>
      <w:r w:rsidR="00AC1286" w:rsidRPr="00B918E6">
        <w:rPr>
          <w:lang w:val="en-GB"/>
        </w:rPr>
        <w:t xml:space="preserve"> was employed to assess the overall </w:t>
      </w:r>
      <w:r w:rsidR="00444FF4" w:rsidRPr="00B918E6">
        <w:rPr>
          <w:lang w:val="en-GB"/>
        </w:rPr>
        <w:t>odour</w:t>
      </w:r>
      <w:r w:rsidR="00AC1286" w:rsidRPr="00B918E6">
        <w:rPr>
          <w:lang w:val="en-GB"/>
        </w:rPr>
        <w:t xml:space="preserve"> </w:t>
      </w:r>
      <w:r w:rsidRPr="00B918E6">
        <w:rPr>
          <w:lang w:val="en-GB"/>
        </w:rPr>
        <w:t>emission</w:t>
      </w:r>
      <w:r w:rsidR="00AC1286" w:rsidRPr="00B918E6">
        <w:rPr>
          <w:lang w:val="en-GB"/>
        </w:rPr>
        <w:t xml:space="preserve"> from the landfill</w:t>
      </w:r>
      <w:r w:rsidRPr="00B918E6">
        <w:rPr>
          <w:lang w:val="en-GB"/>
        </w:rPr>
        <w:t>, by</w:t>
      </w:r>
      <w:r w:rsidR="00E13605" w:rsidRPr="00B918E6">
        <w:rPr>
          <w:lang w:val="en-GB"/>
        </w:rPr>
        <w:t xml:space="preserve"> </w:t>
      </w:r>
      <w:r w:rsidR="00AC1286" w:rsidRPr="00B918E6">
        <w:rPr>
          <w:lang w:val="en-GB"/>
        </w:rPr>
        <w:t xml:space="preserve">comparing two scenarios: one </w:t>
      </w:r>
      <w:r w:rsidR="00572D53" w:rsidRPr="00B918E6">
        <w:rPr>
          <w:lang w:val="en-GB"/>
        </w:rPr>
        <w:t xml:space="preserve">without </w:t>
      </w:r>
      <w:r w:rsidR="00AC1286" w:rsidRPr="00B918E6">
        <w:rPr>
          <w:lang w:val="en-GB"/>
        </w:rPr>
        <w:t xml:space="preserve">considering fugitive emissions (Scenario 1) and the other </w:t>
      </w:r>
      <w:r w:rsidR="002A3FCA" w:rsidRPr="00B918E6">
        <w:rPr>
          <w:lang w:val="en-GB"/>
        </w:rPr>
        <w:t xml:space="preserve">with fugitive emissions </w:t>
      </w:r>
      <w:r w:rsidR="00AC1286" w:rsidRPr="00B918E6">
        <w:rPr>
          <w:lang w:val="en-GB"/>
        </w:rPr>
        <w:t xml:space="preserve">(Scenario 2). In both </w:t>
      </w:r>
      <w:r w:rsidR="0015304B" w:rsidRPr="00B918E6">
        <w:rPr>
          <w:lang w:val="en-GB"/>
        </w:rPr>
        <w:t>cases</w:t>
      </w:r>
      <w:r w:rsidR="00AC1286" w:rsidRPr="00B918E6">
        <w:rPr>
          <w:lang w:val="en-GB"/>
        </w:rPr>
        <w:t xml:space="preserve">, </w:t>
      </w:r>
      <w:r w:rsidR="0015304B" w:rsidRPr="00B918E6">
        <w:rPr>
          <w:lang w:val="en-GB"/>
        </w:rPr>
        <w:t xml:space="preserve">diffuse </w:t>
      </w:r>
      <w:r w:rsidR="00AC1286" w:rsidRPr="00B918E6">
        <w:rPr>
          <w:lang w:val="en-GB"/>
        </w:rPr>
        <w:t xml:space="preserve">emissions from the landfill surface were evaluated using </w:t>
      </w:r>
      <w:r w:rsidR="002A3FCA" w:rsidRPr="00B918E6">
        <w:rPr>
          <w:lang w:val="en-GB"/>
        </w:rPr>
        <w:t xml:space="preserve">a </w:t>
      </w:r>
      <w:r w:rsidR="00AC1286" w:rsidRPr="00B918E6">
        <w:rPr>
          <w:lang w:val="en-GB"/>
        </w:rPr>
        <w:t>specific</w:t>
      </w:r>
      <w:r w:rsidR="00AE2431" w:rsidRPr="00B918E6">
        <w:rPr>
          <w:lang w:val="en-GB"/>
        </w:rPr>
        <w:t xml:space="preserve"> </w:t>
      </w:r>
      <w:r w:rsidR="00444FF4" w:rsidRPr="00B918E6">
        <w:rPr>
          <w:lang w:val="en-GB"/>
        </w:rPr>
        <w:t>odour</w:t>
      </w:r>
      <w:r w:rsidR="00AC1286" w:rsidRPr="00B918E6">
        <w:rPr>
          <w:lang w:val="en-GB"/>
        </w:rPr>
        <w:t xml:space="preserve"> emission rate (SOER) </w:t>
      </w:r>
      <w:r w:rsidR="002A3FCA" w:rsidRPr="00B918E6">
        <w:rPr>
          <w:lang w:val="en-GB"/>
        </w:rPr>
        <w:t xml:space="preserve">of 0.07 </w:t>
      </w:r>
      <w:proofErr w:type="spellStart"/>
      <w:r w:rsidR="002A3FCA" w:rsidRPr="00B918E6">
        <w:rPr>
          <w:lang w:val="en-GB"/>
        </w:rPr>
        <w:t>uoE</w:t>
      </w:r>
      <w:proofErr w:type="spellEnd"/>
      <w:r w:rsidR="002A3FCA" w:rsidRPr="00B918E6">
        <w:rPr>
          <w:lang w:val="en-GB"/>
        </w:rPr>
        <w:t>/m</w:t>
      </w:r>
      <w:r w:rsidR="002A3FCA" w:rsidRPr="00B918E6">
        <w:rPr>
          <w:vertAlign w:val="superscript"/>
          <w:lang w:val="en-GB"/>
        </w:rPr>
        <w:t>2</w:t>
      </w:r>
      <w:r w:rsidR="002A3FCA" w:rsidRPr="00B918E6">
        <w:rPr>
          <w:lang w:val="en-GB"/>
        </w:rPr>
        <w:t>*s</w:t>
      </w:r>
      <w:r w:rsidR="00EA06EE" w:rsidRPr="00B918E6">
        <w:rPr>
          <w:lang w:val="en-GB"/>
        </w:rPr>
        <w:t xml:space="preserve">, which had been previously </w:t>
      </w:r>
      <w:r w:rsidR="00AC1286" w:rsidRPr="00B918E6">
        <w:rPr>
          <w:lang w:val="en-GB"/>
        </w:rPr>
        <w:t xml:space="preserve">measured with a flux chamber </w:t>
      </w:r>
      <w:r w:rsidR="0015304B" w:rsidRPr="00B918E6">
        <w:rPr>
          <w:lang w:val="en-GB"/>
        </w:rPr>
        <w:t xml:space="preserve">and validated </w:t>
      </w:r>
      <w:r w:rsidR="00EA06EE" w:rsidRPr="00B918E6">
        <w:rPr>
          <w:lang w:val="en-GB"/>
        </w:rPr>
        <w:t>through</w:t>
      </w:r>
      <w:r w:rsidR="0015304B" w:rsidRPr="00B918E6">
        <w:rPr>
          <w:lang w:val="en-GB"/>
        </w:rPr>
        <w:t xml:space="preserve"> field inspection</w:t>
      </w:r>
      <w:r w:rsidR="00CD5B5A" w:rsidRPr="00B918E6">
        <w:rPr>
          <w:lang w:val="en-GB"/>
        </w:rPr>
        <w:t>s</w:t>
      </w:r>
      <w:r w:rsidR="0015304B" w:rsidRPr="00B918E6">
        <w:rPr>
          <w:lang w:val="en-GB"/>
        </w:rPr>
        <w:t xml:space="preserve"> </w:t>
      </w:r>
      <w:r w:rsidR="008F1E0A" w:rsidRPr="00B918E6">
        <w:rPr>
          <w:lang w:val="en-GB"/>
        </w:rPr>
        <w:t>(Capelli</w:t>
      </w:r>
      <w:r w:rsidR="00DE154B" w:rsidRPr="00B918E6">
        <w:rPr>
          <w:lang w:val="en-GB"/>
        </w:rPr>
        <w:t xml:space="preserve"> et al.,</w:t>
      </w:r>
      <w:r w:rsidR="008F1E0A" w:rsidRPr="00B918E6">
        <w:rPr>
          <w:lang w:val="en-GB"/>
        </w:rPr>
        <w:t xml:space="preserve"> 2018)</w:t>
      </w:r>
      <w:r w:rsidR="0015304B" w:rsidRPr="00B918E6">
        <w:rPr>
          <w:lang w:val="en-GB"/>
        </w:rPr>
        <w:t>.</w:t>
      </w:r>
    </w:p>
    <w:bookmarkEnd w:id="1"/>
    <w:bookmarkEnd w:id="2"/>
    <w:p w14:paraId="34135D18" w14:textId="03B29AE7" w:rsidR="00600535" w:rsidRPr="00B918E6" w:rsidRDefault="00721CF3" w:rsidP="00FA5F5F">
      <w:pPr>
        <w:pStyle w:val="CETHeading1"/>
        <w:tabs>
          <w:tab w:val="num" w:pos="360"/>
        </w:tabs>
        <w:rPr>
          <w:lang w:val="en-GB"/>
        </w:rPr>
      </w:pPr>
      <w:r w:rsidRPr="00B918E6">
        <w:rPr>
          <w:lang w:val="en-GB"/>
        </w:rPr>
        <w:t>Result and discussion</w:t>
      </w:r>
    </w:p>
    <w:p w14:paraId="07603640" w14:textId="5DB7DCA0" w:rsidR="00721CF3" w:rsidRPr="00B918E6" w:rsidRDefault="00F935A1" w:rsidP="006130F2">
      <w:pPr>
        <w:keepNext/>
        <w:numPr>
          <w:ilvl w:val="2"/>
          <w:numId w:val="1"/>
        </w:numPr>
        <w:tabs>
          <w:tab w:val="clear" w:pos="7100"/>
        </w:tabs>
        <w:suppressAutoHyphens/>
        <w:spacing w:before="120" w:after="120" w:line="240" w:lineRule="auto"/>
        <w:jc w:val="left"/>
        <w:rPr>
          <w:b/>
        </w:rPr>
      </w:pPr>
      <w:r w:rsidRPr="00B918E6">
        <w:rPr>
          <w:b/>
        </w:rPr>
        <w:t>LDAR survey result</w:t>
      </w:r>
      <w:r w:rsidR="001967D0" w:rsidRPr="00B918E6">
        <w:rPr>
          <w:b/>
        </w:rPr>
        <w:t>s</w:t>
      </w:r>
      <w:r w:rsidR="0015304B" w:rsidRPr="00B918E6">
        <w:rPr>
          <w:b/>
        </w:rPr>
        <w:t xml:space="preserve"> and assumptions for </w:t>
      </w:r>
      <w:r w:rsidR="00444FF4" w:rsidRPr="00B918E6">
        <w:rPr>
          <w:b/>
        </w:rPr>
        <w:t>odour</w:t>
      </w:r>
      <w:r w:rsidR="0015304B" w:rsidRPr="00B918E6">
        <w:rPr>
          <w:b/>
        </w:rPr>
        <w:t xml:space="preserve"> </w:t>
      </w:r>
      <w:r w:rsidR="002A3FCA" w:rsidRPr="00B918E6">
        <w:rPr>
          <w:b/>
        </w:rPr>
        <w:t>dispersion</w:t>
      </w:r>
      <w:r w:rsidR="0015304B" w:rsidRPr="00B918E6">
        <w:rPr>
          <w:b/>
        </w:rPr>
        <w:t xml:space="preserve"> modelling </w:t>
      </w:r>
    </w:p>
    <w:p w14:paraId="5926AF2C" w14:textId="26FC77B2" w:rsidR="00506AFB" w:rsidRPr="00B918E6" w:rsidRDefault="00506AFB" w:rsidP="00144D32">
      <w:pPr>
        <w:pStyle w:val="CETBodytext"/>
        <w:rPr>
          <w:bCs/>
          <w:lang w:val="en-GB"/>
        </w:rPr>
      </w:pPr>
      <w:r w:rsidRPr="00B918E6">
        <w:rPr>
          <w:bCs/>
          <w:lang w:val="en-GB"/>
        </w:rPr>
        <w:t xml:space="preserve">Monthly data on captured biogas, obtained through monthly analyses of composition and flow rates, are presented in Table 1. The average volumetric flow rate of LFG for each well was calculated based on the yearly-averaged values for Lots I and II, resulting in an average </w:t>
      </w:r>
      <w:r w:rsidR="00415B12" w:rsidRPr="00B918E6">
        <w:rPr>
          <w:bCs/>
          <w:lang w:val="en-GB"/>
        </w:rPr>
        <w:t>flow</w:t>
      </w:r>
      <w:r w:rsidRPr="00B918E6">
        <w:rPr>
          <w:bCs/>
          <w:lang w:val="en-GB"/>
        </w:rPr>
        <w:t>rate of 2.8 m</w:t>
      </w:r>
      <w:r w:rsidRPr="00B918E6">
        <w:rPr>
          <w:bCs/>
          <w:vertAlign w:val="superscript"/>
          <w:lang w:val="en-GB"/>
        </w:rPr>
        <w:t>3</w:t>
      </w:r>
      <w:r w:rsidRPr="00B918E6">
        <w:rPr>
          <w:bCs/>
          <w:lang w:val="en-GB"/>
        </w:rPr>
        <w:t>/h.</w:t>
      </w:r>
    </w:p>
    <w:p w14:paraId="6DD74CAA" w14:textId="044EB2B9" w:rsidR="007E7559" w:rsidRPr="00B918E6" w:rsidRDefault="007E7559" w:rsidP="007E7559">
      <w:pPr>
        <w:pStyle w:val="CETTabletitle"/>
      </w:pPr>
      <w:r w:rsidRPr="00B918E6">
        <w:t xml:space="preserve">Table 1: </w:t>
      </w:r>
      <w:r w:rsidR="00144D32" w:rsidRPr="00B918E6">
        <w:t>Monthly data of collected biogas in 2023</w:t>
      </w:r>
    </w:p>
    <w:tbl>
      <w:tblPr>
        <w:tblW w:w="0" w:type="auto"/>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1134"/>
        <w:gridCol w:w="637"/>
        <w:gridCol w:w="638"/>
        <w:gridCol w:w="638"/>
        <w:gridCol w:w="638"/>
        <w:gridCol w:w="637"/>
        <w:gridCol w:w="638"/>
        <w:gridCol w:w="638"/>
        <w:gridCol w:w="638"/>
        <w:gridCol w:w="637"/>
        <w:gridCol w:w="638"/>
        <w:gridCol w:w="638"/>
        <w:gridCol w:w="638"/>
      </w:tblGrid>
      <w:tr w:rsidR="007E7559" w:rsidRPr="00B918E6" w14:paraId="7C49261B" w14:textId="684141B6" w:rsidTr="007E7559">
        <w:tc>
          <w:tcPr>
            <w:tcW w:w="1134" w:type="dxa"/>
            <w:tcBorders>
              <w:top w:val="single" w:sz="12" w:space="0" w:color="008000"/>
              <w:bottom w:val="single" w:sz="6" w:space="0" w:color="008000"/>
            </w:tcBorders>
            <w:shd w:val="clear" w:color="auto" w:fill="FFFFFF"/>
          </w:tcPr>
          <w:p w14:paraId="77A4F54A" w14:textId="7B6DA1EA" w:rsidR="007E7559" w:rsidRPr="00B918E6" w:rsidRDefault="007E7559" w:rsidP="00DF57F7">
            <w:pPr>
              <w:pStyle w:val="CETBodytext"/>
              <w:rPr>
                <w:lang w:val="en-GB"/>
              </w:rPr>
            </w:pPr>
            <w:r w:rsidRPr="00B918E6">
              <w:rPr>
                <w:lang w:val="en-GB"/>
              </w:rPr>
              <w:t xml:space="preserve">Collected biogas </w:t>
            </w:r>
            <w:r w:rsidR="00506AFB" w:rsidRPr="00B918E6">
              <w:rPr>
                <w:lang w:val="en-GB"/>
              </w:rPr>
              <w:t>(</w:t>
            </w:r>
            <w:r w:rsidRPr="00B918E6">
              <w:rPr>
                <w:lang w:val="en-GB"/>
              </w:rPr>
              <w:t>kg/d)</w:t>
            </w:r>
          </w:p>
        </w:tc>
        <w:tc>
          <w:tcPr>
            <w:tcW w:w="637" w:type="dxa"/>
            <w:tcBorders>
              <w:top w:val="single" w:sz="12" w:space="0" w:color="008000"/>
              <w:bottom w:val="single" w:sz="6" w:space="0" w:color="008000"/>
            </w:tcBorders>
            <w:shd w:val="clear" w:color="auto" w:fill="FFFFFF"/>
          </w:tcPr>
          <w:p w14:paraId="0E630881" w14:textId="4483A742" w:rsidR="007E7559" w:rsidRPr="00B918E6" w:rsidRDefault="007E7559" w:rsidP="007E7559">
            <w:pPr>
              <w:pStyle w:val="CETBodytext"/>
              <w:jc w:val="center"/>
              <w:rPr>
                <w:lang w:val="en-GB"/>
              </w:rPr>
            </w:pPr>
            <w:r w:rsidRPr="00B918E6">
              <w:rPr>
                <w:lang w:val="en-GB"/>
              </w:rPr>
              <w:t>Jan</w:t>
            </w:r>
          </w:p>
        </w:tc>
        <w:tc>
          <w:tcPr>
            <w:tcW w:w="638" w:type="dxa"/>
            <w:tcBorders>
              <w:top w:val="single" w:sz="12" w:space="0" w:color="008000"/>
              <w:bottom w:val="single" w:sz="6" w:space="0" w:color="008000"/>
            </w:tcBorders>
            <w:shd w:val="clear" w:color="auto" w:fill="FFFFFF"/>
          </w:tcPr>
          <w:p w14:paraId="0849F0A4" w14:textId="7981AF93" w:rsidR="007E7559" w:rsidRPr="00B918E6" w:rsidRDefault="007E7559" w:rsidP="007E7559">
            <w:pPr>
              <w:pStyle w:val="CETBodytext"/>
              <w:jc w:val="center"/>
              <w:rPr>
                <w:lang w:val="en-GB"/>
              </w:rPr>
            </w:pPr>
            <w:r w:rsidRPr="00B918E6">
              <w:rPr>
                <w:lang w:val="en-GB"/>
              </w:rPr>
              <w:t>Feb</w:t>
            </w:r>
          </w:p>
        </w:tc>
        <w:tc>
          <w:tcPr>
            <w:tcW w:w="638" w:type="dxa"/>
            <w:tcBorders>
              <w:top w:val="single" w:sz="12" w:space="0" w:color="008000"/>
              <w:bottom w:val="single" w:sz="6" w:space="0" w:color="008000"/>
            </w:tcBorders>
            <w:shd w:val="clear" w:color="auto" w:fill="FFFFFF"/>
          </w:tcPr>
          <w:p w14:paraId="17A18AC3" w14:textId="42B46F9E" w:rsidR="007E7559" w:rsidRPr="00B918E6" w:rsidRDefault="007E7559" w:rsidP="007E7559">
            <w:pPr>
              <w:pStyle w:val="CETBodytext"/>
              <w:ind w:right="-1"/>
              <w:jc w:val="center"/>
              <w:rPr>
                <w:rFonts w:cs="Arial"/>
                <w:szCs w:val="18"/>
                <w:lang w:val="en-GB"/>
              </w:rPr>
            </w:pPr>
            <w:r w:rsidRPr="00B918E6">
              <w:rPr>
                <w:rFonts w:cs="Arial"/>
                <w:szCs w:val="18"/>
                <w:lang w:val="en-GB"/>
              </w:rPr>
              <w:t>Mar</w:t>
            </w:r>
          </w:p>
        </w:tc>
        <w:tc>
          <w:tcPr>
            <w:tcW w:w="638" w:type="dxa"/>
            <w:tcBorders>
              <w:top w:val="single" w:sz="12" w:space="0" w:color="008000"/>
              <w:bottom w:val="single" w:sz="6" w:space="0" w:color="008000"/>
            </w:tcBorders>
            <w:shd w:val="clear" w:color="auto" w:fill="FFFFFF"/>
          </w:tcPr>
          <w:p w14:paraId="2B5523BF" w14:textId="722F0A88" w:rsidR="007E7559" w:rsidRPr="00B918E6" w:rsidRDefault="007E7559" w:rsidP="007E7559">
            <w:pPr>
              <w:pStyle w:val="CETBodytext"/>
              <w:ind w:right="-1"/>
              <w:jc w:val="center"/>
              <w:rPr>
                <w:rFonts w:cs="Arial"/>
                <w:szCs w:val="18"/>
                <w:lang w:val="en-GB"/>
              </w:rPr>
            </w:pPr>
            <w:r w:rsidRPr="00B918E6">
              <w:rPr>
                <w:rFonts w:cs="Arial"/>
                <w:szCs w:val="18"/>
                <w:lang w:val="en-GB"/>
              </w:rPr>
              <w:t>Apr</w:t>
            </w:r>
          </w:p>
        </w:tc>
        <w:tc>
          <w:tcPr>
            <w:tcW w:w="637" w:type="dxa"/>
            <w:tcBorders>
              <w:top w:val="single" w:sz="12" w:space="0" w:color="008000"/>
              <w:bottom w:val="single" w:sz="6" w:space="0" w:color="008000"/>
            </w:tcBorders>
            <w:shd w:val="clear" w:color="auto" w:fill="FFFFFF"/>
          </w:tcPr>
          <w:p w14:paraId="49BE05F4" w14:textId="59B2F27B" w:rsidR="007E7559" w:rsidRPr="00B918E6" w:rsidRDefault="007E7559" w:rsidP="007E7559">
            <w:pPr>
              <w:pStyle w:val="CETBodytext"/>
              <w:ind w:right="-1"/>
              <w:jc w:val="center"/>
              <w:rPr>
                <w:rFonts w:cs="Arial"/>
                <w:szCs w:val="18"/>
                <w:lang w:val="en-GB"/>
              </w:rPr>
            </w:pPr>
            <w:r w:rsidRPr="00B918E6">
              <w:rPr>
                <w:rFonts w:cs="Arial"/>
                <w:szCs w:val="18"/>
                <w:lang w:val="en-GB"/>
              </w:rPr>
              <w:t>May</w:t>
            </w:r>
          </w:p>
        </w:tc>
        <w:tc>
          <w:tcPr>
            <w:tcW w:w="638" w:type="dxa"/>
            <w:tcBorders>
              <w:top w:val="single" w:sz="12" w:space="0" w:color="008000"/>
              <w:bottom w:val="single" w:sz="6" w:space="0" w:color="008000"/>
            </w:tcBorders>
            <w:shd w:val="clear" w:color="auto" w:fill="FFFFFF"/>
          </w:tcPr>
          <w:p w14:paraId="2882D731" w14:textId="656138A7" w:rsidR="007E7559" w:rsidRPr="00B918E6" w:rsidRDefault="007E7559" w:rsidP="007E7559">
            <w:pPr>
              <w:pStyle w:val="CETBodytext"/>
              <w:ind w:right="-1"/>
              <w:jc w:val="center"/>
              <w:rPr>
                <w:rFonts w:cs="Arial"/>
                <w:szCs w:val="18"/>
                <w:lang w:val="en-GB"/>
              </w:rPr>
            </w:pPr>
            <w:r w:rsidRPr="00B918E6">
              <w:rPr>
                <w:rFonts w:cs="Arial"/>
                <w:szCs w:val="18"/>
                <w:lang w:val="en-GB"/>
              </w:rPr>
              <w:t>Jun</w:t>
            </w:r>
          </w:p>
        </w:tc>
        <w:tc>
          <w:tcPr>
            <w:tcW w:w="638" w:type="dxa"/>
            <w:tcBorders>
              <w:top w:val="single" w:sz="12" w:space="0" w:color="008000"/>
              <w:bottom w:val="single" w:sz="6" w:space="0" w:color="008000"/>
            </w:tcBorders>
            <w:shd w:val="clear" w:color="auto" w:fill="FFFFFF"/>
          </w:tcPr>
          <w:p w14:paraId="459F8AD0" w14:textId="130D5CBA" w:rsidR="007E7559" w:rsidRPr="00B918E6" w:rsidRDefault="007E7559" w:rsidP="007E7559">
            <w:pPr>
              <w:pStyle w:val="CETBodytext"/>
              <w:ind w:right="-1"/>
              <w:jc w:val="center"/>
              <w:rPr>
                <w:rFonts w:cs="Arial"/>
                <w:szCs w:val="18"/>
                <w:lang w:val="en-GB"/>
              </w:rPr>
            </w:pPr>
            <w:r w:rsidRPr="00B918E6">
              <w:rPr>
                <w:rFonts w:cs="Arial"/>
                <w:szCs w:val="18"/>
                <w:lang w:val="en-GB"/>
              </w:rPr>
              <w:t>Jul</w:t>
            </w:r>
          </w:p>
        </w:tc>
        <w:tc>
          <w:tcPr>
            <w:tcW w:w="638" w:type="dxa"/>
            <w:tcBorders>
              <w:top w:val="single" w:sz="12" w:space="0" w:color="008000"/>
              <w:bottom w:val="single" w:sz="6" w:space="0" w:color="008000"/>
            </w:tcBorders>
            <w:shd w:val="clear" w:color="auto" w:fill="FFFFFF"/>
          </w:tcPr>
          <w:p w14:paraId="460FBF64" w14:textId="75505A5B" w:rsidR="007E7559" w:rsidRPr="00B918E6" w:rsidRDefault="007E7559" w:rsidP="007E7559">
            <w:pPr>
              <w:pStyle w:val="CETBodytext"/>
              <w:ind w:right="-1"/>
              <w:jc w:val="center"/>
              <w:rPr>
                <w:rFonts w:cs="Arial"/>
                <w:szCs w:val="18"/>
                <w:lang w:val="en-GB"/>
              </w:rPr>
            </w:pPr>
            <w:r w:rsidRPr="00B918E6">
              <w:rPr>
                <w:rFonts w:cs="Arial"/>
                <w:szCs w:val="18"/>
                <w:lang w:val="en-GB"/>
              </w:rPr>
              <w:t>Aug</w:t>
            </w:r>
          </w:p>
        </w:tc>
        <w:tc>
          <w:tcPr>
            <w:tcW w:w="637" w:type="dxa"/>
            <w:tcBorders>
              <w:top w:val="single" w:sz="12" w:space="0" w:color="008000"/>
              <w:bottom w:val="single" w:sz="6" w:space="0" w:color="008000"/>
            </w:tcBorders>
            <w:shd w:val="clear" w:color="auto" w:fill="FFFFFF"/>
          </w:tcPr>
          <w:p w14:paraId="4AB9DEE4" w14:textId="7BE4BFB3" w:rsidR="007E7559" w:rsidRPr="00B918E6" w:rsidRDefault="007E7559" w:rsidP="007E7559">
            <w:pPr>
              <w:pStyle w:val="CETBodytext"/>
              <w:ind w:right="-1"/>
              <w:jc w:val="center"/>
              <w:rPr>
                <w:rFonts w:cs="Arial"/>
                <w:szCs w:val="18"/>
                <w:lang w:val="en-GB"/>
              </w:rPr>
            </w:pPr>
            <w:r w:rsidRPr="00B918E6">
              <w:rPr>
                <w:rFonts w:cs="Arial"/>
                <w:szCs w:val="18"/>
                <w:lang w:val="en-GB"/>
              </w:rPr>
              <w:t>Sep</w:t>
            </w:r>
          </w:p>
        </w:tc>
        <w:tc>
          <w:tcPr>
            <w:tcW w:w="638" w:type="dxa"/>
            <w:tcBorders>
              <w:top w:val="single" w:sz="12" w:space="0" w:color="008000"/>
              <w:bottom w:val="single" w:sz="6" w:space="0" w:color="008000"/>
            </w:tcBorders>
            <w:shd w:val="clear" w:color="auto" w:fill="FFFFFF"/>
          </w:tcPr>
          <w:p w14:paraId="23CEA332" w14:textId="50DDC342" w:rsidR="007E7559" w:rsidRPr="00B918E6" w:rsidRDefault="007E7559" w:rsidP="007E7559">
            <w:pPr>
              <w:pStyle w:val="CETBodytext"/>
              <w:ind w:right="-1"/>
              <w:jc w:val="center"/>
              <w:rPr>
                <w:rFonts w:cs="Arial"/>
                <w:szCs w:val="18"/>
                <w:lang w:val="en-GB"/>
              </w:rPr>
            </w:pPr>
            <w:r w:rsidRPr="00B918E6">
              <w:rPr>
                <w:rFonts w:cs="Arial"/>
                <w:szCs w:val="18"/>
                <w:lang w:val="en-GB"/>
              </w:rPr>
              <w:t>Oct</w:t>
            </w:r>
          </w:p>
        </w:tc>
        <w:tc>
          <w:tcPr>
            <w:tcW w:w="638" w:type="dxa"/>
            <w:tcBorders>
              <w:top w:val="single" w:sz="12" w:space="0" w:color="008000"/>
              <w:bottom w:val="single" w:sz="6" w:space="0" w:color="008000"/>
            </w:tcBorders>
            <w:shd w:val="clear" w:color="auto" w:fill="FFFFFF"/>
          </w:tcPr>
          <w:p w14:paraId="3EDC35C4" w14:textId="752ED4E0" w:rsidR="007E7559" w:rsidRPr="00B918E6" w:rsidRDefault="007E7559" w:rsidP="007E7559">
            <w:pPr>
              <w:pStyle w:val="CETBodytext"/>
              <w:ind w:right="-1"/>
              <w:jc w:val="center"/>
              <w:rPr>
                <w:rFonts w:cs="Arial"/>
                <w:szCs w:val="18"/>
                <w:lang w:val="en-GB"/>
              </w:rPr>
            </w:pPr>
            <w:r w:rsidRPr="00B918E6">
              <w:rPr>
                <w:rFonts w:cs="Arial"/>
                <w:szCs w:val="18"/>
                <w:lang w:val="en-GB"/>
              </w:rPr>
              <w:t>Nov</w:t>
            </w:r>
          </w:p>
        </w:tc>
        <w:tc>
          <w:tcPr>
            <w:tcW w:w="638" w:type="dxa"/>
            <w:tcBorders>
              <w:top w:val="single" w:sz="12" w:space="0" w:color="008000"/>
              <w:bottom w:val="single" w:sz="6" w:space="0" w:color="008000"/>
            </w:tcBorders>
            <w:shd w:val="clear" w:color="auto" w:fill="FFFFFF"/>
          </w:tcPr>
          <w:p w14:paraId="2A82CE1E" w14:textId="70F9934C" w:rsidR="007E7559" w:rsidRPr="00B918E6" w:rsidRDefault="007E7559" w:rsidP="007E7559">
            <w:pPr>
              <w:pStyle w:val="CETBodytext"/>
              <w:ind w:right="-1"/>
              <w:jc w:val="center"/>
              <w:rPr>
                <w:rFonts w:cs="Arial"/>
                <w:szCs w:val="18"/>
                <w:lang w:val="en-GB"/>
              </w:rPr>
            </w:pPr>
            <w:r w:rsidRPr="00B918E6">
              <w:rPr>
                <w:rFonts w:cs="Arial"/>
                <w:szCs w:val="18"/>
                <w:lang w:val="en-GB"/>
              </w:rPr>
              <w:t>Dec</w:t>
            </w:r>
          </w:p>
        </w:tc>
      </w:tr>
      <w:tr w:rsidR="007E7559" w:rsidRPr="00B918E6" w14:paraId="2AF9606E" w14:textId="772A170F" w:rsidTr="007E7559">
        <w:tc>
          <w:tcPr>
            <w:tcW w:w="1134" w:type="dxa"/>
            <w:shd w:val="clear" w:color="auto" w:fill="FFFFFF"/>
          </w:tcPr>
          <w:p w14:paraId="1D47E434" w14:textId="6B3DD134" w:rsidR="007E7559" w:rsidRPr="00B918E6" w:rsidRDefault="007E7559" w:rsidP="00DF57F7">
            <w:pPr>
              <w:pStyle w:val="CETBodytext"/>
              <w:rPr>
                <w:lang w:val="en-GB"/>
              </w:rPr>
            </w:pPr>
            <w:r w:rsidRPr="00B918E6">
              <w:rPr>
                <w:lang w:val="en-GB"/>
              </w:rPr>
              <w:t>Lot I</w:t>
            </w:r>
          </w:p>
        </w:tc>
        <w:tc>
          <w:tcPr>
            <w:tcW w:w="637" w:type="dxa"/>
            <w:shd w:val="clear" w:color="auto" w:fill="FFFFFF"/>
          </w:tcPr>
          <w:p w14:paraId="6A0A653F" w14:textId="061A385D" w:rsidR="007E7559" w:rsidRPr="00B918E6" w:rsidRDefault="007E7559" w:rsidP="00144D32">
            <w:pPr>
              <w:pStyle w:val="CETBodytext"/>
              <w:jc w:val="center"/>
              <w:rPr>
                <w:lang w:val="en-GB"/>
              </w:rPr>
            </w:pPr>
            <w:r w:rsidRPr="00B918E6">
              <w:rPr>
                <w:lang w:val="en-GB"/>
              </w:rPr>
              <w:t>10</w:t>
            </w:r>
            <w:r w:rsidR="00444FF4" w:rsidRPr="00B918E6">
              <w:rPr>
                <w:lang w:val="en-GB"/>
              </w:rPr>
              <w:t>,</w:t>
            </w:r>
            <w:r w:rsidRPr="00B918E6">
              <w:rPr>
                <w:lang w:val="en-GB"/>
              </w:rPr>
              <w:t>516</w:t>
            </w:r>
          </w:p>
        </w:tc>
        <w:tc>
          <w:tcPr>
            <w:tcW w:w="638" w:type="dxa"/>
            <w:shd w:val="clear" w:color="auto" w:fill="FFFFFF"/>
          </w:tcPr>
          <w:p w14:paraId="2BDB113B" w14:textId="5554517A" w:rsidR="007E7559" w:rsidRPr="00B918E6" w:rsidRDefault="007E7559" w:rsidP="00144D32">
            <w:pPr>
              <w:pStyle w:val="CETBodytext"/>
              <w:jc w:val="center"/>
              <w:rPr>
                <w:lang w:val="en-GB"/>
              </w:rPr>
            </w:pPr>
            <w:r w:rsidRPr="00B918E6">
              <w:rPr>
                <w:lang w:val="en-GB"/>
              </w:rPr>
              <w:t>10</w:t>
            </w:r>
            <w:r w:rsidR="00444FF4" w:rsidRPr="00B918E6">
              <w:rPr>
                <w:lang w:val="en-GB"/>
              </w:rPr>
              <w:t>,</w:t>
            </w:r>
            <w:r w:rsidRPr="00B918E6">
              <w:rPr>
                <w:lang w:val="en-GB"/>
              </w:rPr>
              <w:t>614</w:t>
            </w:r>
          </w:p>
        </w:tc>
        <w:tc>
          <w:tcPr>
            <w:tcW w:w="638" w:type="dxa"/>
            <w:shd w:val="clear" w:color="auto" w:fill="FFFFFF"/>
          </w:tcPr>
          <w:p w14:paraId="0E30DB21" w14:textId="447FD1C5" w:rsidR="007E7559" w:rsidRPr="00B918E6" w:rsidRDefault="007E7559" w:rsidP="00144D32">
            <w:pPr>
              <w:pStyle w:val="CETBodytext"/>
              <w:ind w:right="-1"/>
              <w:jc w:val="center"/>
              <w:rPr>
                <w:rFonts w:cs="Arial"/>
                <w:szCs w:val="18"/>
                <w:lang w:val="en-GB"/>
              </w:rPr>
            </w:pPr>
            <w:r w:rsidRPr="00B918E6">
              <w:rPr>
                <w:rFonts w:cs="Arial"/>
                <w:szCs w:val="18"/>
                <w:lang w:val="en-GB"/>
              </w:rPr>
              <w:t>4</w:t>
            </w:r>
            <w:r w:rsidR="00444FF4" w:rsidRPr="00B918E6">
              <w:rPr>
                <w:rFonts w:cs="Arial"/>
                <w:szCs w:val="18"/>
                <w:lang w:val="en-GB"/>
              </w:rPr>
              <w:t>,</w:t>
            </w:r>
            <w:r w:rsidRPr="00B918E6">
              <w:rPr>
                <w:rFonts w:cs="Arial"/>
                <w:szCs w:val="18"/>
                <w:lang w:val="en-GB"/>
              </w:rPr>
              <w:t>191</w:t>
            </w:r>
          </w:p>
        </w:tc>
        <w:tc>
          <w:tcPr>
            <w:tcW w:w="638" w:type="dxa"/>
            <w:shd w:val="clear" w:color="auto" w:fill="FFFFFF"/>
          </w:tcPr>
          <w:p w14:paraId="03533A8A" w14:textId="598AB4B5" w:rsidR="007E7559" w:rsidRPr="00B918E6" w:rsidRDefault="007E7559" w:rsidP="00144D32">
            <w:pPr>
              <w:pStyle w:val="CETBodytext"/>
              <w:ind w:right="-1"/>
              <w:jc w:val="center"/>
              <w:rPr>
                <w:rFonts w:cs="Arial"/>
                <w:szCs w:val="18"/>
                <w:lang w:val="en-GB"/>
              </w:rPr>
            </w:pPr>
            <w:r w:rsidRPr="00B918E6">
              <w:rPr>
                <w:rFonts w:cs="Arial"/>
                <w:szCs w:val="18"/>
                <w:lang w:val="en-GB"/>
              </w:rPr>
              <w:t>3</w:t>
            </w:r>
            <w:r w:rsidR="00444FF4" w:rsidRPr="00B918E6">
              <w:rPr>
                <w:rFonts w:cs="Arial"/>
                <w:szCs w:val="18"/>
                <w:lang w:val="en-GB"/>
              </w:rPr>
              <w:t>,</w:t>
            </w:r>
            <w:r w:rsidRPr="00B918E6">
              <w:rPr>
                <w:rFonts w:cs="Arial"/>
                <w:szCs w:val="18"/>
                <w:lang w:val="en-GB"/>
              </w:rPr>
              <w:t>908</w:t>
            </w:r>
          </w:p>
        </w:tc>
        <w:tc>
          <w:tcPr>
            <w:tcW w:w="637" w:type="dxa"/>
            <w:shd w:val="clear" w:color="auto" w:fill="FFFFFF"/>
          </w:tcPr>
          <w:p w14:paraId="3B2AC0F2" w14:textId="6CAEB0BF" w:rsidR="007E7559" w:rsidRPr="00B918E6" w:rsidRDefault="007E7559" w:rsidP="00144D32">
            <w:pPr>
              <w:pStyle w:val="CETBodytext"/>
              <w:ind w:right="-1"/>
              <w:jc w:val="center"/>
              <w:rPr>
                <w:rFonts w:cs="Arial"/>
                <w:szCs w:val="18"/>
                <w:lang w:val="en-GB"/>
              </w:rPr>
            </w:pPr>
            <w:r w:rsidRPr="00B918E6">
              <w:rPr>
                <w:rFonts w:cs="Arial"/>
                <w:szCs w:val="18"/>
                <w:lang w:val="en-GB"/>
              </w:rPr>
              <w:t>2</w:t>
            </w:r>
            <w:r w:rsidR="00444FF4" w:rsidRPr="00B918E6">
              <w:rPr>
                <w:rFonts w:cs="Arial"/>
                <w:szCs w:val="18"/>
                <w:lang w:val="en-GB"/>
              </w:rPr>
              <w:t>,</w:t>
            </w:r>
            <w:r w:rsidRPr="00B918E6">
              <w:rPr>
                <w:rFonts w:cs="Arial"/>
                <w:szCs w:val="18"/>
                <w:lang w:val="en-GB"/>
              </w:rPr>
              <w:t>076</w:t>
            </w:r>
          </w:p>
        </w:tc>
        <w:tc>
          <w:tcPr>
            <w:tcW w:w="638" w:type="dxa"/>
            <w:shd w:val="clear" w:color="auto" w:fill="FFFFFF"/>
          </w:tcPr>
          <w:p w14:paraId="3CE4530A" w14:textId="3F2BDCB2" w:rsidR="007E7559" w:rsidRPr="00B918E6" w:rsidRDefault="007E7559" w:rsidP="00144D32">
            <w:pPr>
              <w:pStyle w:val="CETBodytext"/>
              <w:ind w:right="-1"/>
              <w:jc w:val="center"/>
              <w:rPr>
                <w:rFonts w:cs="Arial"/>
                <w:szCs w:val="18"/>
                <w:lang w:val="en-GB"/>
              </w:rPr>
            </w:pPr>
            <w:r w:rsidRPr="00B918E6">
              <w:rPr>
                <w:rFonts w:cs="Arial"/>
                <w:szCs w:val="18"/>
                <w:lang w:val="en-GB"/>
              </w:rPr>
              <w:t>5</w:t>
            </w:r>
            <w:r w:rsidR="00444FF4" w:rsidRPr="00B918E6">
              <w:rPr>
                <w:rFonts w:cs="Arial"/>
                <w:szCs w:val="18"/>
                <w:lang w:val="en-GB"/>
              </w:rPr>
              <w:t>,</w:t>
            </w:r>
            <w:r w:rsidRPr="00B918E6">
              <w:rPr>
                <w:rFonts w:cs="Arial"/>
                <w:szCs w:val="18"/>
                <w:lang w:val="en-GB"/>
              </w:rPr>
              <w:t>479</w:t>
            </w:r>
          </w:p>
        </w:tc>
        <w:tc>
          <w:tcPr>
            <w:tcW w:w="638" w:type="dxa"/>
            <w:shd w:val="clear" w:color="auto" w:fill="FFFFFF"/>
          </w:tcPr>
          <w:p w14:paraId="6C0BCB71" w14:textId="74D6F50F" w:rsidR="007E7559" w:rsidRPr="00B918E6" w:rsidRDefault="007E7559" w:rsidP="00144D32">
            <w:pPr>
              <w:pStyle w:val="CETBodytext"/>
              <w:ind w:right="-1"/>
              <w:jc w:val="center"/>
              <w:rPr>
                <w:rFonts w:cs="Arial"/>
                <w:szCs w:val="18"/>
                <w:lang w:val="en-GB"/>
              </w:rPr>
            </w:pPr>
            <w:r w:rsidRPr="00B918E6">
              <w:rPr>
                <w:rFonts w:cs="Arial"/>
                <w:szCs w:val="18"/>
                <w:lang w:val="en-GB"/>
              </w:rPr>
              <w:t>5</w:t>
            </w:r>
            <w:r w:rsidR="00444FF4" w:rsidRPr="00B918E6">
              <w:rPr>
                <w:rFonts w:cs="Arial"/>
                <w:szCs w:val="18"/>
                <w:lang w:val="en-GB"/>
              </w:rPr>
              <w:t>,</w:t>
            </w:r>
            <w:r w:rsidRPr="00B918E6">
              <w:rPr>
                <w:rFonts w:cs="Arial"/>
                <w:szCs w:val="18"/>
                <w:lang w:val="en-GB"/>
              </w:rPr>
              <w:t>159</w:t>
            </w:r>
          </w:p>
        </w:tc>
        <w:tc>
          <w:tcPr>
            <w:tcW w:w="638" w:type="dxa"/>
            <w:shd w:val="clear" w:color="auto" w:fill="FFFFFF"/>
          </w:tcPr>
          <w:p w14:paraId="3BEBFA6B" w14:textId="6C3E492C" w:rsidR="007E7559" w:rsidRPr="00B918E6" w:rsidRDefault="007E7559" w:rsidP="00144D32">
            <w:pPr>
              <w:pStyle w:val="CETBodytext"/>
              <w:ind w:right="-1"/>
              <w:jc w:val="center"/>
              <w:rPr>
                <w:rFonts w:cs="Arial"/>
                <w:szCs w:val="18"/>
                <w:lang w:val="en-GB"/>
              </w:rPr>
            </w:pPr>
            <w:r w:rsidRPr="00B918E6">
              <w:rPr>
                <w:rFonts w:cs="Arial"/>
                <w:szCs w:val="18"/>
                <w:lang w:val="en-GB"/>
              </w:rPr>
              <w:t>5</w:t>
            </w:r>
            <w:r w:rsidR="00444FF4" w:rsidRPr="00B918E6">
              <w:rPr>
                <w:rFonts w:cs="Arial"/>
                <w:szCs w:val="18"/>
                <w:lang w:val="en-GB"/>
              </w:rPr>
              <w:t>,</w:t>
            </w:r>
            <w:r w:rsidRPr="00B918E6">
              <w:rPr>
                <w:rFonts w:cs="Arial"/>
                <w:szCs w:val="18"/>
                <w:lang w:val="en-GB"/>
              </w:rPr>
              <w:t>606</w:t>
            </w:r>
          </w:p>
        </w:tc>
        <w:tc>
          <w:tcPr>
            <w:tcW w:w="637" w:type="dxa"/>
            <w:shd w:val="clear" w:color="auto" w:fill="FFFFFF"/>
          </w:tcPr>
          <w:p w14:paraId="7EA21D07" w14:textId="4505406F" w:rsidR="007E7559" w:rsidRPr="00B918E6" w:rsidRDefault="00144D32" w:rsidP="00144D32">
            <w:pPr>
              <w:pStyle w:val="CETBodytext"/>
              <w:ind w:right="-1"/>
              <w:jc w:val="center"/>
              <w:rPr>
                <w:rFonts w:cs="Arial"/>
                <w:szCs w:val="18"/>
                <w:lang w:val="en-GB"/>
              </w:rPr>
            </w:pPr>
            <w:r w:rsidRPr="00B918E6">
              <w:rPr>
                <w:rFonts w:cs="Arial"/>
                <w:szCs w:val="18"/>
                <w:lang w:val="en-GB"/>
              </w:rPr>
              <w:t>7</w:t>
            </w:r>
            <w:r w:rsidR="00444FF4" w:rsidRPr="00B918E6">
              <w:rPr>
                <w:rFonts w:cs="Arial"/>
                <w:szCs w:val="18"/>
                <w:lang w:val="en-GB"/>
              </w:rPr>
              <w:t>,</w:t>
            </w:r>
            <w:r w:rsidRPr="00B918E6">
              <w:rPr>
                <w:rFonts w:cs="Arial"/>
                <w:szCs w:val="18"/>
                <w:lang w:val="en-GB"/>
              </w:rPr>
              <w:t>641</w:t>
            </w:r>
          </w:p>
        </w:tc>
        <w:tc>
          <w:tcPr>
            <w:tcW w:w="638" w:type="dxa"/>
            <w:shd w:val="clear" w:color="auto" w:fill="FFFFFF"/>
          </w:tcPr>
          <w:p w14:paraId="3DA8DB76" w14:textId="24152583" w:rsidR="007E7559" w:rsidRPr="00B918E6" w:rsidRDefault="00144D32" w:rsidP="00144D32">
            <w:pPr>
              <w:pStyle w:val="CETBodytext"/>
              <w:ind w:right="-1"/>
              <w:jc w:val="center"/>
              <w:rPr>
                <w:rFonts w:cs="Arial"/>
                <w:szCs w:val="18"/>
                <w:lang w:val="en-GB"/>
              </w:rPr>
            </w:pPr>
            <w:r w:rsidRPr="00B918E6">
              <w:rPr>
                <w:rFonts w:cs="Arial"/>
                <w:szCs w:val="18"/>
                <w:lang w:val="en-GB"/>
              </w:rPr>
              <w:t>5</w:t>
            </w:r>
            <w:r w:rsidR="00444FF4" w:rsidRPr="00B918E6">
              <w:rPr>
                <w:rFonts w:cs="Arial"/>
                <w:szCs w:val="18"/>
                <w:lang w:val="en-GB"/>
              </w:rPr>
              <w:t>,</w:t>
            </w:r>
            <w:r w:rsidRPr="00B918E6">
              <w:rPr>
                <w:rFonts w:cs="Arial"/>
                <w:szCs w:val="18"/>
                <w:lang w:val="en-GB"/>
              </w:rPr>
              <w:t>840</w:t>
            </w:r>
          </w:p>
        </w:tc>
        <w:tc>
          <w:tcPr>
            <w:tcW w:w="638" w:type="dxa"/>
            <w:shd w:val="clear" w:color="auto" w:fill="FFFFFF"/>
          </w:tcPr>
          <w:p w14:paraId="33F94B2A" w14:textId="528A5B7B" w:rsidR="007E7559" w:rsidRPr="00B918E6" w:rsidRDefault="00144D32" w:rsidP="00144D32">
            <w:pPr>
              <w:pStyle w:val="CETBodytext"/>
              <w:ind w:right="-1"/>
              <w:jc w:val="center"/>
              <w:rPr>
                <w:rFonts w:cs="Arial"/>
                <w:szCs w:val="18"/>
                <w:lang w:val="en-GB"/>
              </w:rPr>
            </w:pPr>
            <w:r w:rsidRPr="00B918E6">
              <w:rPr>
                <w:rFonts w:cs="Arial"/>
                <w:szCs w:val="18"/>
                <w:lang w:val="en-GB"/>
              </w:rPr>
              <w:t>5</w:t>
            </w:r>
            <w:r w:rsidR="00444FF4" w:rsidRPr="00B918E6">
              <w:rPr>
                <w:rFonts w:cs="Arial"/>
                <w:szCs w:val="18"/>
                <w:lang w:val="en-GB"/>
              </w:rPr>
              <w:t>,</w:t>
            </w:r>
            <w:r w:rsidRPr="00B918E6">
              <w:rPr>
                <w:rFonts w:cs="Arial"/>
                <w:szCs w:val="18"/>
                <w:lang w:val="en-GB"/>
              </w:rPr>
              <w:t>308</w:t>
            </w:r>
          </w:p>
        </w:tc>
        <w:tc>
          <w:tcPr>
            <w:tcW w:w="638" w:type="dxa"/>
            <w:shd w:val="clear" w:color="auto" w:fill="FFFFFF"/>
          </w:tcPr>
          <w:p w14:paraId="24C38333" w14:textId="71EA8DC4" w:rsidR="007E7559" w:rsidRPr="00B918E6" w:rsidRDefault="00144D32" w:rsidP="00144D32">
            <w:pPr>
              <w:pStyle w:val="CETBodytext"/>
              <w:ind w:right="-1"/>
              <w:jc w:val="center"/>
              <w:rPr>
                <w:rFonts w:cs="Arial"/>
                <w:szCs w:val="18"/>
                <w:lang w:val="en-GB"/>
              </w:rPr>
            </w:pPr>
            <w:r w:rsidRPr="00B918E6">
              <w:rPr>
                <w:rFonts w:cs="Arial"/>
                <w:szCs w:val="18"/>
                <w:lang w:val="en-GB"/>
              </w:rPr>
              <w:t>6</w:t>
            </w:r>
            <w:r w:rsidR="00444FF4" w:rsidRPr="00B918E6">
              <w:rPr>
                <w:rFonts w:cs="Arial"/>
                <w:szCs w:val="18"/>
                <w:lang w:val="en-GB"/>
              </w:rPr>
              <w:t>,</w:t>
            </w:r>
            <w:r w:rsidRPr="00B918E6">
              <w:rPr>
                <w:rFonts w:cs="Arial"/>
                <w:szCs w:val="18"/>
                <w:lang w:val="en-GB"/>
              </w:rPr>
              <w:t>003</w:t>
            </w:r>
          </w:p>
        </w:tc>
      </w:tr>
      <w:tr w:rsidR="007E7559" w:rsidRPr="00B918E6" w14:paraId="4A4C3138" w14:textId="7B8D12F7" w:rsidTr="007E7559">
        <w:tc>
          <w:tcPr>
            <w:tcW w:w="1134" w:type="dxa"/>
            <w:shd w:val="clear" w:color="auto" w:fill="FFFFFF"/>
          </w:tcPr>
          <w:p w14:paraId="3BF51A74" w14:textId="0B5D7807" w:rsidR="007E7559" w:rsidRPr="00B918E6" w:rsidRDefault="007E7559" w:rsidP="00DF57F7">
            <w:pPr>
              <w:pStyle w:val="CETBodytext"/>
              <w:ind w:right="-1"/>
              <w:rPr>
                <w:rFonts w:cs="Arial"/>
                <w:szCs w:val="18"/>
                <w:lang w:val="en-GB"/>
              </w:rPr>
            </w:pPr>
            <w:r w:rsidRPr="00B918E6">
              <w:rPr>
                <w:rFonts w:cs="Arial"/>
                <w:szCs w:val="18"/>
                <w:lang w:val="en-GB"/>
              </w:rPr>
              <w:t>Lot II</w:t>
            </w:r>
          </w:p>
        </w:tc>
        <w:tc>
          <w:tcPr>
            <w:tcW w:w="637" w:type="dxa"/>
            <w:shd w:val="clear" w:color="auto" w:fill="FFFFFF"/>
          </w:tcPr>
          <w:p w14:paraId="4504B15A" w14:textId="36F0F784" w:rsidR="007E7559" w:rsidRPr="00B918E6" w:rsidRDefault="00144D32" w:rsidP="00144D32">
            <w:pPr>
              <w:pStyle w:val="CETBodytext"/>
              <w:ind w:right="-1"/>
              <w:jc w:val="center"/>
              <w:rPr>
                <w:rFonts w:cs="Arial"/>
                <w:szCs w:val="18"/>
                <w:lang w:val="en-GB"/>
              </w:rPr>
            </w:pPr>
            <w:r w:rsidRPr="00B918E6">
              <w:rPr>
                <w:rFonts w:cs="Arial"/>
                <w:szCs w:val="18"/>
                <w:lang w:val="en-GB"/>
              </w:rPr>
              <w:t>17</w:t>
            </w:r>
            <w:r w:rsidR="00444FF4" w:rsidRPr="00B918E6">
              <w:rPr>
                <w:rFonts w:cs="Arial"/>
                <w:szCs w:val="18"/>
                <w:lang w:val="en-GB"/>
              </w:rPr>
              <w:t>,</w:t>
            </w:r>
            <w:r w:rsidRPr="00B918E6">
              <w:rPr>
                <w:rFonts w:cs="Arial"/>
                <w:szCs w:val="18"/>
                <w:lang w:val="en-GB"/>
              </w:rPr>
              <w:t>809</w:t>
            </w:r>
          </w:p>
        </w:tc>
        <w:tc>
          <w:tcPr>
            <w:tcW w:w="638" w:type="dxa"/>
            <w:shd w:val="clear" w:color="auto" w:fill="FFFFFF"/>
          </w:tcPr>
          <w:p w14:paraId="6014A209" w14:textId="1EC69CF3" w:rsidR="007E7559" w:rsidRPr="00B918E6" w:rsidRDefault="00144D32" w:rsidP="00144D32">
            <w:pPr>
              <w:pStyle w:val="CETBodytext"/>
              <w:ind w:right="-1"/>
              <w:jc w:val="center"/>
              <w:rPr>
                <w:rFonts w:cs="Arial"/>
                <w:szCs w:val="18"/>
                <w:lang w:val="en-GB"/>
              </w:rPr>
            </w:pPr>
            <w:r w:rsidRPr="00B918E6">
              <w:rPr>
                <w:rFonts w:cs="Arial"/>
                <w:szCs w:val="18"/>
                <w:lang w:val="en-GB"/>
              </w:rPr>
              <w:t>16</w:t>
            </w:r>
            <w:r w:rsidR="00444FF4" w:rsidRPr="00B918E6">
              <w:rPr>
                <w:rFonts w:cs="Arial"/>
                <w:szCs w:val="18"/>
                <w:lang w:val="en-GB"/>
              </w:rPr>
              <w:t>,</w:t>
            </w:r>
            <w:r w:rsidRPr="00B918E6">
              <w:rPr>
                <w:rFonts w:cs="Arial"/>
                <w:szCs w:val="18"/>
                <w:lang w:val="en-GB"/>
              </w:rPr>
              <w:t>992</w:t>
            </w:r>
          </w:p>
        </w:tc>
        <w:tc>
          <w:tcPr>
            <w:tcW w:w="638" w:type="dxa"/>
            <w:shd w:val="clear" w:color="auto" w:fill="FFFFFF"/>
          </w:tcPr>
          <w:p w14:paraId="12991308" w14:textId="769F54F2" w:rsidR="007E7559" w:rsidRPr="00B918E6" w:rsidRDefault="00144D32" w:rsidP="00144D32">
            <w:pPr>
              <w:pStyle w:val="CETBodytext"/>
              <w:ind w:right="-1"/>
              <w:jc w:val="center"/>
              <w:rPr>
                <w:rFonts w:cs="Arial"/>
                <w:szCs w:val="18"/>
                <w:lang w:val="en-GB"/>
              </w:rPr>
            </w:pPr>
            <w:r w:rsidRPr="00B918E6">
              <w:rPr>
                <w:rFonts w:cs="Arial"/>
                <w:szCs w:val="18"/>
                <w:lang w:val="en-GB"/>
              </w:rPr>
              <w:t>31</w:t>
            </w:r>
            <w:r w:rsidR="00444FF4" w:rsidRPr="00B918E6">
              <w:rPr>
                <w:rFonts w:cs="Arial"/>
                <w:szCs w:val="18"/>
                <w:lang w:val="en-GB"/>
              </w:rPr>
              <w:t>,</w:t>
            </w:r>
            <w:r w:rsidRPr="00B918E6">
              <w:rPr>
                <w:rFonts w:cs="Arial"/>
                <w:szCs w:val="18"/>
                <w:lang w:val="en-GB"/>
              </w:rPr>
              <w:t>007</w:t>
            </w:r>
          </w:p>
        </w:tc>
        <w:tc>
          <w:tcPr>
            <w:tcW w:w="638" w:type="dxa"/>
            <w:shd w:val="clear" w:color="auto" w:fill="FFFFFF"/>
          </w:tcPr>
          <w:p w14:paraId="157BD2A1" w14:textId="39437A11" w:rsidR="007E7559" w:rsidRPr="00B918E6" w:rsidRDefault="00144D32" w:rsidP="00144D32">
            <w:pPr>
              <w:pStyle w:val="CETBodytext"/>
              <w:ind w:right="-1"/>
              <w:jc w:val="center"/>
              <w:rPr>
                <w:rFonts w:cs="Arial"/>
                <w:szCs w:val="18"/>
                <w:lang w:val="en-GB"/>
              </w:rPr>
            </w:pPr>
            <w:r w:rsidRPr="00B918E6">
              <w:rPr>
                <w:rFonts w:cs="Arial"/>
                <w:szCs w:val="18"/>
                <w:lang w:val="en-GB"/>
              </w:rPr>
              <w:t>27</w:t>
            </w:r>
            <w:r w:rsidR="00444FF4" w:rsidRPr="00B918E6">
              <w:rPr>
                <w:rFonts w:cs="Arial"/>
                <w:szCs w:val="18"/>
                <w:lang w:val="en-GB"/>
              </w:rPr>
              <w:t>,</w:t>
            </w:r>
            <w:r w:rsidRPr="00B918E6">
              <w:rPr>
                <w:rFonts w:cs="Arial"/>
                <w:szCs w:val="18"/>
                <w:lang w:val="en-GB"/>
              </w:rPr>
              <w:t>265</w:t>
            </w:r>
          </w:p>
        </w:tc>
        <w:tc>
          <w:tcPr>
            <w:tcW w:w="637" w:type="dxa"/>
            <w:shd w:val="clear" w:color="auto" w:fill="FFFFFF"/>
          </w:tcPr>
          <w:p w14:paraId="084FE16E" w14:textId="04BF6FAC" w:rsidR="007E7559" w:rsidRPr="00B918E6" w:rsidRDefault="00144D32" w:rsidP="00144D32">
            <w:pPr>
              <w:pStyle w:val="CETBodytext"/>
              <w:ind w:right="-1"/>
              <w:jc w:val="center"/>
              <w:rPr>
                <w:rFonts w:cs="Arial"/>
                <w:szCs w:val="18"/>
                <w:lang w:val="en-GB"/>
              </w:rPr>
            </w:pPr>
            <w:r w:rsidRPr="00B918E6">
              <w:rPr>
                <w:rFonts w:cs="Arial"/>
                <w:szCs w:val="18"/>
                <w:lang w:val="en-GB"/>
              </w:rPr>
              <w:t>26</w:t>
            </w:r>
            <w:r w:rsidR="00444FF4" w:rsidRPr="00B918E6">
              <w:rPr>
                <w:rFonts w:cs="Arial"/>
                <w:szCs w:val="18"/>
                <w:lang w:val="en-GB"/>
              </w:rPr>
              <w:t>,</w:t>
            </w:r>
            <w:r w:rsidRPr="00B918E6">
              <w:rPr>
                <w:rFonts w:cs="Arial"/>
                <w:szCs w:val="18"/>
                <w:lang w:val="en-GB"/>
              </w:rPr>
              <w:t>406</w:t>
            </w:r>
          </w:p>
        </w:tc>
        <w:tc>
          <w:tcPr>
            <w:tcW w:w="638" w:type="dxa"/>
            <w:shd w:val="clear" w:color="auto" w:fill="FFFFFF"/>
          </w:tcPr>
          <w:p w14:paraId="60143CBD" w14:textId="10BE6FE2" w:rsidR="007E7559" w:rsidRPr="00B918E6" w:rsidRDefault="00144D32" w:rsidP="00144D32">
            <w:pPr>
              <w:pStyle w:val="CETBodytext"/>
              <w:ind w:right="-1"/>
              <w:jc w:val="center"/>
              <w:rPr>
                <w:rFonts w:cs="Arial"/>
                <w:szCs w:val="18"/>
                <w:lang w:val="en-GB"/>
              </w:rPr>
            </w:pPr>
            <w:r w:rsidRPr="00B918E6">
              <w:rPr>
                <w:rFonts w:cs="Arial"/>
                <w:szCs w:val="18"/>
                <w:lang w:val="en-GB"/>
              </w:rPr>
              <w:t>27</w:t>
            </w:r>
            <w:r w:rsidR="00444FF4" w:rsidRPr="00B918E6">
              <w:rPr>
                <w:rFonts w:cs="Arial"/>
                <w:szCs w:val="18"/>
                <w:lang w:val="en-GB"/>
              </w:rPr>
              <w:t>,</w:t>
            </w:r>
            <w:r w:rsidRPr="00B918E6">
              <w:rPr>
                <w:rFonts w:cs="Arial"/>
                <w:szCs w:val="18"/>
                <w:lang w:val="en-GB"/>
              </w:rPr>
              <w:t>512</w:t>
            </w:r>
          </w:p>
        </w:tc>
        <w:tc>
          <w:tcPr>
            <w:tcW w:w="638" w:type="dxa"/>
            <w:shd w:val="clear" w:color="auto" w:fill="FFFFFF"/>
          </w:tcPr>
          <w:p w14:paraId="626A09C6" w14:textId="758436FC" w:rsidR="007E7559" w:rsidRPr="00B918E6" w:rsidRDefault="00144D32" w:rsidP="00144D32">
            <w:pPr>
              <w:pStyle w:val="CETBodytext"/>
              <w:ind w:right="-1"/>
              <w:jc w:val="center"/>
              <w:rPr>
                <w:rFonts w:cs="Arial"/>
                <w:szCs w:val="18"/>
                <w:lang w:val="en-GB"/>
              </w:rPr>
            </w:pPr>
            <w:r w:rsidRPr="00B918E6">
              <w:rPr>
                <w:rFonts w:cs="Arial"/>
                <w:szCs w:val="18"/>
                <w:lang w:val="en-GB"/>
              </w:rPr>
              <w:t>24</w:t>
            </w:r>
            <w:r w:rsidR="00444FF4" w:rsidRPr="00B918E6">
              <w:rPr>
                <w:rFonts w:cs="Arial"/>
                <w:szCs w:val="18"/>
                <w:lang w:val="en-GB"/>
              </w:rPr>
              <w:t>,</w:t>
            </w:r>
            <w:r w:rsidRPr="00B918E6">
              <w:rPr>
                <w:rFonts w:cs="Arial"/>
                <w:szCs w:val="18"/>
                <w:lang w:val="en-GB"/>
              </w:rPr>
              <w:t>487</w:t>
            </w:r>
          </w:p>
        </w:tc>
        <w:tc>
          <w:tcPr>
            <w:tcW w:w="638" w:type="dxa"/>
            <w:shd w:val="clear" w:color="auto" w:fill="FFFFFF"/>
          </w:tcPr>
          <w:p w14:paraId="090B5048" w14:textId="2C89FEEB" w:rsidR="007E7559" w:rsidRPr="00B918E6" w:rsidRDefault="00144D32" w:rsidP="00144D32">
            <w:pPr>
              <w:pStyle w:val="CETBodytext"/>
              <w:ind w:right="-1"/>
              <w:jc w:val="center"/>
              <w:rPr>
                <w:rFonts w:cs="Arial"/>
                <w:szCs w:val="18"/>
                <w:lang w:val="en-GB"/>
              </w:rPr>
            </w:pPr>
            <w:r w:rsidRPr="00B918E6">
              <w:rPr>
                <w:rFonts w:cs="Arial"/>
                <w:szCs w:val="18"/>
                <w:lang w:val="en-GB"/>
              </w:rPr>
              <w:t>22</w:t>
            </w:r>
            <w:r w:rsidR="00444FF4" w:rsidRPr="00B918E6">
              <w:rPr>
                <w:rFonts w:cs="Arial"/>
                <w:szCs w:val="18"/>
                <w:lang w:val="en-GB"/>
              </w:rPr>
              <w:t>,</w:t>
            </w:r>
            <w:r w:rsidRPr="00B918E6">
              <w:rPr>
                <w:rFonts w:cs="Arial"/>
                <w:szCs w:val="18"/>
                <w:lang w:val="en-GB"/>
              </w:rPr>
              <w:t>067</w:t>
            </w:r>
          </w:p>
        </w:tc>
        <w:tc>
          <w:tcPr>
            <w:tcW w:w="637" w:type="dxa"/>
            <w:shd w:val="clear" w:color="auto" w:fill="FFFFFF"/>
          </w:tcPr>
          <w:p w14:paraId="45364CB4" w14:textId="7585AB9A" w:rsidR="007E7559" w:rsidRPr="00B918E6" w:rsidRDefault="00144D32" w:rsidP="00144D32">
            <w:pPr>
              <w:pStyle w:val="CETBodytext"/>
              <w:ind w:right="-1"/>
              <w:jc w:val="center"/>
              <w:rPr>
                <w:rFonts w:cs="Arial"/>
                <w:szCs w:val="18"/>
                <w:lang w:val="en-GB"/>
              </w:rPr>
            </w:pPr>
            <w:r w:rsidRPr="00B918E6">
              <w:rPr>
                <w:rFonts w:cs="Arial"/>
                <w:szCs w:val="18"/>
                <w:lang w:val="en-GB"/>
              </w:rPr>
              <w:t>27</w:t>
            </w:r>
            <w:r w:rsidR="00444FF4" w:rsidRPr="00B918E6">
              <w:rPr>
                <w:rFonts w:cs="Arial"/>
                <w:szCs w:val="18"/>
                <w:lang w:val="en-GB"/>
              </w:rPr>
              <w:t>,</w:t>
            </w:r>
            <w:r w:rsidRPr="00B918E6">
              <w:rPr>
                <w:rFonts w:cs="Arial"/>
                <w:szCs w:val="18"/>
                <w:lang w:val="en-GB"/>
              </w:rPr>
              <w:t>728</w:t>
            </w:r>
          </w:p>
        </w:tc>
        <w:tc>
          <w:tcPr>
            <w:tcW w:w="638" w:type="dxa"/>
            <w:shd w:val="clear" w:color="auto" w:fill="FFFFFF"/>
          </w:tcPr>
          <w:p w14:paraId="739304DE" w14:textId="5A4CE216" w:rsidR="007E7559" w:rsidRPr="00B918E6" w:rsidRDefault="00144D32" w:rsidP="00144D32">
            <w:pPr>
              <w:pStyle w:val="CETBodytext"/>
              <w:ind w:right="-1"/>
              <w:jc w:val="center"/>
              <w:rPr>
                <w:rFonts w:cs="Arial"/>
                <w:szCs w:val="18"/>
                <w:lang w:val="en-GB"/>
              </w:rPr>
            </w:pPr>
            <w:r w:rsidRPr="00B918E6">
              <w:rPr>
                <w:rFonts w:cs="Arial"/>
                <w:szCs w:val="18"/>
                <w:lang w:val="en-GB"/>
              </w:rPr>
              <w:t>21</w:t>
            </w:r>
            <w:r w:rsidR="00444FF4" w:rsidRPr="00B918E6">
              <w:rPr>
                <w:rFonts w:cs="Arial"/>
                <w:szCs w:val="18"/>
                <w:lang w:val="en-GB"/>
              </w:rPr>
              <w:t>,</w:t>
            </w:r>
            <w:r w:rsidRPr="00B918E6">
              <w:rPr>
                <w:rFonts w:cs="Arial"/>
                <w:szCs w:val="18"/>
                <w:lang w:val="en-GB"/>
              </w:rPr>
              <w:t>809</w:t>
            </w:r>
          </w:p>
        </w:tc>
        <w:tc>
          <w:tcPr>
            <w:tcW w:w="638" w:type="dxa"/>
            <w:shd w:val="clear" w:color="auto" w:fill="FFFFFF"/>
          </w:tcPr>
          <w:p w14:paraId="1787114D" w14:textId="20E45055" w:rsidR="007E7559" w:rsidRPr="00B918E6" w:rsidRDefault="00144D32" w:rsidP="00144D32">
            <w:pPr>
              <w:pStyle w:val="CETBodytext"/>
              <w:ind w:right="-1"/>
              <w:jc w:val="center"/>
              <w:rPr>
                <w:rFonts w:cs="Arial"/>
                <w:szCs w:val="18"/>
                <w:lang w:val="en-GB"/>
              </w:rPr>
            </w:pPr>
            <w:r w:rsidRPr="00B918E6">
              <w:rPr>
                <w:rFonts w:cs="Arial"/>
                <w:szCs w:val="18"/>
                <w:lang w:val="en-GB"/>
              </w:rPr>
              <w:t>20</w:t>
            </w:r>
            <w:r w:rsidR="00444FF4" w:rsidRPr="00B918E6">
              <w:rPr>
                <w:rFonts w:cs="Arial"/>
                <w:szCs w:val="18"/>
                <w:lang w:val="en-GB"/>
              </w:rPr>
              <w:t>,</w:t>
            </w:r>
            <w:r w:rsidRPr="00B918E6">
              <w:rPr>
                <w:rFonts w:cs="Arial"/>
                <w:szCs w:val="18"/>
                <w:lang w:val="en-GB"/>
              </w:rPr>
              <w:t>787</w:t>
            </w:r>
          </w:p>
        </w:tc>
        <w:tc>
          <w:tcPr>
            <w:tcW w:w="638" w:type="dxa"/>
            <w:shd w:val="clear" w:color="auto" w:fill="FFFFFF"/>
          </w:tcPr>
          <w:p w14:paraId="6E1D8CF5" w14:textId="4E4D7D95" w:rsidR="007E7559" w:rsidRPr="00B918E6" w:rsidRDefault="00144D32" w:rsidP="00144D32">
            <w:pPr>
              <w:pStyle w:val="CETBodytext"/>
              <w:ind w:right="-1"/>
              <w:jc w:val="center"/>
              <w:rPr>
                <w:rFonts w:cs="Arial"/>
                <w:szCs w:val="18"/>
                <w:lang w:val="en-GB"/>
              </w:rPr>
            </w:pPr>
            <w:r w:rsidRPr="00B918E6">
              <w:rPr>
                <w:rFonts w:cs="Arial"/>
                <w:szCs w:val="18"/>
                <w:lang w:val="en-GB"/>
              </w:rPr>
              <w:t>28</w:t>
            </w:r>
            <w:r w:rsidR="00444FF4" w:rsidRPr="00B918E6">
              <w:rPr>
                <w:rFonts w:cs="Arial"/>
                <w:szCs w:val="18"/>
                <w:lang w:val="en-GB"/>
              </w:rPr>
              <w:t>,</w:t>
            </w:r>
            <w:r w:rsidRPr="00B918E6">
              <w:rPr>
                <w:rFonts w:cs="Arial"/>
                <w:szCs w:val="18"/>
                <w:lang w:val="en-GB"/>
              </w:rPr>
              <w:t>109</w:t>
            </w:r>
          </w:p>
        </w:tc>
      </w:tr>
    </w:tbl>
    <w:p w14:paraId="784E45C3" w14:textId="77777777" w:rsidR="007E7559" w:rsidRPr="00B918E6" w:rsidRDefault="007E7559" w:rsidP="00360F51">
      <w:pPr>
        <w:pStyle w:val="CETBodytext"/>
        <w:rPr>
          <w:bCs/>
          <w:lang w:val="en-GB"/>
        </w:rPr>
      </w:pPr>
    </w:p>
    <w:p w14:paraId="37962B67" w14:textId="673EA64B" w:rsidR="00B56A44" w:rsidRPr="00B918E6" w:rsidRDefault="00B56A44" w:rsidP="00B56A44">
      <w:r w:rsidRPr="00B918E6">
        <w:t>In 2019, the implementation of the OGI survey, along with FID detection and IOMS fenceline monitoring, significantly enhanced the efficiency of the biogas management system which led to a decrease in both H</w:t>
      </w:r>
      <w:r w:rsidRPr="00B918E6">
        <w:rPr>
          <w:vertAlign w:val="subscript"/>
        </w:rPr>
        <w:t>2</w:t>
      </w:r>
      <w:r w:rsidRPr="00B918E6">
        <w:t xml:space="preserve">S and </w:t>
      </w:r>
      <w:r w:rsidR="00444FF4" w:rsidRPr="00B918E6">
        <w:t>odour</w:t>
      </w:r>
      <w:r w:rsidRPr="00B918E6">
        <w:t xml:space="preserve"> concentrations detected at the landfill fenceline (Cangialosi et al., 2021). Subsequently, LDAR surveys have been carried out monthly at the site for the past few years. The overall collection efficiency is high, with only a small number of areas with poor biogas uptake. Furthermore, occurrences of fugitive emissions from valves or wellhead junctions are exceptionally rare and are promptly addressed within hours of being identified. Despite these improvements, the current LDAR survey reveals numerous LFG wells with high emissivity (CH</w:t>
      </w:r>
      <w:r w:rsidRPr="00B918E6">
        <w:rPr>
          <w:vertAlign w:val="subscript"/>
        </w:rPr>
        <w:t>4</w:t>
      </w:r>
      <w:r w:rsidRPr="00B918E6">
        <w:t xml:space="preserve"> concentration &gt;10</w:t>
      </w:r>
      <w:r w:rsidR="00444FF4" w:rsidRPr="00B918E6">
        <w:t>,</w:t>
      </w:r>
      <w:r w:rsidRPr="00B918E6">
        <w:t>000 ppm), although only a few of them contribute to a significant emission area (Figure 1).</w:t>
      </w:r>
    </w:p>
    <w:p w14:paraId="37EEAF41" w14:textId="31513C3E" w:rsidR="00125370" w:rsidRPr="00B918E6" w:rsidRDefault="00125370" w:rsidP="00AE2431">
      <w:pPr>
        <w:pStyle w:val="CETBodytext"/>
        <w:jc w:val="left"/>
        <w:rPr>
          <w:lang w:val="en-GB"/>
        </w:rPr>
      </w:pPr>
      <w:r w:rsidRPr="00B918E6">
        <w:rPr>
          <w:noProof/>
          <w:lang w:val="en-GB"/>
        </w:rPr>
        <w:drawing>
          <wp:inline distT="0" distB="0" distL="0" distR="0" wp14:anchorId="797C1985" wp14:editId="0967A32B">
            <wp:extent cx="3176337" cy="3116023"/>
            <wp:effectExtent l="0" t="0" r="5080" b="8255"/>
            <wp:docPr id="863122821"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a:extLst>
                        <a:ext uri="{28A0092B-C50C-407E-A947-70E740481C1C}">
                          <a14:useLocalDpi xmlns:a14="http://schemas.microsoft.com/office/drawing/2010/main" val="0"/>
                        </a:ext>
                      </a:extLst>
                    </a:blip>
                    <a:srcRect r="27936"/>
                    <a:stretch/>
                  </pic:blipFill>
                  <pic:spPr bwMode="auto">
                    <a:xfrm>
                      <a:off x="0" y="0"/>
                      <a:ext cx="3287938" cy="3225505"/>
                    </a:xfrm>
                    <a:prstGeom prst="rect">
                      <a:avLst/>
                    </a:prstGeom>
                    <a:noFill/>
                    <a:ln>
                      <a:noFill/>
                    </a:ln>
                    <a:extLst>
                      <a:ext uri="{53640926-AAD7-44D8-BBD7-CCE9431645EC}">
                        <a14:shadowObscured xmlns:a14="http://schemas.microsoft.com/office/drawing/2010/main"/>
                      </a:ext>
                    </a:extLst>
                  </pic:spPr>
                </pic:pic>
              </a:graphicData>
            </a:graphic>
          </wp:inline>
        </w:drawing>
      </w:r>
    </w:p>
    <w:p w14:paraId="61E1F360" w14:textId="110FCCB6" w:rsidR="000E6061" w:rsidRPr="00B918E6" w:rsidRDefault="000E6061" w:rsidP="00AE2431">
      <w:pPr>
        <w:pStyle w:val="CETCaption"/>
      </w:pPr>
      <w:bookmarkStart w:id="3" w:name="_Ref160719761"/>
      <w:r w:rsidRPr="00B918E6">
        <w:t xml:space="preserve">Figure </w:t>
      </w:r>
      <w:r w:rsidRPr="00B918E6">
        <w:fldChar w:fldCharType="begin"/>
      </w:r>
      <w:r w:rsidRPr="00B918E6">
        <w:instrText xml:space="preserve"> SEQ Figure \* ARABIC </w:instrText>
      </w:r>
      <w:r w:rsidRPr="00B918E6">
        <w:fldChar w:fldCharType="separate"/>
      </w:r>
      <w:r w:rsidR="00A579D6" w:rsidRPr="00B918E6">
        <w:t>1</w:t>
      </w:r>
      <w:r w:rsidRPr="00B918E6">
        <w:fldChar w:fldCharType="end"/>
      </w:r>
      <w:bookmarkEnd w:id="3"/>
      <w:r w:rsidRPr="00B918E6">
        <w:t>:</w:t>
      </w:r>
      <w:r w:rsidR="00101BE7" w:rsidRPr="00B918E6">
        <w:t xml:space="preserve"> Example of</w:t>
      </w:r>
      <w:r w:rsidRPr="00B918E6">
        <w:t xml:space="preserve"> </w:t>
      </w:r>
      <w:r w:rsidR="00101BE7" w:rsidRPr="00B918E6">
        <w:t xml:space="preserve">LDAR survey results with FID </w:t>
      </w:r>
    </w:p>
    <w:p w14:paraId="0B7F7A5D" w14:textId="07E728E7" w:rsidR="000E6061" w:rsidRDefault="002718F7" w:rsidP="00594E58">
      <w:pPr>
        <w:pStyle w:val="CETBodytext"/>
        <w:rPr>
          <w:lang w:val="en-GB"/>
        </w:rPr>
      </w:pPr>
      <w:r w:rsidRPr="00B918E6">
        <w:rPr>
          <w:lang w:val="en-GB"/>
        </w:rPr>
        <w:t xml:space="preserve">The </w:t>
      </w:r>
      <w:r w:rsidR="002C3C43" w:rsidRPr="00B918E6">
        <w:rPr>
          <w:lang w:val="en-GB"/>
        </w:rPr>
        <w:t>utilization</w:t>
      </w:r>
      <w:r w:rsidRPr="00B918E6">
        <w:rPr>
          <w:lang w:val="en-GB"/>
        </w:rPr>
        <w:t xml:space="preserve"> of OGI technology enabled field technicians to </w:t>
      </w:r>
      <w:r w:rsidR="002C3C43" w:rsidRPr="00B918E6">
        <w:rPr>
          <w:lang w:val="en-GB"/>
        </w:rPr>
        <w:t>recognize</w:t>
      </w:r>
      <w:r w:rsidRPr="00B918E6">
        <w:rPr>
          <w:lang w:val="en-GB"/>
        </w:rPr>
        <w:t xml:space="preserve"> that fugitive emissions of LFG are not associated with pipe</w:t>
      </w:r>
      <w:r w:rsidR="00415B12" w:rsidRPr="00B918E6">
        <w:rPr>
          <w:lang w:val="en-GB"/>
        </w:rPr>
        <w:t>s/</w:t>
      </w:r>
      <w:r w:rsidRPr="00B918E6">
        <w:rPr>
          <w:lang w:val="en-GB"/>
        </w:rPr>
        <w:t>valve</w:t>
      </w:r>
      <w:r w:rsidR="00415B12" w:rsidRPr="00B918E6">
        <w:rPr>
          <w:lang w:val="en-GB"/>
        </w:rPr>
        <w:t>s</w:t>
      </w:r>
      <w:r w:rsidRPr="00B918E6">
        <w:rPr>
          <w:lang w:val="en-GB"/>
        </w:rPr>
        <w:t xml:space="preserve"> connections but rather with the migration of biogas to the surface near wells. Most of the wells </w:t>
      </w:r>
      <w:r w:rsidR="002C3C43" w:rsidRPr="00B918E6">
        <w:rPr>
          <w:lang w:val="en-GB"/>
        </w:rPr>
        <w:t>show</w:t>
      </w:r>
      <w:r w:rsidRPr="00B918E6">
        <w:rPr>
          <w:lang w:val="en-GB"/>
        </w:rPr>
        <w:t xml:space="preserve"> limited </w:t>
      </w:r>
      <w:r w:rsidR="00CA2B8C">
        <w:rPr>
          <w:lang w:val="en-GB"/>
        </w:rPr>
        <w:t xml:space="preserve">fugitive </w:t>
      </w:r>
      <w:r w:rsidRPr="00B918E6">
        <w:rPr>
          <w:lang w:val="en-GB"/>
        </w:rPr>
        <w:t xml:space="preserve">emissions, with methane leakage rates found to be below the detection threshold of QOGI (350 g/h). However, a few wells, particularly those with medium to high extension zones, are </w:t>
      </w:r>
      <w:r w:rsidRPr="00B918E6">
        <w:rPr>
          <w:lang w:val="en-GB"/>
        </w:rPr>
        <w:lastRenderedPageBreak/>
        <w:t>characterized by methane flux in the order of magnitude of 1</w:t>
      </w:r>
      <w:r w:rsidR="00444FF4" w:rsidRPr="00B918E6">
        <w:rPr>
          <w:lang w:val="en-GB"/>
        </w:rPr>
        <w:t>,</w:t>
      </w:r>
      <w:r w:rsidRPr="00B918E6">
        <w:rPr>
          <w:lang w:val="en-GB"/>
        </w:rPr>
        <w:t>000 g/h</w:t>
      </w:r>
      <w:r w:rsidR="002C3C43" w:rsidRPr="00B918E6">
        <w:rPr>
          <w:lang w:val="en-GB"/>
        </w:rPr>
        <w:t xml:space="preserve"> (range 500 </w:t>
      </w:r>
      <w:r w:rsidR="002C3C43" w:rsidRPr="00B918E6">
        <w:rPr>
          <w:rFonts w:cs="Arial"/>
          <w:lang w:val="en-GB"/>
        </w:rPr>
        <w:t>÷</w:t>
      </w:r>
      <w:r w:rsidR="002C3C43" w:rsidRPr="00B918E6">
        <w:rPr>
          <w:lang w:val="en-GB"/>
        </w:rPr>
        <w:t>1</w:t>
      </w:r>
      <w:r w:rsidR="00981A17">
        <w:rPr>
          <w:lang w:val="en-GB"/>
        </w:rPr>
        <w:t>,</w:t>
      </w:r>
      <w:r w:rsidR="002C3C43" w:rsidRPr="00B918E6">
        <w:rPr>
          <w:lang w:val="en-GB"/>
        </w:rPr>
        <w:t>500 g/h)</w:t>
      </w:r>
      <w:r w:rsidRPr="00B918E6">
        <w:rPr>
          <w:lang w:val="en-GB"/>
        </w:rPr>
        <w:t>, as illustrated in Figure 2.</w:t>
      </w:r>
    </w:p>
    <w:p w14:paraId="56D4FE56" w14:textId="36B73197" w:rsidR="00AF536F" w:rsidRPr="00B918E6" w:rsidRDefault="00AF536F" w:rsidP="00594E58">
      <w:pPr>
        <w:pStyle w:val="CETBodytext"/>
        <w:rPr>
          <w:lang w:val="en-GB"/>
        </w:rPr>
      </w:pPr>
      <w:r>
        <w:rPr>
          <w:noProof/>
          <w:lang w:val="en-GB"/>
        </w:rPr>
        <w:drawing>
          <wp:inline distT="0" distB="0" distL="0" distR="0" wp14:anchorId="2CF64D17" wp14:editId="6D6DAEA9">
            <wp:extent cx="2960606" cy="2815390"/>
            <wp:effectExtent l="0" t="0" r="0" b="4445"/>
            <wp:docPr id="168491507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915071" name="Immagine 1684915071"/>
                    <pic:cNvPicPr/>
                  </pic:nvPicPr>
                  <pic:blipFill>
                    <a:blip r:embed="rId11"/>
                    <a:stretch>
                      <a:fillRect/>
                    </a:stretch>
                  </pic:blipFill>
                  <pic:spPr>
                    <a:xfrm>
                      <a:off x="0" y="0"/>
                      <a:ext cx="2978734" cy="2832629"/>
                    </a:xfrm>
                    <a:prstGeom prst="rect">
                      <a:avLst/>
                    </a:prstGeom>
                  </pic:spPr>
                </pic:pic>
              </a:graphicData>
            </a:graphic>
          </wp:inline>
        </w:drawing>
      </w:r>
    </w:p>
    <w:p w14:paraId="29277E5D" w14:textId="3E6F895D" w:rsidR="000E6061" w:rsidRPr="00B918E6" w:rsidRDefault="000E6061" w:rsidP="00AE2431">
      <w:pPr>
        <w:pStyle w:val="CETCaption"/>
        <w:rPr>
          <w:rFonts w:cs="Arial"/>
        </w:rPr>
      </w:pPr>
      <w:r w:rsidRPr="00B918E6">
        <w:t xml:space="preserve">Figure </w:t>
      </w:r>
      <w:r w:rsidRPr="00B918E6">
        <w:fldChar w:fldCharType="begin"/>
      </w:r>
      <w:r w:rsidRPr="00B918E6">
        <w:instrText xml:space="preserve"> SEQ Figure \* ARABIC </w:instrText>
      </w:r>
      <w:r w:rsidRPr="00B918E6">
        <w:fldChar w:fldCharType="separate"/>
      </w:r>
      <w:r w:rsidR="00A579D6" w:rsidRPr="00B918E6">
        <w:t>2</w:t>
      </w:r>
      <w:r w:rsidRPr="00B918E6">
        <w:fldChar w:fldCharType="end"/>
      </w:r>
      <w:r w:rsidRPr="00B918E6">
        <w:rPr>
          <w:iCs/>
        </w:rPr>
        <w:t xml:space="preserve">: </w:t>
      </w:r>
      <w:r w:rsidR="00981A17">
        <w:rPr>
          <w:iCs/>
        </w:rPr>
        <w:t>M</w:t>
      </w:r>
      <w:r w:rsidRPr="00B918E6">
        <w:rPr>
          <w:rFonts w:cs="Arial"/>
        </w:rPr>
        <w:t>easurements</w:t>
      </w:r>
      <w:r w:rsidR="00981A17">
        <w:rPr>
          <w:rFonts w:cs="Arial"/>
        </w:rPr>
        <w:t xml:space="preserve"> of methane leak rate</w:t>
      </w:r>
      <w:r w:rsidRPr="00B918E6">
        <w:rPr>
          <w:rFonts w:cs="Arial"/>
        </w:rPr>
        <w:t xml:space="preserve"> using QOGI</w:t>
      </w:r>
    </w:p>
    <w:p w14:paraId="1AFC6628" w14:textId="54F2AE01" w:rsidR="00260354" w:rsidRPr="00B918E6" w:rsidRDefault="00444FF4" w:rsidP="009170E5">
      <w:r w:rsidRPr="00B918E6">
        <w:t>These empirical findings suggest that part of the biogas migrating toward the well isn't adequately collected by the well itself.</w:t>
      </w:r>
      <w:r w:rsidR="001D677E" w:rsidRPr="00B918E6">
        <w:t xml:space="preserve"> Instead, it vertically migrates along the permeable drain that fills the space between the borehole and the well screen, eventually escaping from the surface due to imperfect sealing of the wellhead to the landfill surface. It is estimated that this fraction accounts for 10% of the biogas collected by those wells exhibiting high methane concentration (</w:t>
      </w:r>
      <w:r w:rsidR="00296A87">
        <w:rPr>
          <w:rFonts w:cs="Arial"/>
        </w:rPr>
        <w:t xml:space="preserve">around </w:t>
      </w:r>
      <w:r w:rsidRPr="00B918E6">
        <w:rPr>
          <w:rFonts w:cs="Arial"/>
          <w:color w:val="0D0D0D"/>
          <w:shd w:val="clear" w:color="auto" w:fill="FFFFFF"/>
        </w:rPr>
        <w:t xml:space="preserve">10,000 </w:t>
      </w:r>
      <w:r w:rsidR="001D677E" w:rsidRPr="00B918E6">
        <w:t>ppm) and small emission zones:</w:t>
      </w:r>
      <w:r w:rsidRPr="00B918E6">
        <w:t xml:space="preserve"> </w:t>
      </w:r>
      <w:r w:rsidR="001D677E" w:rsidRPr="00B918E6">
        <w:t>the calculation yields a fugitive emissions flow rate of 0.28 m</w:t>
      </w:r>
      <w:r w:rsidR="001D677E" w:rsidRPr="00B918E6">
        <w:rPr>
          <w:vertAlign w:val="superscript"/>
        </w:rPr>
        <w:t>3</w:t>
      </w:r>
      <w:r w:rsidR="001D677E" w:rsidRPr="00B918E6">
        <w:t>/h of LFG per well, equivalent to 100 g/h of methane. This estimated value can be compared to field measurements obtained using QOGI</w:t>
      </w:r>
      <w:r w:rsidR="000F4E1E" w:rsidRPr="00B918E6">
        <w:t xml:space="preserve">, </w:t>
      </w:r>
      <w:r w:rsidR="00260354" w:rsidRPr="00B918E6">
        <w:t xml:space="preserve">although, </w:t>
      </w:r>
      <w:r w:rsidR="000F4E1E" w:rsidRPr="00B918E6">
        <w:t xml:space="preserve">in the present case, </w:t>
      </w:r>
      <w:r w:rsidR="00260354" w:rsidRPr="00B918E6">
        <w:t xml:space="preserve">these measurements fell </w:t>
      </w:r>
      <w:r w:rsidR="000F4E1E" w:rsidRPr="00B918E6">
        <w:t>below the detection threshold of QOGI</w:t>
      </w:r>
      <w:r w:rsidR="001D677E" w:rsidRPr="00B918E6">
        <w:t>.</w:t>
      </w:r>
      <w:r w:rsidR="00260354" w:rsidRPr="00B918E6">
        <w:t xml:space="preserve"> The information that the values fall below the detection threshold could </w:t>
      </w:r>
      <w:r w:rsidR="009170E5" w:rsidRPr="00B918E6">
        <w:t xml:space="preserve">nonetheless </w:t>
      </w:r>
      <w:r w:rsidR="00260354" w:rsidRPr="00B918E6">
        <w:t>provide valuable insights for a conservative approach to model</w:t>
      </w:r>
      <w:r w:rsidR="00696741">
        <w:t>l</w:t>
      </w:r>
      <w:r w:rsidR="00260354" w:rsidRPr="00B918E6">
        <w:t>ing fugitive emissions. Considering that 350 g/h is the upper limit of methane fugitive emission rate detectable by QOGI, it's common practice in statistical data analysis for model</w:t>
      </w:r>
      <w:r w:rsidR="00696741">
        <w:t>l</w:t>
      </w:r>
      <w:r w:rsidR="00260354" w:rsidRPr="00B918E6">
        <w:t>ing to employ half the detection limit (175 g/h), assuming a uniform distribution between zero and the detection threshold. Therefore, the hypothesized biogas leaks around the well (100 g/h) can be regarded as a conservative initial estimate of fugitive methane emissions</w:t>
      </w:r>
      <w:r w:rsidR="009170E5" w:rsidRPr="00B918E6">
        <w:t xml:space="preserve">. </w:t>
      </w:r>
      <w:r w:rsidR="00260354" w:rsidRPr="00B918E6">
        <w:t>Therefore, the corresponding LFG emission of 0.28 m</w:t>
      </w:r>
      <w:r w:rsidR="00260354" w:rsidRPr="00B918E6">
        <w:rPr>
          <w:vertAlign w:val="superscript"/>
        </w:rPr>
        <w:t>3</w:t>
      </w:r>
      <w:r w:rsidR="00260354" w:rsidRPr="00B918E6">
        <w:t xml:space="preserve">/h can be utilized to assess the impact of fugitive emissions on </w:t>
      </w:r>
      <w:r w:rsidRPr="00B918E6">
        <w:t>odour</w:t>
      </w:r>
      <w:r w:rsidR="00260354" w:rsidRPr="00B918E6">
        <w:t xml:space="preserve"> dispersion model</w:t>
      </w:r>
      <w:r w:rsidR="00696741">
        <w:t>l</w:t>
      </w:r>
      <w:r w:rsidR="00260354" w:rsidRPr="00B918E6">
        <w:t xml:space="preserve">ing. The Odour Emission Rate (OER) of fugitive emissions from each well with high emissivity and small extension zones is calculated using </w:t>
      </w:r>
      <w:proofErr w:type="spellStart"/>
      <w:proofErr w:type="gramStart"/>
      <w:r w:rsidR="00696741">
        <w:t>Eq</w:t>
      </w:r>
      <w:proofErr w:type="spellEnd"/>
      <w:r w:rsidR="00696741">
        <w:t>(</w:t>
      </w:r>
      <w:proofErr w:type="gramEnd"/>
      <w:r w:rsidR="00696741">
        <w:t>1)</w:t>
      </w:r>
      <w:r w:rsidR="00260354" w:rsidRPr="00B918E6">
        <w:t xml:space="preserve">, </w:t>
      </w:r>
      <w:r w:rsidR="00260354" w:rsidRPr="00B918E6">
        <w:rPr>
          <w:rFonts w:cs="Arial"/>
        </w:rPr>
        <w:t xml:space="preserve">assuming an </w:t>
      </w:r>
      <w:r w:rsidRPr="00B918E6">
        <w:rPr>
          <w:rFonts w:cs="Arial"/>
        </w:rPr>
        <w:t>odour</w:t>
      </w:r>
      <w:r w:rsidR="00260354" w:rsidRPr="00B918E6">
        <w:rPr>
          <w:rFonts w:cs="Arial"/>
        </w:rPr>
        <w:t xml:space="preserve"> concentration of biogas of 300,000 </w:t>
      </w:r>
      <w:proofErr w:type="spellStart"/>
      <w:r w:rsidR="00260354" w:rsidRPr="00B918E6">
        <w:rPr>
          <w:rFonts w:cs="Arial"/>
        </w:rPr>
        <w:t>ou</w:t>
      </w:r>
      <w:r w:rsidR="00260354" w:rsidRPr="00696741">
        <w:rPr>
          <w:rFonts w:cs="Arial"/>
          <w:vertAlign w:val="subscript"/>
        </w:rPr>
        <w:t>E</w:t>
      </w:r>
      <w:proofErr w:type="spellEnd"/>
      <w:r w:rsidR="00260354" w:rsidRPr="00B918E6">
        <w:rPr>
          <w:rFonts w:cs="Arial"/>
        </w:rPr>
        <w:t>/m</w:t>
      </w:r>
      <w:r w:rsidR="00260354" w:rsidRPr="00B918E6">
        <w:rPr>
          <w:rFonts w:cs="Arial"/>
          <w:vertAlign w:val="superscript"/>
        </w:rPr>
        <w:t>3</w:t>
      </w:r>
      <w:r w:rsidR="00260354" w:rsidRPr="00B918E6">
        <w:rPr>
          <w:rFonts w:cs="Arial"/>
        </w:rPr>
        <w:t xml:space="preserve"> (</w:t>
      </w:r>
      <w:proofErr w:type="spellStart"/>
      <w:r w:rsidR="00260354" w:rsidRPr="00B918E6">
        <w:rPr>
          <w:rFonts w:cs="Arial"/>
        </w:rPr>
        <w:t>Lucernoni</w:t>
      </w:r>
      <w:proofErr w:type="spellEnd"/>
      <w:r w:rsidR="00260354" w:rsidRPr="00B918E6">
        <w:rPr>
          <w:rFonts w:cs="Arial"/>
        </w:rPr>
        <w:t xml:space="preserve"> et al., 2016), resulting in 23.5 </w:t>
      </w:r>
      <w:proofErr w:type="spellStart"/>
      <w:r w:rsidR="00260354" w:rsidRPr="00B918E6">
        <w:rPr>
          <w:rFonts w:cs="Arial"/>
        </w:rPr>
        <w:t>ou</w:t>
      </w:r>
      <w:r w:rsidR="00260354" w:rsidRPr="00696741">
        <w:rPr>
          <w:rFonts w:cs="Arial"/>
          <w:vertAlign w:val="subscript"/>
        </w:rPr>
        <w:t>E</w:t>
      </w:r>
      <w:proofErr w:type="spellEnd"/>
      <w:r w:rsidR="00260354" w:rsidRPr="00B918E6">
        <w:rPr>
          <w:rFonts w:cs="Arial"/>
        </w:rPr>
        <w:t>/s.</w:t>
      </w:r>
      <w:r w:rsidR="009170E5" w:rsidRPr="00B918E6">
        <w:rPr>
          <w:rFonts w:cs="Arial"/>
          <w:color w:val="0D0D0D"/>
          <w:shd w:val="clear" w:color="auto" w:fill="FFFFFF"/>
        </w:rPr>
        <w:t xml:space="preserve"> For simulation purposes, the following assumptions were made: (</w:t>
      </w:r>
      <w:proofErr w:type="spellStart"/>
      <w:r w:rsidR="009170E5" w:rsidRPr="00B918E6">
        <w:rPr>
          <w:rFonts w:cs="Arial"/>
          <w:color w:val="0D0D0D"/>
          <w:shd w:val="clear" w:color="auto" w:fill="FFFFFF"/>
        </w:rPr>
        <w:t>i</w:t>
      </w:r>
      <w:proofErr w:type="spellEnd"/>
      <w:r w:rsidR="009170E5" w:rsidRPr="00B918E6">
        <w:rPr>
          <w:rFonts w:cs="Arial"/>
          <w:color w:val="0D0D0D"/>
          <w:shd w:val="clear" w:color="auto" w:fill="FFFFFF"/>
        </w:rPr>
        <w:t xml:space="preserve">) </w:t>
      </w:r>
      <w:r w:rsidR="00415B12" w:rsidRPr="00B918E6">
        <w:rPr>
          <w:rFonts w:cs="Arial"/>
          <w:color w:val="0D0D0D"/>
          <w:shd w:val="clear" w:color="auto" w:fill="FFFFFF"/>
        </w:rPr>
        <w:t>w</w:t>
      </w:r>
      <w:r w:rsidR="009170E5" w:rsidRPr="00B918E6">
        <w:rPr>
          <w:rFonts w:cs="Arial"/>
          <w:color w:val="0D0D0D"/>
          <w:shd w:val="clear" w:color="auto" w:fill="FFFFFF"/>
        </w:rPr>
        <w:t xml:space="preserve">ells with low or medium methane concentrations (marked in green and yellow in Figure 1) are not considered relevant in terms of fugitive emissions; (ii) </w:t>
      </w:r>
      <w:r w:rsidR="00415B12" w:rsidRPr="00B918E6">
        <w:rPr>
          <w:rFonts w:cs="Arial"/>
          <w:color w:val="0D0D0D"/>
          <w:shd w:val="clear" w:color="auto" w:fill="FFFFFF"/>
        </w:rPr>
        <w:t>w</w:t>
      </w:r>
      <w:r w:rsidR="009170E5" w:rsidRPr="00B918E6">
        <w:rPr>
          <w:rFonts w:cs="Arial"/>
          <w:color w:val="0D0D0D"/>
          <w:shd w:val="clear" w:color="auto" w:fill="FFFFFF"/>
        </w:rPr>
        <w:t xml:space="preserve">ells with high methane concentrations and small extensions (marked in red in Figure 1) are regarded as sources with an Odour Emission Rate (OER) of 23.5 </w:t>
      </w:r>
      <w:proofErr w:type="spellStart"/>
      <w:r w:rsidR="009170E5" w:rsidRPr="00B918E6">
        <w:rPr>
          <w:rFonts w:cs="Arial"/>
          <w:color w:val="0D0D0D"/>
          <w:shd w:val="clear" w:color="auto" w:fill="FFFFFF"/>
        </w:rPr>
        <w:t>ou</w:t>
      </w:r>
      <w:r w:rsidR="009170E5" w:rsidRPr="00696741">
        <w:rPr>
          <w:rFonts w:cs="Arial"/>
          <w:color w:val="0D0D0D"/>
          <w:shd w:val="clear" w:color="auto" w:fill="FFFFFF"/>
          <w:vertAlign w:val="subscript"/>
        </w:rPr>
        <w:t>E</w:t>
      </w:r>
      <w:proofErr w:type="spellEnd"/>
      <w:r w:rsidR="009170E5" w:rsidRPr="00B918E6">
        <w:rPr>
          <w:rFonts w:cs="Arial"/>
          <w:color w:val="0D0D0D"/>
          <w:shd w:val="clear" w:color="auto" w:fill="FFFFFF"/>
        </w:rPr>
        <w:t xml:space="preserve">/s; (iii) </w:t>
      </w:r>
      <w:r w:rsidR="00415B12" w:rsidRPr="00B918E6">
        <w:rPr>
          <w:rFonts w:cs="Arial"/>
          <w:color w:val="0D0D0D"/>
          <w:shd w:val="clear" w:color="auto" w:fill="FFFFFF"/>
        </w:rPr>
        <w:t>w</w:t>
      </w:r>
      <w:r w:rsidR="009170E5" w:rsidRPr="00B918E6">
        <w:rPr>
          <w:rFonts w:cs="Arial"/>
          <w:color w:val="0D0D0D"/>
          <w:shd w:val="clear" w:color="auto" w:fill="FFFFFF"/>
        </w:rPr>
        <w:t>ells with high methane concentrations and medium to high extensions (marked in red, covering large areas in Figure 1) are neglected as they represent less than 2% of the total wells. Analysis of the maps derived from LDAR surveys conducted in 2023 enabled the identification of points with methane concentrations exceeding 10</w:t>
      </w:r>
      <w:r w:rsidRPr="00B918E6">
        <w:rPr>
          <w:rFonts w:cs="Arial"/>
          <w:color w:val="0D0D0D"/>
          <w:shd w:val="clear" w:color="auto" w:fill="FFFFFF"/>
        </w:rPr>
        <w:t>,</w:t>
      </w:r>
      <w:r w:rsidR="009170E5" w:rsidRPr="00B918E6">
        <w:rPr>
          <w:rFonts w:cs="Arial"/>
          <w:color w:val="0D0D0D"/>
          <w:shd w:val="clear" w:color="auto" w:fill="FFFFFF"/>
        </w:rPr>
        <w:t>000 ppm, the majority of which have small extensions and are model</w:t>
      </w:r>
      <w:r w:rsidR="00696741">
        <w:rPr>
          <w:rFonts w:cs="Arial"/>
          <w:color w:val="0D0D0D"/>
          <w:shd w:val="clear" w:color="auto" w:fill="FFFFFF"/>
        </w:rPr>
        <w:t>l</w:t>
      </w:r>
      <w:r w:rsidR="009170E5" w:rsidRPr="00B918E6">
        <w:rPr>
          <w:rFonts w:cs="Arial"/>
          <w:color w:val="0D0D0D"/>
          <w:shd w:val="clear" w:color="auto" w:fill="FFFFFF"/>
        </w:rPr>
        <w:t>ed as point emission sources. The percentage of such emission sources among all wells is presented in Table 2 for Lots I and II.</w:t>
      </w:r>
    </w:p>
    <w:p w14:paraId="3898B981" w14:textId="79D6F1DE" w:rsidR="00144D32" w:rsidRPr="00B918E6" w:rsidRDefault="00144D32" w:rsidP="00144D32">
      <w:pPr>
        <w:pStyle w:val="CETTabletitle"/>
      </w:pPr>
      <w:r w:rsidRPr="00B918E6">
        <w:t xml:space="preserve">Table </w:t>
      </w:r>
      <w:r w:rsidR="00A84B0B" w:rsidRPr="00B918E6">
        <w:t>2</w:t>
      </w:r>
      <w:r w:rsidRPr="00B918E6">
        <w:t xml:space="preserve">: Monthly data </w:t>
      </w:r>
      <w:r w:rsidR="00A579D6" w:rsidRPr="00B918E6">
        <w:t xml:space="preserve">(2023) </w:t>
      </w:r>
      <w:r w:rsidRPr="00B918E6">
        <w:t xml:space="preserve">of </w:t>
      </w:r>
      <w:r w:rsidR="00A579D6" w:rsidRPr="00B918E6">
        <w:t>wells fraction (in %) with methane concentration&gt;10</w:t>
      </w:r>
      <w:r w:rsidR="00696741">
        <w:t>,</w:t>
      </w:r>
      <w:r w:rsidR="00A579D6" w:rsidRPr="00B918E6">
        <w:t>000 ppm</w:t>
      </w:r>
    </w:p>
    <w:tbl>
      <w:tblPr>
        <w:tblW w:w="0" w:type="auto"/>
        <w:jc w:val="center"/>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1104"/>
        <w:gridCol w:w="591"/>
        <w:gridCol w:w="591"/>
        <w:gridCol w:w="591"/>
        <w:gridCol w:w="591"/>
        <w:gridCol w:w="591"/>
        <w:gridCol w:w="591"/>
        <w:gridCol w:w="591"/>
        <w:gridCol w:w="591"/>
        <w:gridCol w:w="591"/>
        <w:gridCol w:w="591"/>
        <w:gridCol w:w="591"/>
        <w:gridCol w:w="591"/>
      </w:tblGrid>
      <w:tr w:rsidR="0089335C" w:rsidRPr="00B918E6" w14:paraId="4C1EEFCE" w14:textId="77777777" w:rsidTr="0089335C">
        <w:trPr>
          <w:jc w:val="center"/>
        </w:trPr>
        <w:tc>
          <w:tcPr>
            <w:tcW w:w="1104" w:type="dxa"/>
            <w:tcBorders>
              <w:top w:val="single" w:sz="12" w:space="0" w:color="008000"/>
              <w:bottom w:val="single" w:sz="6" w:space="0" w:color="008000"/>
            </w:tcBorders>
            <w:shd w:val="clear" w:color="auto" w:fill="FFFFFF"/>
          </w:tcPr>
          <w:p w14:paraId="56116E1E" w14:textId="5923A46C" w:rsidR="0089335C" w:rsidRPr="00B918E6" w:rsidRDefault="0089335C" w:rsidP="00DF57F7">
            <w:pPr>
              <w:pStyle w:val="CETBodytext"/>
              <w:rPr>
                <w:sz w:val="16"/>
                <w:szCs w:val="16"/>
                <w:lang w:val="en-GB"/>
              </w:rPr>
            </w:pPr>
            <w:r w:rsidRPr="00B918E6">
              <w:rPr>
                <w:sz w:val="16"/>
                <w:szCs w:val="16"/>
                <w:lang w:val="en-GB"/>
              </w:rPr>
              <w:t>% of wells with CH4&gt;10.000 ppm</w:t>
            </w:r>
          </w:p>
        </w:tc>
        <w:tc>
          <w:tcPr>
            <w:tcW w:w="591" w:type="dxa"/>
            <w:tcBorders>
              <w:top w:val="single" w:sz="12" w:space="0" w:color="008000"/>
              <w:bottom w:val="single" w:sz="6" w:space="0" w:color="008000"/>
            </w:tcBorders>
            <w:shd w:val="clear" w:color="auto" w:fill="FFFFFF"/>
          </w:tcPr>
          <w:p w14:paraId="75BA5015" w14:textId="77777777" w:rsidR="0089335C" w:rsidRPr="00B918E6" w:rsidRDefault="0089335C" w:rsidP="00DF57F7">
            <w:pPr>
              <w:pStyle w:val="CETBodytext"/>
              <w:jc w:val="center"/>
              <w:rPr>
                <w:lang w:val="en-GB"/>
              </w:rPr>
            </w:pPr>
            <w:r w:rsidRPr="00B918E6">
              <w:rPr>
                <w:lang w:val="en-GB"/>
              </w:rPr>
              <w:t>Jan</w:t>
            </w:r>
          </w:p>
        </w:tc>
        <w:tc>
          <w:tcPr>
            <w:tcW w:w="591" w:type="dxa"/>
            <w:tcBorders>
              <w:top w:val="single" w:sz="12" w:space="0" w:color="008000"/>
              <w:bottom w:val="single" w:sz="6" w:space="0" w:color="008000"/>
            </w:tcBorders>
            <w:shd w:val="clear" w:color="auto" w:fill="FFFFFF"/>
          </w:tcPr>
          <w:p w14:paraId="079F3802" w14:textId="77777777" w:rsidR="0089335C" w:rsidRPr="00B918E6" w:rsidRDefault="0089335C" w:rsidP="00DF57F7">
            <w:pPr>
              <w:pStyle w:val="CETBodytext"/>
              <w:jc w:val="center"/>
              <w:rPr>
                <w:lang w:val="en-GB"/>
              </w:rPr>
            </w:pPr>
            <w:r w:rsidRPr="00B918E6">
              <w:rPr>
                <w:lang w:val="en-GB"/>
              </w:rPr>
              <w:t>Feb</w:t>
            </w:r>
          </w:p>
        </w:tc>
        <w:tc>
          <w:tcPr>
            <w:tcW w:w="591" w:type="dxa"/>
            <w:tcBorders>
              <w:top w:val="single" w:sz="12" w:space="0" w:color="008000"/>
              <w:bottom w:val="single" w:sz="6" w:space="0" w:color="008000"/>
            </w:tcBorders>
            <w:shd w:val="clear" w:color="auto" w:fill="FFFFFF"/>
          </w:tcPr>
          <w:p w14:paraId="02345A4E" w14:textId="182DBAEA" w:rsidR="0089335C" w:rsidRPr="00B918E6" w:rsidRDefault="0089335C" w:rsidP="00DF57F7">
            <w:pPr>
              <w:pStyle w:val="CETBodytext"/>
              <w:ind w:right="-1"/>
              <w:jc w:val="center"/>
              <w:rPr>
                <w:rFonts w:cs="Arial"/>
                <w:szCs w:val="18"/>
                <w:lang w:val="en-GB"/>
              </w:rPr>
            </w:pPr>
            <w:r w:rsidRPr="00B918E6">
              <w:rPr>
                <w:rFonts w:cs="Arial"/>
                <w:szCs w:val="18"/>
                <w:lang w:val="en-GB"/>
              </w:rPr>
              <w:t>Mar</w:t>
            </w:r>
          </w:p>
        </w:tc>
        <w:tc>
          <w:tcPr>
            <w:tcW w:w="591" w:type="dxa"/>
            <w:tcBorders>
              <w:top w:val="single" w:sz="12" w:space="0" w:color="008000"/>
              <w:bottom w:val="single" w:sz="6" w:space="0" w:color="008000"/>
            </w:tcBorders>
            <w:shd w:val="clear" w:color="auto" w:fill="FFFFFF"/>
          </w:tcPr>
          <w:p w14:paraId="2D7910F1" w14:textId="77777777" w:rsidR="0089335C" w:rsidRPr="00B918E6" w:rsidRDefault="0089335C" w:rsidP="00DF57F7">
            <w:pPr>
              <w:pStyle w:val="CETBodytext"/>
              <w:ind w:right="-1"/>
              <w:jc w:val="center"/>
              <w:rPr>
                <w:rFonts w:cs="Arial"/>
                <w:szCs w:val="18"/>
                <w:lang w:val="en-GB"/>
              </w:rPr>
            </w:pPr>
            <w:r w:rsidRPr="00B918E6">
              <w:rPr>
                <w:rFonts w:cs="Arial"/>
                <w:szCs w:val="18"/>
                <w:lang w:val="en-GB"/>
              </w:rPr>
              <w:t>Apr</w:t>
            </w:r>
          </w:p>
        </w:tc>
        <w:tc>
          <w:tcPr>
            <w:tcW w:w="591" w:type="dxa"/>
            <w:tcBorders>
              <w:top w:val="single" w:sz="12" w:space="0" w:color="008000"/>
              <w:bottom w:val="single" w:sz="6" w:space="0" w:color="008000"/>
            </w:tcBorders>
            <w:shd w:val="clear" w:color="auto" w:fill="FFFFFF"/>
          </w:tcPr>
          <w:p w14:paraId="188BC6A5" w14:textId="77777777" w:rsidR="0089335C" w:rsidRPr="00B918E6" w:rsidRDefault="0089335C" w:rsidP="00DF57F7">
            <w:pPr>
              <w:pStyle w:val="CETBodytext"/>
              <w:ind w:right="-1"/>
              <w:jc w:val="center"/>
              <w:rPr>
                <w:rFonts w:cs="Arial"/>
                <w:szCs w:val="18"/>
                <w:lang w:val="en-GB"/>
              </w:rPr>
            </w:pPr>
            <w:r w:rsidRPr="00B918E6">
              <w:rPr>
                <w:rFonts w:cs="Arial"/>
                <w:szCs w:val="18"/>
                <w:lang w:val="en-GB"/>
              </w:rPr>
              <w:t>May</w:t>
            </w:r>
          </w:p>
        </w:tc>
        <w:tc>
          <w:tcPr>
            <w:tcW w:w="591" w:type="dxa"/>
            <w:tcBorders>
              <w:top w:val="single" w:sz="12" w:space="0" w:color="008000"/>
              <w:bottom w:val="single" w:sz="6" w:space="0" w:color="008000"/>
            </w:tcBorders>
            <w:shd w:val="clear" w:color="auto" w:fill="FFFFFF"/>
          </w:tcPr>
          <w:p w14:paraId="4550714C" w14:textId="77777777" w:rsidR="0089335C" w:rsidRPr="00B918E6" w:rsidRDefault="0089335C" w:rsidP="00DF57F7">
            <w:pPr>
              <w:pStyle w:val="CETBodytext"/>
              <w:ind w:right="-1"/>
              <w:jc w:val="center"/>
              <w:rPr>
                <w:rFonts w:cs="Arial"/>
                <w:szCs w:val="18"/>
                <w:lang w:val="en-GB"/>
              </w:rPr>
            </w:pPr>
            <w:r w:rsidRPr="00B918E6">
              <w:rPr>
                <w:rFonts w:cs="Arial"/>
                <w:szCs w:val="18"/>
                <w:lang w:val="en-GB"/>
              </w:rPr>
              <w:t>Jun</w:t>
            </w:r>
          </w:p>
        </w:tc>
        <w:tc>
          <w:tcPr>
            <w:tcW w:w="591" w:type="dxa"/>
            <w:tcBorders>
              <w:top w:val="single" w:sz="12" w:space="0" w:color="008000"/>
              <w:bottom w:val="single" w:sz="6" w:space="0" w:color="008000"/>
            </w:tcBorders>
            <w:shd w:val="clear" w:color="auto" w:fill="FFFFFF"/>
          </w:tcPr>
          <w:p w14:paraId="3A1743C8" w14:textId="77777777" w:rsidR="0089335C" w:rsidRPr="00B918E6" w:rsidRDefault="0089335C" w:rsidP="00DF57F7">
            <w:pPr>
              <w:pStyle w:val="CETBodytext"/>
              <w:ind w:right="-1"/>
              <w:jc w:val="center"/>
              <w:rPr>
                <w:rFonts w:cs="Arial"/>
                <w:szCs w:val="18"/>
                <w:lang w:val="en-GB"/>
              </w:rPr>
            </w:pPr>
            <w:r w:rsidRPr="00B918E6">
              <w:rPr>
                <w:rFonts w:cs="Arial"/>
                <w:szCs w:val="18"/>
                <w:lang w:val="en-GB"/>
              </w:rPr>
              <w:t>Jul</w:t>
            </w:r>
          </w:p>
        </w:tc>
        <w:tc>
          <w:tcPr>
            <w:tcW w:w="591" w:type="dxa"/>
            <w:tcBorders>
              <w:top w:val="single" w:sz="12" w:space="0" w:color="008000"/>
              <w:bottom w:val="single" w:sz="6" w:space="0" w:color="008000"/>
            </w:tcBorders>
            <w:shd w:val="clear" w:color="auto" w:fill="FFFFFF"/>
          </w:tcPr>
          <w:p w14:paraId="29901AF6" w14:textId="77777777" w:rsidR="0089335C" w:rsidRPr="00B918E6" w:rsidRDefault="0089335C" w:rsidP="00DF57F7">
            <w:pPr>
              <w:pStyle w:val="CETBodytext"/>
              <w:ind w:right="-1"/>
              <w:jc w:val="center"/>
              <w:rPr>
                <w:rFonts w:cs="Arial"/>
                <w:szCs w:val="18"/>
                <w:lang w:val="en-GB"/>
              </w:rPr>
            </w:pPr>
            <w:r w:rsidRPr="00B918E6">
              <w:rPr>
                <w:rFonts w:cs="Arial"/>
                <w:szCs w:val="18"/>
                <w:lang w:val="en-GB"/>
              </w:rPr>
              <w:t>Aug</w:t>
            </w:r>
          </w:p>
        </w:tc>
        <w:tc>
          <w:tcPr>
            <w:tcW w:w="591" w:type="dxa"/>
            <w:tcBorders>
              <w:top w:val="single" w:sz="12" w:space="0" w:color="008000"/>
              <w:bottom w:val="single" w:sz="6" w:space="0" w:color="008000"/>
            </w:tcBorders>
            <w:shd w:val="clear" w:color="auto" w:fill="FFFFFF"/>
          </w:tcPr>
          <w:p w14:paraId="186717E7" w14:textId="77777777" w:rsidR="0089335C" w:rsidRPr="00B918E6" w:rsidRDefault="0089335C" w:rsidP="00DF57F7">
            <w:pPr>
              <w:pStyle w:val="CETBodytext"/>
              <w:ind w:right="-1"/>
              <w:jc w:val="center"/>
              <w:rPr>
                <w:rFonts w:cs="Arial"/>
                <w:szCs w:val="18"/>
                <w:lang w:val="en-GB"/>
              </w:rPr>
            </w:pPr>
            <w:r w:rsidRPr="00B918E6">
              <w:rPr>
                <w:rFonts w:cs="Arial"/>
                <w:szCs w:val="18"/>
                <w:lang w:val="en-GB"/>
              </w:rPr>
              <w:t>Sep</w:t>
            </w:r>
          </w:p>
        </w:tc>
        <w:tc>
          <w:tcPr>
            <w:tcW w:w="591" w:type="dxa"/>
            <w:tcBorders>
              <w:top w:val="single" w:sz="12" w:space="0" w:color="008000"/>
              <w:bottom w:val="single" w:sz="6" w:space="0" w:color="008000"/>
            </w:tcBorders>
            <w:shd w:val="clear" w:color="auto" w:fill="FFFFFF"/>
          </w:tcPr>
          <w:p w14:paraId="460CA5CD" w14:textId="77777777" w:rsidR="0089335C" w:rsidRPr="00B918E6" w:rsidRDefault="0089335C" w:rsidP="00DF57F7">
            <w:pPr>
              <w:pStyle w:val="CETBodytext"/>
              <w:ind w:right="-1"/>
              <w:jc w:val="center"/>
              <w:rPr>
                <w:rFonts w:cs="Arial"/>
                <w:szCs w:val="18"/>
                <w:lang w:val="en-GB"/>
              </w:rPr>
            </w:pPr>
            <w:r w:rsidRPr="00B918E6">
              <w:rPr>
                <w:rFonts w:cs="Arial"/>
                <w:szCs w:val="18"/>
                <w:lang w:val="en-GB"/>
              </w:rPr>
              <w:t>Oct</w:t>
            </w:r>
          </w:p>
        </w:tc>
        <w:tc>
          <w:tcPr>
            <w:tcW w:w="591" w:type="dxa"/>
            <w:tcBorders>
              <w:top w:val="single" w:sz="12" w:space="0" w:color="008000"/>
              <w:bottom w:val="single" w:sz="6" w:space="0" w:color="008000"/>
            </w:tcBorders>
            <w:shd w:val="clear" w:color="auto" w:fill="FFFFFF"/>
          </w:tcPr>
          <w:p w14:paraId="6E417BBE" w14:textId="77777777" w:rsidR="0089335C" w:rsidRPr="00B918E6" w:rsidRDefault="0089335C" w:rsidP="00DF57F7">
            <w:pPr>
              <w:pStyle w:val="CETBodytext"/>
              <w:ind w:right="-1"/>
              <w:jc w:val="center"/>
              <w:rPr>
                <w:rFonts w:cs="Arial"/>
                <w:szCs w:val="18"/>
                <w:lang w:val="en-GB"/>
              </w:rPr>
            </w:pPr>
            <w:r w:rsidRPr="00B918E6">
              <w:rPr>
                <w:rFonts w:cs="Arial"/>
                <w:szCs w:val="18"/>
                <w:lang w:val="en-GB"/>
              </w:rPr>
              <w:t>Nov</w:t>
            </w:r>
          </w:p>
        </w:tc>
        <w:tc>
          <w:tcPr>
            <w:tcW w:w="591" w:type="dxa"/>
            <w:tcBorders>
              <w:top w:val="single" w:sz="12" w:space="0" w:color="008000"/>
              <w:bottom w:val="single" w:sz="6" w:space="0" w:color="008000"/>
            </w:tcBorders>
            <w:shd w:val="clear" w:color="auto" w:fill="FFFFFF"/>
          </w:tcPr>
          <w:p w14:paraId="613512CB" w14:textId="77777777" w:rsidR="0089335C" w:rsidRPr="00B918E6" w:rsidRDefault="0089335C" w:rsidP="00DF57F7">
            <w:pPr>
              <w:pStyle w:val="CETBodytext"/>
              <w:ind w:right="-1"/>
              <w:jc w:val="center"/>
              <w:rPr>
                <w:rFonts w:cs="Arial"/>
                <w:szCs w:val="18"/>
                <w:lang w:val="en-GB"/>
              </w:rPr>
            </w:pPr>
            <w:r w:rsidRPr="00B918E6">
              <w:rPr>
                <w:rFonts w:cs="Arial"/>
                <w:szCs w:val="18"/>
                <w:lang w:val="en-GB"/>
              </w:rPr>
              <w:t>Dec</w:t>
            </w:r>
          </w:p>
        </w:tc>
      </w:tr>
      <w:tr w:rsidR="0089335C" w:rsidRPr="00B918E6" w14:paraId="4E32B106" w14:textId="77777777" w:rsidTr="0089335C">
        <w:trPr>
          <w:jc w:val="center"/>
        </w:trPr>
        <w:tc>
          <w:tcPr>
            <w:tcW w:w="1104" w:type="dxa"/>
            <w:shd w:val="clear" w:color="auto" w:fill="FFFFFF"/>
          </w:tcPr>
          <w:p w14:paraId="59E2878D" w14:textId="77777777" w:rsidR="0089335C" w:rsidRPr="00B918E6" w:rsidRDefault="0089335C" w:rsidP="00DF57F7">
            <w:pPr>
              <w:pStyle w:val="CETBodytext"/>
              <w:rPr>
                <w:lang w:val="en-GB"/>
              </w:rPr>
            </w:pPr>
            <w:r w:rsidRPr="00B918E6">
              <w:rPr>
                <w:lang w:val="en-GB"/>
              </w:rPr>
              <w:t>Lot I</w:t>
            </w:r>
          </w:p>
        </w:tc>
        <w:tc>
          <w:tcPr>
            <w:tcW w:w="591" w:type="dxa"/>
            <w:shd w:val="clear" w:color="auto" w:fill="FFFFFF"/>
          </w:tcPr>
          <w:p w14:paraId="627724A1" w14:textId="0E4B9733" w:rsidR="0089335C" w:rsidRPr="00B918E6" w:rsidRDefault="0089335C" w:rsidP="00DF57F7">
            <w:pPr>
              <w:pStyle w:val="CETBodytext"/>
              <w:jc w:val="center"/>
              <w:rPr>
                <w:lang w:val="en-GB"/>
              </w:rPr>
            </w:pPr>
            <w:r w:rsidRPr="00B918E6">
              <w:rPr>
                <w:lang w:val="en-GB"/>
              </w:rPr>
              <w:t>22</w:t>
            </w:r>
          </w:p>
        </w:tc>
        <w:tc>
          <w:tcPr>
            <w:tcW w:w="591" w:type="dxa"/>
            <w:shd w:val="clear" w:color="auto" w:fill="FFFFFF"/>
          </w:tcPr>
          <w:p w14:paraId="0FC530B9" w14:textId="2DA3D22D" w:rsidR="0089335C" w:rsidRPr="00B918E6" w:rsidRDefault="0089335C" w:rsidP="00DF57F7">
            <w:pPr>
              <w:pStyle w:val="CETBodytext"/>
              <w:jc w:val="center"/>
              <w:rPr>
                <w:lang w:val="en-GB"/>
              </w:rPr>
            </w:pPr>
            <w:r w:rsidRPr="00B918E6">
              <w:rPr>
                <w:lang w:val="en-GB"/>
              </w:rPr>
              <w:t>48</w:t>
            </w:r>
          </w:p>
        </w:tc>
        <w:tc>
          <w:tcPr>
            <w:tcW w:w="591" w:type="dxa"/>
            <w:shd w:val="clear" w:color="auto" w:fill="FFFFFF"/>
          </w:tcPr>
          <w:p w14:paraId="1AEAE2D4" w14:textId="19686697" w:rsidR="0089335C" w:rsidRPr="00B918E6" w:rsidRDefault="0089335C" w:rsidP="00DF57F7">
            <w:pPr>
              <w:pStyle w:val="CETBodytext"/>
              <w:ind w:right="-1"/>
              <w:jc w:val="center"/>
              <w:rPr>
                <w:rFonts w:cs="Arial"/>
                <w:szCs w:val="18"/>
                <w:lang w:val="en-GB"/>
              </w:rPr>
            </w:pPr>
            <w:r w:rsidRPr="00B918E6">
              <w:rPr>
                <w:rFonts w:cs="Arial"/>
                <w:szCs w:val="18"/>
                <w:lang w:val="en-GB"/>
              </w:rPr>
              <w:t>31</w:t>
            </w:r>
          </w:p>
        </w:tc>
        <w:tc>
          <w:tcPr>
            <w:tcW w:w="591" w:type="dxa"/>
            <w:shd w:val="clear" w:color="auto" w:fill="FFFFFF"/>
          </w:tcPr>
          <w:p w14:paraId="400CACA4" w14:textId="28BD53FA" w:rsidR="0089335C" w:rsidRPr="00B918E6" w:rsidRDefault="0089335C" w:rsidP="00DF57F7">
            <w:pPr>
              <w:pStyle w:val="CETBodytext"/>
              <w:ind w:right="-1"/>
              <w:jc w:val="center"/>
              <w:rPr>
                <w:rFonts w:cs="Arial"/>
                <w:szCs w:val="18"/>
                <w:lang w:val="en-GB"/>
              </w:rPr>
            </w:pPr>
            <w:r w:rsidRPr="00B918E6">
              <w:rPr>
                <w:rFonts w:cs="Arial"/>
                <w:szCs w:val="18"/>
                <w:lang w:val="en-GB"/>
              </w:rPr>
              <w:t>29</w:t>
            </w:r>
          </w:p>
        </w:tc>
        <w:tc>
          <w:tcPr>
            <w:tcW w:w="591" w:type="dxa"/>
            <w:shd w:val="clear" w:color="auto" w:fill="FFFFFF"/>
          </w:tcPr>
          <w:p w14:paraId="4147F050" w14:textId="5D4723E2" w:rsidR="0089335C" w:rsidRPr="00B918E6" w:rsidRDefault="0089335C" w:rsidP="00DF57F7">
            <w:pPr>
              <w:pStyle w:val="CETBodytext"/>
              <w:ind w:right="-1"/>
              <w:jc w:val="center"/>
              <w:rPr>
                <w:rFonts w:cs="Arial"/>
                <w:szCs w:val="18"/>
                <w:lang w:val="en-GB"/>
              </w:rPr>
            </w:pPr>
            <w:r w:rsidRPr="00B918E6">
              <w:rPr>
                <w:rFonts w:cs="Arial"/>
                <w:szCs w:val="18"/>
                <w:lang w:val="en-GB"/>
              </w:rPr>
              <w:t>65</w:t>
            </w:r>
          </w:p>
        </w:tc>
        <w:tc>
          <w:tcPr>
            <w:tcW w:w="591" w:type="dxa"/>
            <w:shd w:val="clear" w:color="auto" w:fill="FFFFFF"/>
          </w:tcPr>
          <w:p w14:paraId="7FDAF3A4" w14:textId="25F32421" w:rsidR="0089335C" w:rsidRPr="00B918E6" w:rsidRDefault="0089335C" w:rsidP="00DF57F7">
            <w:pPr>
              <w:pStyle w:val="CETBodytext"/>
              <w:ind w:right="-1"/>
              <w:jc w:val="center"/>
              <w:rPr>
                <w:rFonts w:cs="Arial"/>
                <w:szCs w:val="18"/>
                <w:lang w:val="en-GB"/>
              </w:rPr>
            </w:pPr>
            <w:r w:rsidRPr="00B918E6">
              <w:rPr>
                <w:rFonts w:cs="Arial"/>
                <w:szCs w:val="18"/>
                <w:lang w:val="en-GB"/>
              </w:rPr>
              <w:t>68</w:t>
            </w:r>
          </w:p>
        </w:tc>
        <w:tc>
          <w:tcPr>
            <w:tcW w:w="591" w:type="dxa"/>
            <w:shd w:val="clear" w:color="auto" w:fill="FFFFFF"/>
          </w:tcPr>
          <w:p w14:paraId="0DC1DED4" w14:textId="0389A89E" w:rsidR="0089335C" w:rsidRPr="00B918E6" w:rsidRDefault="0089335C" w:rsidP="00DF57F7">
            <w:pPr>
              <w:pStyle w:val="CETBodytext"/>
              <w:ind w:right="-1"/>
              <w:jc w:val="center"/>
              <w:rPr>
                <w:rFonts w:cs="Arial"/>
                <w:szCs w:val="18"/>
                <w:lang w:val="en-GB"/>
              </w:rPr>
            </w:pPr>
            <w:r w:rsidRPr="00B918E6">
              <w:rPr>
                <w:rFonts w:cs="Arial"/>
                <w:szCs w:val="18"/>
                <w:lang w:val="en-GB"/>
              </w:rPr>
              <w:t>68</w:t>
            </w:r>
          </w:p>
        </w:tc>
        <w:tc>
          <w:tcPr>
            <w:tcW w:w="591" w:type="dxa"/>
            <w:shd w:val="clear" w:color="auto" w:fill="FFFFFF"/>
          </w:tcPr>
          <w:p w14:paraId="618E356B" w14:textId="4EF21512" w:rsidR="0089335C" w:rsidRPr="00B918E6" w:rsidRDefault="0089335C" w:rsidP="00DF57F7">
            <w:pPr>
              <w:pStyle w:val="CETBodytext"/>
              <w:ind w:right="-1"/>
              <w:jc w:val="center"/>
              <w:rPr>
                <w:rFonts w:cs="Arial"/>
                <w:szCs w:val="18"/>
                <w:lang w:val="en-GB"/>
              </w:rPr>
            </w:pPr>
            <w:r w:rsidRPr="00B918E6">
              <w:rPr>
                <w:rFonts w:cs="Arial"/>
                <w:szCs w:val="18"/>
                <w:lang w:val="en-GB"/>
              </w:rPr>
              <w:t>41</w:t>
            </w:r>
          </w:p>
        </w:tc>
        <w:tc>
          <w:tcPr>
            <w:tcW w:w="591" w:type="dxa"/>
            <w:shd w:val="clear" w:color="auto" w:fill="FFFFFF"/>
          </w:tcPr>
          <w:p w14:paraId="27A431E0" w14:textId="5A0B4FA2" w:rsidR="0089335C" w:rsidRPr="00B918E6" w:rsidRDefault="0089335C" w:rsidP="00DF57F7">
            <w:pPr>
              <w:pStyle w:val="CETBodytext"/>
              <w:ind w:right="-1"/>
              <w:jc w:val="center"/>
              <w:rPr>
                <w:rFonts w:cs="Arial"/>
                <w:szCs w:val="18"/>
                <w:lang w:val="en-GB"/>
              </w:rPr>
            </w:pPr>
            <w:r w:rsidRPr="00B918E6">
              <w:rPr>
                <w:rFonts w:cs="Arial"/>
                <w:szCs w:val="18"/>
                <w:lang w:val="en-GB"/>
              </w:rPr>
              <w:t>52</w:t>
            </w:r>
          </w:p>
        </w:tc>
        <w:tc>
          <w:tcPr>
            <w:tcW w:w="591" w:type="dxa"/>
            <w:shd w:val="clear" w:color="auto" w:fill="FFFFFF"/>
          </w:tcPr>
          <w:p w14:paraId="611A1658" w14:textId="35F621DC" w:rsidR="0089335C" w:rsidRPr="00B918E6" w:rsidRDefault="0089335C" w:rsidP="00DF57F7">
            <w:pPr>
              <w:pStyle w:val="CETBodytext"/>
              <w:ind w:right="-1"/>
              <w:jc w:val="center"/>
              <w:rPr>
                <w:rFonts w:cs="Arial"/>
                <w:szCs w:val="18"/>
                <w:lang w:val="en-GB"/>
              </w:rPr>
            </w:pPr>
            <w:r w:rsidRPr="00B918E6">
              <w:rPr>
                <w:rFonts w:cs="Arial"/>
                <w:szCs w:val="18"/>
                <w:lang w:val="en-GB"/>
              </w:rPr>
              <w:t>27</w:t>
            </w:r>
          </w:p>
        </w:tc>
        <w:tc>
          <w:tcPr>
            <w:tcW w:w="591" w:type="dxa"/>
            <w:shd w:val="clear" w:color="auto" w:fill="FFFFFF"/>
          </w:tcPr>
          <w:p w14:paraId="40D8221C" w14:textId="5CE3F941" w:rsidR="0089335C" w:rsidRPr="00B918E6" w:rsidRDefault="0089335C" w:rsidP="00DF57F7">
            <w:pPr>
              <w:pStyle w:val="CETBodytext"/>
              <w:ind w:right="-1"/>
              <w:jc w:val="center"/>
              <w:rPr>
                <w:rFonts w:cs="Arial"/>
                <w:szCs w:val="18"/>
                <w:lang w:val="en-GB"/>
              </w:rPr>
            </w:pPr>
            <w:r w:rsidRPr="00B918E6">
              <w:rPr>
                <w:rFonts w:cs="Arial"/>
                <w:szCs w:val="18"/>
                <w:lang w:val="en-GB"/>
              </w:rPr>
              <w:t>32</w:t>
            </w:r>
          </w:p>
        </w:tc>
        <w:tc>
          <w:tcPr>
            <w:tcW w:w="591" w:type="dxa"/>
            <w:shd w:val="clear" w:color="auto" w:fill="FFFFFF"/>
          </w:tcPr>
          <w:p w14:paraId="3EA1547A" w14:textId="7FEF6C37" w:rsidR="0089335C" w:rsidRPr="00B918E6" w:rsidRDefault="0089335C" w:rsidP="00DF57F7">
            <w:pPr>
              <w:pStyle w:val="CETBodytext"/>
              <w:ind w:right="-1"/>
              <w:jc w:val="center"/>
              <w:rPr>
                <w:rFonts w:cs="Arial"/>
                <w:szCs w:val="18"/>
                <w:lang w:val="en-GB"/>
              </w:rPr>
            </w:pPr>
            <w:r w:rsidRPr="00B918E6">
              <w:rPr>
                <w:rFonts w:cs="Arial"/>
                <w:szCs w:val="18"/>
                <w:lang w:val="en-GB"/>
              </w:rPr>
              <w:t>42</w:t>
            </w:r>
          </w:p>
        </w:tc>
      </w:tr>
      <w:tr w:rsidR="0089335C" w:rsidRPr="00B918E6" w14:paraId="5CA226A9" w14:textId="77777777" w:rsidTr="0089335C">
        <w:trPr>
          <w:jc w:val="center"/>
        </w:trPr>
        <w:tc>
          <w:tcPr>
            <w:tcW w:w="1104" w:type="dxa"/>
            <w:shd w:val="clear" w:color="auto" w:fill="FFFFFF"/>
          </w:tcPr>
          <w:p w14:paraId="09BE11D1" w14:textId="77777777" w:rsidR="0089335C" w:rsidRPr="00B918E6" w:rsidRDefault="0089335C" w:rsidP="00DF57F7">
            <w:pPr>
              <w:pStyle w:val="CETBodytext"/>
              <w:ind w:right="-1"/>
              <w:rPr>
                <w:rFonts w:cs="Arial"/>
                <w:szCs w:val="18"/>
                <w:lang w:val="en-GB"/>
              </w:rPr>
            </w:pPr>
            <w:r w:rsidRPr="00B918E6">
              <w:rPr>
                <w:rFonts w:cs="Arial"/>
                <w:szCs w:val="18"/>
                <w:lang w:val="en-GB"/>
              </w:rPr>
              <w:t>Lot II</w:t>
            </w:r>
          </w:p>
        </w:tc>
        <w:tc>
          <w:tcPr>
            <w:tcW w:w="591" w:type="dxa"/>
            <w:shd w:val="clear" w:color="auto" w:fill="FFFFFF"/>
          </w:tcPr>
          <w:p w14:paraId="5BBE4236" w14:textId="36B336F9" w:rsidR="0089335C" w:rsidRPr="00B918E6" w:rsidRDefault="0089335C" w:rsidP="00DF57F7">
            <w:pPr>
              <w:pStyle w:val="CETBodytext"/>
              <w:ind w:right="-1"/>
              <w:jc w:val="center"/>
              <w:rPr>
                <w:rFonts w:cs="Arial"/>
                <w:szCs w:val="18"/>
                <w:lang w:val="en-GB"/>
              </w:rPr>
            </w:pPr>
            <w:r w:rsidRPr="00B918E6">
              <w:rPr>
                <w:rFonts w:cs="Arial"/>
                <w:szCs w:val="18"/>
                <w:lang w:val="en-GB"/>
              </w:rPr>
              <w:t>55</w:t>
            </w:r>
          </w:p>
        </w:tc>
        <w:tc>
          <w:tcPr>
            <w:tcW w:w="591" w:type="dxa"/>
            <w:shd w:val="clear" w:color="auto" w:fill="FFFFFF"/>
          </w:tcPr>
          <w:p w14:paraId="2CFEEFCE" w14:textId="75AD8882" w:rsidR="0089335C" w:rsidRPr="00B918E6" w:rsidRDefault="0089335C" w:rsidP="00DF57F7">
            <w:pPr>
              <w:pStyle w:val="CETBodytext"/>
              <w:ind w:right="-1"/>
              <w:jc w:val="center"/>
              <w:rPr>
                <w:rFonts w:cs="Arial"/>
                <w:szCs w:val="18"/>
                <w:lang w:val="en-GB"/>
              </w:rPr>
            </w:pPr>
            <w:r w:rsidRPr="00B918E6">
              <w:rPr>
                <w:rFonts w:cs="Arial"/>
                <w:szCs w:val="18"/>
                <w:lang w:val="en-GB"/>
              </w:rPr>
              <w:t>56</w:t>
            </w:r>
          </w:p>
        </w:tc>
        <w:tc>
          <w:tcPr>
            <w:tcW w:w="591" w:type="dxa"/>
            <w:shd w:val="clear" w:color="auto" w:fill="FFFFFF"/>
          </w:tcPr>
          <w:p w14:paraId="4B4271AD" w14:textId="5570CB44" w:rsidR="0089335C" w:rsidRPr="00B918E6" w:rsidRDefault="0089335C" w:rsidP="00DF57F7">
            <w:pPr>
              <w:pStyle w:val="CETBodytext"/>
              <w:ind w:right="-1"/>
              <w:jc w:val="center"/>
              <w:rPr>
                <w:rFonts w:cs="Arial"/>
                <w:szCs w:val="18"/>
                <w:lang w:val="en-GB"/>
              </w:rPr>
            </w:pPr>
            <w:r w:rsidRPr="00B918E6">
              <w:rPr>
                <w:rFonts w:cs="Arial"/>
                <w:szCs w:val="18"/>
                <w:lang w:val="en-GB"/>
              </w:rPr>
              <w:t>68</w:t>
            </w:r>
          </w:p>
        </w:tc>
        <w:tc>
          <w:tcPr>
            <w:tcW w:w="591" w:type="dxa"/>
            <w:shd w:val="clear" w:color="auto" w:fill="FFFFFF"/>
          </w:tcPr>
          <w:p w14:paraId="4F0FCA65" w14:textId="1E50E804" w:rsidR="0089335C" w:rsidRPr="00B918E6" w:rsidRDefault="0089335C" w:rsidP="00DF57F7">
            <w:pPr>
              <w:pStyle w:val="CETBodytext"/>
              <w:ind w:right="-1"/>
              <w:jc w:val="center"/>
              <w:rPr>
                <w:rFonts w:cs="Arial"/>
                <w:szCs w:val="18"/>
                <w:lang w:val="en-GB"/>
              </w:rPr>
            </w:pPr>
            <w:r w:rsidRPr="00B918E6">
              <w:rPr>
                <w:rFonts w:cs="Arial"/>
                <w:szCs w:val="18"/>
                <w:lang w:val="en-GB"/>
              </w:rPr>
              <w:t>59</w:t>
            </w:r>
          </w:p>
        </w:tc>
        <w:tc>
          <w:tcPr>
            <w:tcW w:w="591" w:type="dxa"/>
            <w:shd w:val="clear" w:color="auto" w:fill="FFFFFF"/>
          </w:tcPr>
          <w:p w14:paraId="2BD468A6" w14:textId="49AEC6A0" w:rsidR="0089335C" w:rsidRPr="00B918E6" w:rsidRDefault="0089335C" w:rsidP="00DF57F7">
            <w:pPr>
              <w:pStyle w:val="CETBodytext"/>
              <w:ind w:right="-1"/>
              <w:jc w:val="center"/>
              <w:rPr>
                <w:rFonts w:cs="Arial"/>
                <w:szCs w:val="18"/>
                <w:lang w:val="en-GB"/>
              </w:rPr>
            </w:pPr>
            <w:r w:rsidRPr="00B918E6">
              <w:rPr>
                <w:rFonts w:cs="Arial"/>
                <w:szCs w:val="18"/>
                <w:lang w:val="en-GB"/>
              </w:rPr>
              <w:t>73</w:t>
            </w:r>
          </w:p>
        </w:tc>
        <w:tc>
          <w:tcPr>
            <w:tcW w:w="591" w:type="dxa"/>
            <w:shd w:val="clear" w:color="auto" w:fill="FFFFFF"/>
          </w:tcPr>
          <w:p w14:paraId="0EBF679F" w14:textId="42666E23" w:rsidR="0089335C" w:rsidRPr="00B918E6" w:rsidRDefault="0089335C" w:rsidP="00DF57F7">
            <w:pPr>
              <w:pStyle w:val="CETBodytext"/>
              <w:ind w:right="-1"/>
              <w:jc w:val="center"/>
              <w:rPr>
                <w:rFonts w:cs="Arial"/>
                <w:szCs w:val="18"/>
                <w:lang w:val="en-GB"/>
              </w:rPr>
            </w:pPr>
            <w:r w:rsidRPr="00B918E6">
              <w:rPr>
                <w:rFonts w:cs="Arial"/>
                <w:szCs w:val="18"/>
                <w:lang w:val="en-GB"/>
              </w:rPr>
              <w:t>68</w:t>
            </w:r>
          </w:p>
        </w:tc>
        <w:tc>
          <w:tcPr>
            <w:tcW w:w="591" w:type="dxa"/>
            <w:shd w:val="clear" w:color="auto" w:fill="FFFFFF"/>
          </w:tcPr>
          <w:p w14:paraId="5FF704E5" w14:textId="244EDBF8" w:rsidR="0089335C" w:rsidRPr="00B918E6" w:rsidRDefault="0089335C" w:rsidP="00DF57F7">
            <w:pPr>
              <w:pStyle w:val="CETBodytext"/>
              <w:ind w:right="-1"/>
              <w:jc w:val="center"/>
              <w:rPr>
                <w:rFonts w:cs="Arial"/>
                <w:szCs w:val="18"/>
                <w:lang w:val="en-GB"/>
              </w:rPr>
            </w:pPr>
            <w:r w:rsidRPr="00B918E6">
              <w:rPr>
                <w:rFonts w:cs="Arial"/>
                <w:szCs w:val="18"/>
                <w:lang w:val="en-GB"/>
              </w:rPr>
              <w:t>68</w:t>
            </w:r>
          </w:p>
        </w:tc>
        <w:tc>
          <w:tcPr>
            <w:tcW w:w="591" w:type="dxa"/>
            <w:shd w:val="clear" w:color="auto" w:fill="FFFFFF"/>
          </w:tcPr>
          <w:p w14:paraId="22839FA2" w14:textId="1E3F25C5" w:rsidR="0089335C" w:rsidRPr="00B918E6" w:rsidRDefault="0089335C" w:rsidP="00DF57F7">
            <w:pPr>
              <w:pStyle w:val="CETBodytext"/>
              <w:ind w:right="-1"/>
              <w:jc w:val="center"/>
              <w:rPr>
                <w:rFonts w:cs="Arial"/>
                <w:szCs w:val="18"/>
                <w:lang w:val="en-GB"/>
              </w:rPr>
            </w:pPr>
            <w:r w:rsidRPr="00B918E6">
              <w:rPr>
                <w:rFonts w:cs="Arial"/>
                <w:szCs w:val="18"/>
                <w:lang w:val="en-GB"/>
              </w:rPr>
              <w:t>67</w:t>
            </w:r>
          </w:p>
        </w:tc>
        <w:tc>
          <w:tcPr>
            <w:tcW w:w="591" w:type="dxa"/>
            <w:shd w:val="clear" w:color="auto" w:fill="FFFFFF"/>
          </w:tcPr>
          <w:p w14:paraId="2E8FC68B" w14:textId="16B7DD9E" w:rsidR="0089335C" w:rsidRPr="00B918E6" w:rsidRDefault="0089335C" w:rsidP="00DF57F7">
            <w:pPr>
              <w:pStyle w:val="CETBodytext"/>
              <w:ind w:right="-1"/>
              <w:jc w:val="center"/>
              <w:rPr>
                <w:rFonts w:cs="Arial"/>
                <w:szCs w:val="18"/>
                <w:lang w:val="en-GB"/>
              </w:rPr>
            </w:pPr>
            <w:r w:rsidRPr="00B918E6">
              <w:rPr>
                <w:rFonts w:cs="Arial"/>
                <w:szCs w:val="18"/>
                <w:lang w:val="en-GB"/>
              </w:rPr>
              <w:t>67</w:t>
            </w:r>
          </w:p>
        </w:tc>
        <w:tc>
          <w:tcPr>
            <w:tcW w:w="591" w:type="dxa"/>
            <w:shd w:val="clear" w:color="auto" w:fill="FFFFFF"/>
          </w:tcPr>
          <w:p w14:paraId="5CC0A147" w14:textId="14C163E3" w:rsidR="0089335C" w:rsidRPr="00B918E6" w:rsidRDefault="0089335C" w:rsidP="00DF57F7">
            <w:pPr>
              <w:pStyle w:val="CETBodytext"/>
              <w:ind w:right="-1"/>
              <w:jc w:val="center"/>
              <w:rPr>
                <w:rFonts w:cs="Arial"/>
                <w:szCs w:val="18"/>
                <w:lang w:val="en-GB"/>
              </w:rPr>
            </w:pPr>
            <w:r w:rsidRPr="00B918E6">
              <w:rPr>
                <w:rFonts w:cs="Arial"/>
                <w:szCs w:val="18"/>
                <w:lang w:val="en-GB"/>
              </w:rPr>
              <w:t>65</w:t>
            </w:r>
          </w:p>
        </w:tc>
        <w:tc>
          <w:tcPr>
            <w:tcW w:w="591" w:type="dxa"/>
            <w:shd w:val="clear" w:color="auto" w:fill="FFFFFF"/>
          </w:tcPr>
          <w:p w14:paraId="64F81860" w14:textId="759BB6C3" w:rsidR="0089335C" w:rsidRPr="00B918E6" w:rsidRDefault="0089335C" w:rsidP="00DF57F7">
            <w:pPr>
              <w:pStyle w:val="CETBodytext"/>
              <w:ind w:right="-1"/>
              <w:jc w:val="center"/>
              <w:rPr>
                <w:rFonts w:cs="Arial"/>
                <w:szCs w:val="18"/>
                <w:lang w:val="en-GB"/>
              </w:rPr>
            </w:pPr>
            <w:r w:rsidRPr="00B918E6">
              <w:rPr>
                <w:rFonts w:cs="Arial"/>
                <w:szCs w:val="18"/>
                <w:lang w:val="en-GB"/>
              </w:rPr>
              <w:t>62</w:t>
            </w:r>
          </w:p>
        </w:tc>
        <w:tc>
          <w:tcPr>
            <w:tcW w:w="591" w:type="dxa"/>
            <w:shd w:val="clear" w:color="auto" w:fill="FFFFFF"/>
          </w:tcPr>
          <w:p w14:paraId="1CCC172F" w14:textId="7145B68E" w:rsidR="0089335C" w:rsidRPr="00B918E6" w:rsidRDefault="0089335C" w:rsidP="00DF57F7">
            <w:pPr>
              <w:pStyle w:val="CETBodytext"/>
              <w:ind w:right="-1"/>
              <w:jc w:val="center"/>
              <w:rPr>
                <w:rFonts w:cs="Arial"/>
                <w:szCs w:val="18"/>
                <w:lang w:val="en-GB"/>
              </w:rPr>
            </w:pPr>
            <w:r w:rsidRPr="00B918E6">
              <w:rPr>
                <w:rFonts w:cs="Arial"/>
                <w:szCs w:val="18"/>
                <w:lang w:val="en-GB"/>
              </w:rPr>
              <w:t>17</w:t>
            </w:r>
          </w:p>
        </w:tc>
      </w:tr>
    </w:tbl>
    <w:p w14:paraId="453C600E" w14:textId="4212A3EA" w:rsidR="009170E5" w:rsidRPr="00B918E6" w:rsidRDefault="009170E5" w:rsidP="00C65E9B">
      <w:pPr>
        <w:pStyle w:val="CETBodytext"/>
        <w:rPr>
          <w:lang w:val="en-GB"/>
        </w:rPr>
      </w:pPr>
      <w:r w:rsidRPr="00B918E6">
        <w:rPr>
          <w:lang w:val="en-GB"/>
        </w:rPr>
        <w:lastRenderedPageBreak/>
        <w:t>The yearly average percentage of wells with fugitive emissions from Lot I is 43% (73 out of 169 wells), while for Lot II, the percentage is 59% (141 out of 239 wells). The loss of landfill gas (LFG) due to fugitive emissions can be calculated as the ratio between the yearly average estimate of fugitive emissions (73 + 141) * 0.28 = 60 m</w:t>
      </w:r>
      <w:r w:rsidRPr="00B918E6">
        <w:rPr>
          <w:vertAlign w:val="superscript"/>
          <w:lang w:val="en-GB"/>
        </w:rPr>
        <w:t>3</w:t>
      </w:r>
      <w:r w:rsidRPr="00B918E6">
        <w:rPr>
          <w:lang w:val="en-GB"/>
        </w:rPr>
        <w:t>/h and the yearly average collected LFG (Table 1), which is 5.2%.</w:t>
      </w:r>
      <w:r w:rsidR="001957C2" w:rsidRPr="00B918E6">
        <w:rPr>
          <w:lang w:val="en-GB"/>
        </w:rPr>
        <w:t xml:space="preserve"> </w:t>
      </w:r>
      <w:r w:rsidR="002C35B8" w:rsidRPr="00B918E6">
        <w:rPr>
          <w:lang w:val="en-GB"/>
        </w:rPr>
        <w:t xml:space="preserve">This percentage is consistent with </w:t>
      </w:r>
      <w:r w:rsidR="00CB268A" w:rsidRPr="00B918E6">
        <w:rPr>
          <w:lang w:val="en-GB"/>
        </w:rPr>
        <w:t>large-scale</w:t>
      </w:r>
      <w:r w:rsidR="002C35B8" w:rsidRPr="00B918E6">
        <w:rPr>
          <w:lang w:val="en-GB"/>
        </w:rPr>
        <w:t xml:space="preserve"> estimates of fugitive emissions loss in industrial processes (</w:t>
      </w:r>
      <w:proofErr w:type="spellStart"/>
      <w:r w:rsidR="002C35B8" w:rsidRPr="00B918E6">
        <w:rPr>
          <w:lang w:val="en-GB"/>
        </w:rPr>
        <w:t>Laconde</w:t>
      </w:r>
      <w:proofErr w:type="spellEnd"/>
      <w:r w:rsidR="002C35B8" w:rsidRPr="00B918E6">
        <w:rPr>
          <w:lang w:val="en-GB"/>
        </w:rPr>
        <w:t xml:space="preserve"> T., 2018)</w:t>
      </w:r>
      <w:r w:rsidRPr="00B918E6">
        <w:rPr>
          <w:lang w:val="en-GB"/>
        </w:rPr>
        <w:t xml:space="preserve">. In the following section, the impact of this apparently negligible source on </w:t>
      </w:r>
      <w:r w:rsidR="00444FF4" w:rsidRPr="00B918E6">
        <w:rPr>
          <w:lang w:val="en-GB"/>
        </w:rPr>
        <w:t>odour</w:t>
      </w:r>
      <w:r w:rsidRPr="00B918E6">
        <w:rPr>
          <w:lang w:val="en-GB"/>
        </w:rPr>
        <w:t xml:space="preserve"> dispersion model</w:t>
      </w:r>
      <w:r w:rsidR="00696741">
        <w:rPr>
          <w:lang w:val="en-GB"/>
        </w:rPr>
        <w:t>l</w:t>
      </w:r>
      <w:r w:rsidRPr="00B918E6">
        <w:rPr>
          <w:lang w:val="en-GB"/>
        </w:rPr>
        <w:t>ing will be assessed.</w:t>
      </w:r>
    </w:p>
    <w:p w14:paraId="504CC3B4" w14:textId="4E48167C" w:rsidR="001967D0" w:rsidRPr="00B918E6" w:rsidRDefault="00572D53" w:rsidP="006130F2">
      <w:pPr>
        <w:keepNext/>
        <w:numPr>
          <w:ilvl w:val="2"/>
          <w:numId w:val="1"/>
        </w:numPr>
        <w:tabs>
          <w:tab w:val="clear" w:pos="7100"/>
        </w:tabs>
        <w:suppressAutoHyphens/>
        <w:spacing w:before="120" w:after="120" w:line="240" w:lineRule="auto"/>
        <w:jc w:val="left"/>
        <w:rPr>
          <w:b/>
        </w:rPr>
      </w:pPr>
      <w:r w:rsidRPr="00B918E6">
        <w:rPr>
          <w:b/>
        </w:rPr>
        <w:t>Dispersion model</w:t>
      </w:r>
      <w:r w:rsidR="00696741">
        <w:rPr>
          <w:b/>
        </w:rPr>
        <w:t>l</w:t>
      </w:r>
      <w:r w:rsidRPr="00B918E6">
        <w:rPr>
          <w:b/>
        </w:rPr>
        <w:t xml:space="preserve">ing </w:t>
      </w:r>
      <w:r w:rsidR="001967D0" w:rsidRPr="00B918E6">
        <w:rPr>
          <w:b/>
        </w:rPr>
        <w:t>results</w:t>
      </w:r>
    </w:p>
    <w:p w14:paraId="413ACE59" w14:textId="2CE328D3" w:rsidR="00CB268A" w:rsidRPr="00B918E6" w:rsidRDefault="00CB268A" w:rsidP="00E673E7">
      <w:pPr>
        <w:pStyle w:val="CETBodytext"/>
        <w:rPr>
          <w:lang w:val="en-GB"/>
        </w:rPr>
      </w:pPr>
      <w:r w:rsidRPr="00B918E6">
        <w:rPr>
          <w:lang w:val="en-GB"/>
        </w:rPr>
        <w:t xml:space="preserve">Based on the assumptions outlined in the preceding sections, the results of the CALPUFF dispersion model are presented here, with a particular focus on the impact of biogas fugitive emissions on the 98th percentile of the </w:t>
      </w:r>
      <w:r w:rsidR="00444FF4" w:rsidRPr="00B918E6">
        <w:rPr>
          <w:lang w:val="en-GB"/>
        </w:rPr>
        <w:t>odour</w:t>
      </w:r>
      <w:r w:rsidRPr="00B918E6">
        <w:rPr>
          <w:lang w:val="en-GB"/>
        </w:rPr>
        <w:t xml:space="preserve"> concentration field. In the initial scenario (Scenario 1), only diffuse </w:t>
      </w:r>
      <w:r w:rsidR="00444FF4" w:rsidRPr="00B918E6">
        <w:rPr>
          <w:lang w:val="en-GB"/>
        </w:rPr>
        <w:t>odour</w:t>
      </w:r>
      <w:r w:rsidRPr="00B918E6">
        <w:rPr>
          <w:lang w:val="en-GB"/>
        </w:rPr>
        <w:t xml:space="preserve"> emissions from the surfaces of Lots I and II were taken into account (see Figure 3).</w:t>
      </w:r>
    </w:p>
    <w:p w14:paraId="7DC4B0F7" w14:textId="43E09957" w:rsidR="00444FF4" w:rsidRPr="00B918E6" w:rsidRDefault="00444FF4" w:rsidP="00444FF4">
      <w:pPr>
        <w:pStyle w:val="CETBodytext"/>
        <w:keepNext/>
        <w:jc w:val="left"/>
        <w:rPr>
          <w:lang w:val="en-GB"/>
        </w:rPr>
      </w:pPr>
      <w:r w:rsidRPr="00B918E6">
        <w:rPr>
          <w:noProof/>
          <w:lang w:val="en-GB"/>
        </w:rPr>
        <w:drawing>
          <wp:inline distT="0" distB="0" distL="0" distR="0" wp14:anchorId="59466CB1" wp14:editId="2911D651">
            <wp:extent cx="3007895" cy="2060188"/>
            <wp:effectExtent l="0" t="0" r="2540" b="0"/>
            <wp:docPr id="65563085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pic:cNvPicPr>
                      <a:picLocks noChangeAspect="1" noChangeArrowheads="1"/>
                    </pic:cNvPicPr>
                  </pic:nvPicPr>
                  <pic:blipFill rotWithShape="1">
                    <a:blip r:embed="rId12">
                      <a:extLst>
                        <a:ext uri="{28A0092B-C50C-407E-A947-70E740481C1C}">
                          <a14:useLocalDpi xmlns:a14="http://schemas.microsoft.com/office/drawing/2010/main" val="0"/>
                        </a:ext>
                      </a:extLst>
                    </a:blip>
                    <a:srcRect b="3397"/>
                    <a:stretch/>
                  </pic:blipFill>
                  <pic:spPr bwMode="auto">
                    <a:xfrm>
                      <a:off x="0" y="0"/>
                      <a:ext cx="3026868" cy="2073183"/>
                    </a:xfrm>
                    <a:prstGeom prst="rect">
                      <a:avLst/>
                    </a:prstGeom>
                    <a:noFill/>
                    <a:ln>
                      <a:noFill/>
                    </a:ln>
                    <a:extLst>
                      <a:ext uri="{53640926-AAD7-44D8-BBD7-CCE9431645EC}">
                        <a14:shadowObscured xmlns:a14="http://schemas.microsoft.com/office/drawing/2010/main"/>
                      </a:ext>
                    </a:extLst>
                  </pic:spPr>
                </pic:pic>
              </a:graphicData>
            </a:graphic>
          </wp:inline>
        </w:drawing>
      </w:r>
    </w:p>
    <w:p w14:paraId="52A7FF63" w14:textId="162B2062" w:rsidR="002E66E1" w:rsidRPr="00B918E6" w:rsidRDefault="002E66E1" w:rsidP="00AE2431">
      <w:pPr>
        <w:pStyle w:val="CETCaption"/>
      </w:pPr>
      <w:r w:rsidRPr="00B918E6">
        <w:t xml:space="preserve">Figure </w:t>
      </w:r>
      <w:r w:rsidRPr="00B918E6">
        <w:fldChar w:fldCharType="begin"/>
      </w:r>
      <w:r w:rsidRPr="00B918E6">
        <w:instrText xml:space="preserve"> SEQ Figure \* ARABIC </w:instrText>
      </w:r>
      <w:r w:rsidRPr="00B918E6">
        <w:fldChar w:fldCharType="separate"/>
      </w:r>
      <w:r w:rsidR="00A579D6" w:rsidRPr="00B918E6">
        <w:t>3</w:t>
      </w:r>
      <w:r w:rsidRPr="00B918E6">
        <w:fldChar w:fldCharType="end"/>
      </w:r>
      <w:r w:rsidRPr="00B918E6">
        <w:t>: Simulation results: Scenario 1: Emissions of Lots I and II without fugitive emissions</w:t>
      </w:r>
    </w:p>
    <w:p w14:paraId="0F15317E" w14:textId="04298B7B" w:rsidR="001957C2" w:rsidRPr="00B918E6" w:rsidRDefault="00CB268A" w:rsidP="001F19EC">
      <w:pPr>
        <w:pStyle w:val="CETBodytext"/>
        <w:rPr>
          <w:lang w:val="en-GB"/>
        </w:rPr>
      </w:pPr>
      <w:r w:rsidRPr="00B918E6">
        <w:rPr>
          <w:lang w:val="en-GB"/>
        </w:rPr>
        <w:t xml:space="preserve">The 98th percentile of </w:t>
      </w:r>
      <w:r w:rsidR="00444FF4" w:rsidRPr="00B918E6">
        <w:rPr>
          <w:lang w:val="en-GB"/>
        </w:rPr>
        <w:t>odour</w:t>
      </w:r>
      <w:r w:rsidRPr="00B918E6">
        <w:rPr>
          <w:lang w:val="en-GB"/>
        </w:rPr>
        <w:t xml:space="preserve"> concentration, considering a peak-to-mean ratio of 2.3 (Barclay et al., 2023) at the nearest receptor, is 0.9 </w:t>
      </w:r>
      <w:proofErr w:type="spellStart"/>
      <w:r w:rsidRPr="00B918E6">
        <w:rPr>
          <w:lang w:val="en-GB"/>
        </w:rPr>
        <w:t>ou</w:t>
      </w:r>
      <w:proofErr w:type="spellEnd"/>
      <w:r w:rsidRPr="00B918E6">
        <w:rPr>
          <w:lang w:val="en-GB"/>
        </w:rPr>
        <w:t>/m</w:t>
      </w:r>
      <w:r w:rsidRPr="00B918E6">
        <w:rPr>
          <w:vertAlign w:val="superscript"/>
          <w:lang w:val="en-GB"/>
        </w:rPr>
        <w:t>3</w:t>
      </w:r>
      <w:r w:rsidRPr="00B918E6">
        <w:rPr>
          <w:lang w:val="en-GB"/>
        </w:rPr>
        <w:t xml:space="preserve">. In Scenario 2, diffuse </w:t>
      </w:r>
      <w:r w:rsidR="00444FF4" w:rsidRPr="00B918E6">
        <w:rPr>
          <w:lang w:val="en-GB"/>
        </w:rPr>
        <w:t>odour</w:t>
      </w:r>
      <w:r w:rsidRPr="00B918E6">
        <w:rPr>
          <w:lang w:val="en-GB"/>
        </w:rPr>
        <w:t xml:space="preserve"> emissions from Lots I and II are combined with fugitive emissions. Given the multitude of emitting wells uniformly distributed across the entire landfill surface, as identified through monthly LDAR surveys, there was consideration given to model</w:t>
      </w:r>
      <w:r w:rsidR="00696741">
        <w:rPr>
          <w:lang w:val="en-GB"/>
        </w:rPr>
        <w:t>l</w:t>
      </w:r>
      <w:r w:rsidRPr="00B918E6">
        <w:rPr>
          <w:lang w:val="en-GB"/>
        </w:rPr>
        <w:t xml:space="preserve">ing the emissions with equivalent </w:t>
      </w:r>
      <w:r w:rsidR="001957C2" w:rsidRPr="00B918E6">
        <w:rPr>
          <w:lang w:val="en-GB"/>
        </w:rPr>
        <w:t xml:space="preserve">emission </w:t>
      </w:r>
      <w:r w:rsidRPr="00B918E6">
        <w:rPr>
          <w:lang w:val="en-GB"/>
        </w:rPr>
        <w:t>sources. This strategy seeks to reduce the number of sources while maintaining the overall Odour Emission Rate (OER).</w:t>
      </w:r>
      <w:r w:rsidR="001957C2" w:rsidRPr="00B918E6">
        <w:rPr>
          <w:lang w:val="en-GB"/>
        </w:rPr>
        <w:t xml:space="preserve"> A preliminary trial involved grouping 5 wells into an equivalent emission source with an Odour Emission Rate (OER</w:t>
      </w:r>
      <w:r w:rsidR="001957C2" w:rsidRPr="00B918E6">
        <w:rPr>
          <w:vertAlign w:val="subscript"/>
          <w:lang w:val="en-GB"/>
        </w:rPr>
        <w:t>eq</w:t>
      </w:r>
      <w:r w:rsidR="001957C2" w:rsidRPr="00B918E6">
        <w:rPr>
          <w:lang w:val="en-GB"/>
        </w:rPr>
        <w:t>) of 5 times the single-well OER. Subsequently, it was examined whether a less refined approximation (grouping 10 wells into an equivalent emission source with OER</w:t>
      </w:r>
      <w:r w:rsidR="001957C2" w:rsidRPr="00B918E6">
        <w:rPr>
          <w:vertAlign w:val="subscript"/>
          <w:lang w:val="en-GB"/>
        </w:rPr>
        <w:t>eq</w:t>
      </w:r>
      <w:r w:rsidR="001957C2" w:rsidRPr="00B918E6">
        <w:rPr>
          <w:lang w:val="en-GB"/>
        </w:rPr>
        <w:t xml:space="preserve"> = 10 * OER) would yield different results for the </w:t>
      </w:r>
      <w:r w:rsidR="00444FF4" w:rsidRPr="00B918E6">
        <w:rPr>
          <w:lang w:val="en-GB"/>
        </w:rPr>
        <w:t>odour</w:t>
      </w:r>
      <w:r w:rsidR="001957C2" w:rsidRPr="00B918E6">
        <w:rPr>
          <w:lang w:val="en-GB"/>
        </w:rPr>
        <w:t xml:space="preserve"> concentration field. The results, depicted in Figures 4a and 4b, indicate no noticeable difference in the concentration fields. This suggests that grouping the fugitive emission sources with high concentrations by 10 does not affect the simulation results, thereby significantly simplifying the process of simulating fugitive emissions from a large number of LFG wells.</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0"/>
        <w:gridCol w:w="4407"/>
      </w:tblGrid>
      <w:tr w:rsidR="003106AF" w:rsidRPr="00B918E6" w14:paraId="76FEA275" w14:textId="77777777" w:rsidTr="001957C2">
        <w:tc>
          <w:tcPr>
            <w:tcW w:w="4389" w:type="dxa"/>
          </w:tcPr>
          <w:p w14:paraId="1F5BDA5C" w14:textId="122051A8" w:rsidR="003106AF" w:rsidRPr="00B918E6" w:rsidRDefault="00444FF4" w:rsidP="001F19EC">
            <w:pPr>
              <w:pStyle w:val="CETBodytext"/>
              <w:rPr>
                <w:lang w:val="en-GB"/>
              </w:rPr>
            </w:pPr>
            <w:r w:rsidRPr="00B918E6">
              <w:rPr>
                <w:noProof/>
                <w:lang w:val="en-GB"/>
              </w:rPr>
              <w:drawing>
                <wp:inline distT="0" distB="0" distL="0" distR="0" wp14:anchorId="7CE9463C" wp14:editId="354FB799">
                  <wp:extent cx="2725525" cy="1862919"/>
                  <wp:effectExtent l="0" t="0" r="0" b="4445"/>
                  <wp:docPr id="195082835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828355" name="Immagine 1"/>
                          <pic:cNvPicPr>
                            <a:picLocks noChangeAspect="1"/>
                          </pic:cNvPicPr>
                        </pic:nvPicPr>
                        <pic:blipFill rotWithShape="1">
                          <a:blip r:embed="rId13"/>
                          <a:srcRect b="3380"/>
                          <a:stretch/>
                        </pic:blipFill>
                        <pic:spPr bwMode="auto">
                          <a:xfrm>
                            <a:off x="0" y="0"/>
                            <a:ext cx="2727653" cy="1864373"/>
                          </a:xfrm>
                          <a:prstGeom prst="rect">
                            <a:avLst/>
                          </a:prstGeom>
                          <a:ln>
                            <a:noFill/>
                          </a:ln>
                          <a:extLst>
                            <a:ext uri="{53640926-AAD7-44D8-BBD7-CCE9431645EC}">
                              <a14:shadowObscured xmlns:a14="http://schemas.microsoft.com/office/drawing/2010/main"/>
                            </a:ext>
                          </a:extLst>
                        </pic:spPr>
                      </pic:pic>
                    </a:graphicData>
                  </a:graphic>
                </wp:inline>
              </w:drawing>
            </w:r>
          </w:p>
        </w:tc>
        <w:tc>
          <w:tcPr>
            <w:tcW w:w="4398" w:type="dxa"/>
          </w:tcPr>
          <w:p w14:paraId="21D4AD07" w14:textId="1132B53D" w:rsidR="003106AF" w:rsidRPr="00B918E6" w:rsidRDefault="00444FF4" w:rsidP="001F19EC">
            <w:pPr>
              <w:pStyle w:val="CETBodytext"/>
              <w:rPr>
                <w:lang w:val="en-GB"/>
              </w:rPr>
            </w:pPr>
            <w:r w:rsidRPr="00B918E6">
              <w:rPr>
                <w:noProof/>
                <w:lang w:val="en-GB"/>
              </w:rPr>
              <w:drawing>
                <wp:inline distT="0" distB="0" distL="0" distR="0" wp14:anchorId="615F9C9B" wp14:editId="13A38B74">
                  <wp:extent cx="2734078" cy="1867767"/>
                  <wp:effectExtent l="0" t="0" r="9525" b="0"/>
                  <wp:docPr id="2029957308"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957308" name="Immagine 2"/>
                          <pic:cNvPicPr>
                            <a:picLocks noChangeAspect="1"/>
                          </pic:cNvPicPr>
                        </pic:nvPicPr>
                        <pic:blipFill rotWithShape="1">
                          <a:blip r:embed="rId14"/>
                          <a:srcRect b="3408"/>
                          <a:stretch/>
                        </pic:blipFill>
                        <pic:spPr bwMode="auto">
                          <a:xfrm>
                            <a:off x="0" y="0"/>
                            <a:ext cx="2734706" cy="1868196"/>
                          </a:xfrm>
                          <a:prstGeom prst="rect">
                            <a:avLst/>
                          </a:prstGeom>
                          <a:ln>
                            <a:noFill/>
                          </a:ln>
                          <a:extLst>
                            <a:ext uri="{53640926-AAD7-44D8-BBD7-CCE9431645EC}">
                              <a14:shadowObscured xmlns:a14="http://schemas.microsoft.com/office/drawing/2010/main"/>
                            </a:ext>
                          </a:extLst>
                        </pic:spPr>
                      </pic:pic>
                    </a:graphicData>
                  </a:graphic>
                </wp:inline>
              </w:drawing>
            </w:r>
          </w:p>
        </w:tc>
      </w:tr>
    </w:tbl>
    <w:p w14:paraId="30EDD8F4" w14:textId="50126E58" w:rsidR="001967D0" w:rsidRPr="00B918E6" w:rsidRDefault="0061328E" w:rsidP="00AE2431">
      <w:pPr>
        <w:pStyle w:val="CETCaption"/>
      </w:pPr>
      <w:r w:rsidRPr="00B918E6">
        <w:t xml:space="preserve">Figure </w:t>
      </w:r>
      <w:r w:rsidRPr="00B918E6">
        <w:fldChar w:fldCharType="begin"/>
      </w:r>
      <w:r w:rsidRPr="00B918E6">
        <w:instrText xml:space="preserve"> SEQ Figure \* ARABIC </w:instrText>
      </w:r>
      <w:r w:rsidRPr="00B918E6">
        <w:fldChar w:fldCharType="separate"/>
      </w:r>
      <w:r w:rsidR="00A579D6" w:rsidRPr="00B918E6">
        <w:t>4</w:t>
      </w:r>
      <w:r w:rsidRPr="00B918E6">
        <w:fldChar w:fldCharType="end"/>
      </w:r>
      <w:r w:rsidRPr="00B918E6">
        <w:t>:</w:t>
      </w:r>
      <w:r w:rsidR="00852821" w:rsidRPr="00B918E6">
        <w:t xml:space="preserve"> Simulation results: Emissions with fugitive emissions</w:t>
      </w:r>
      <w:r w:rsidR="001957C2" w:rsidRPr="00B918E6">
        <w:t xml:space="preserve">: </w:t>
      </w:r>
      <w:r w:rsidR="002E66E1" w:rsidRPr="00B918E6">
        <w:t>5-to-</w:t>
      </w:r>
      <w:r w:rsidR="00852821" w:rsidRPr="00B918E6">
        <w:t>1</w:t>
      </w:r>
      <w:r w:rsidR="001D5D8B" w:rsidRPr="00B918E6">
        <w:t xml:space="preserve"> wells</w:t>
      </w:r>
      <w:r w:rsidR="002E66E1" w:rsidRPr="00B918E6">
        <w:t xml:space="preserve"> grouping </w:t>
      </w:r>
      <w:r w:rsidR="00852821" w:rsidRPr="00B918E6">
        <w:t>(</w:t>
      </w:r>
      <w:r w:rsidR="00101BE7" w:rsidRPr="00B918E6">
        <w:t>4</w:t>
      </w:r>
      <w:r w:rsidR="00852821" w:rsidRPr="00B918E6">
        <w:t xml:space="preserve">a) </w:t>
      </w:r>
      <w:r w:rsidR="001957C2" w:rsidRPr="00B918E6">
        <w:t>and</w:t>
      </w:r>
      <w:r w:rsidR="00852821" w:rsidRPr="00B918E6">
        <w:t xml:space="preserve"> </w:t>
      </w:r>
      <w:r w:rsidR="002E66E1" w:rsidRPr="00B918E6">
        <w:t>10-to-1</w:t>
      </w:r>
      <w:r w:rsidR="001D5D8B" w:rsidRPr="00B918E6">
        <w:t xml:space="preserve"> wells grouping</w:t>
      </w:r>
      <w:r w:rsidR="00852821" w:rsidRPr="00B918E6">
        <w:t xml:space="preserve"> (</w:t>
      </w:r>
      <w:r w:rsidR="00101BE7" w:rsidRPr="00B918E6">
        <w:t>4</w:t>
      </w:r>
      <w:r w:rsidR="00852821" w:rsidRPr="00B918E6">
        <w:t>b)</w:t>
      </w:r>
    </w:p>
    <w:p w14:paraId="7116169A" w14:textId="4831F9BD" w:rsidR="001957C2" w:rsidRPr="00B918E6" w:rsidRDefault="001957C2" w:rsidP="00B33ABA">
      <w:pPr>
        <w:pStyle w:val="CETBodytext"/>
        <w:rPr>
          <w:lang w:val="en-GB"/>
        </w:rPr>
      </w:pPr>
      <w:r w:rsidRPr="00B918E6">
        <w:rPr>
          <w:lang w:val="en-GB"/>
        </w:rPr>
        <w:lastRenderedPageBreak/>
        <w:t>The 98</w:t>
      </w:r>
      <w:r w:rsidRPr="00AC5E4B">
        <w:rPr>
          <w:vertAlign w:val="superscript"/>
          <w:lang w:val="en-GB"/>
        </w:rPr>
        <w:t>th</w:t>
      </w:r>
      <w:r w:rsidRPr="00B918E6">
        <w:rPr>
          <w:lang w:val="en-GB"/>
        </w:rPr>
        <w:t xml:space="preserve"> percentile of </w:t>
      </w:r>
      <w:r w:rsidR="00444FF4" w:rsidRPr="00B918E6">
        <w:rPr>
          <w:lang w:val="en-GB"/>
        </w:rPr>
        <w:t>odour</w:t>
      </w:r>
      <w:r w:rsidRPr="00B918E6">
        <w:rPr>
          <w:lang w:val="en-GB"/>
        </w:rPr>
        <w:t xml:space="preserve"> concentration at the nearest receptor </w:t>
      </w:r>
      <w:r w:rsidR="00516E9F" w:rsidRPr="00B918E6">
        <w:rPr>
          <w:lang w:val="en-GB"/>
        </w:rPr>
        <w:t>is</w:t>
      </w:r>
      <w:r w:rsidRPr="00B918E6">
        <w:rPr>
          <w:lang w:val="en-GB"/>
        </w:rPr>
        <w:t xml:space="preserve"> 1.2 </w:t>
      </w:r>
      <w:proofErr w:type="spellStart"/>
      <w:r w:rsidRPr="00B918E6">
        <w:rPr>
          <w:lang w:val="en-GB"/>
        </w:rPr>
        <w:t>ou</w:t>
      </w:r>
      <w:proofErr w:type="spellEnd"/>
      <w:r w:rsidRPr="00B918E6">
        <w:rPr>
          <w:lang w:val="en-GB"/>
        </w:rPr>
        <w:t>/m</w:t>
      </w:r>
      <w:r w:rsidRPr="00B918E6">
        <w:rPr>
          <w:vertAlign w:val="superscript"/>
          <w:lang w:val="en-GB"/>
        </w:rPr>
        <w:t>3</w:t>
      </w:r>
      <w:r w:rsidRPr="00B918E6">
        <w:rPr>
          <w:lang w:val="en-GB"/>
        </w:rPr>
        <w:t>, indicating a potential 33% increase due to biogas fugitive emissions. Consequently, future improvements in the LFG management system should emphasize the development of more effective strategies for sealing the wellhead and minimizing fugitive emissions.</w:t>
      </w:r>
    </w:p>
    <w:p w14:paraId="68D26B83" w14:textId="77777777" w:rsidR="00600535" w:rsidRPr="00B918E6" w:rsidRDefault="00600535" w:rsidP="00600535">
      <w:pPr>
        <w:pStyle w:val="CETHeading1"/>
        <w:rPr>
          <w:lang w:val="en-GB"/>
        </w:rPr>
      </w:pPr>
      <w:r w:rsidRPr="00B918E6">
        <w:rPr>
          <w:lang w:val="en-GB"/>
        </w:rPr>
        <w:t>Conclusions</w:t>
      </w:r>
    </w:p>
    <w:p w14:paraId="11BC5555" w14:textId="37F3764F" w:rsidR="00D6037B" w:rsidRPr="00B918E6" w:rsidRDefault="00D6037B" w:rsidP="00D6037B">
      <w:pPr>
        <w:pStyle w:val="CETBodytext"/>
        <w:rPr>
          <w:lang w:val="en-GB"/>
        </w:rPr>
      </w:pPr>
      <w:r w:rsidRPr="00B918E6">
        <w:rPr>
          <w:lang w:val="en-GB"/>
        </w:rPr>
        <w:t xml:space="preserve">An investigation was carried out to assess the impact of biogas fugitive emissions on </w:t>
      </w:r>
      <w:r w:rsidR="00444FF4" w:rsidRPr="00B918E6">
        <w:rPr>
          <w:lang w:val="en-GB"/>
        </w:rPr>
        <w:t>odour</w:t>
      </w:r>
      <w:r w:rsidRPr="00B918E6">
        <w:rPr>
          <w:lang w:val="en-GB"/>
        </w:rPr>
        <w:t xml:space="preserve"> dispersion from a non-hazardous landfill. Fugitive emissions surveys were performed using FID walkover and optical gas imaging analysis (OGI). The quantitative OGI (QOGI) technology enabled the determination of the upper limit of landfill gas (LFG) fugitive emissions from the landfill surface surrounding the wells. Based on this evidence, an order-of-magnitude estimation of fugitive emissions by each well, approximately 100 g/h per well, was made, providing a conservative measure for </w:t>
      </w:r>
      <w:r w:rsidR="00444FF4" w:rsidRPr="00B918E6">
        <w:rPr>
          <w:lang w:val="en-GB"/>
        </w:rPr>
        <w:t>odour</w:t>
      </w:r>
      <w:r w:rsidRPr="00B918E6">
        <w:rPr>
          <w:lang w:val="en-GB"/>
        </w:rPr>
        <w:t xml:space="preserve"> dispersion mode</w:t>
      </w:r>
      <w:r w:rsidR="00696741">
        <w:rPr>
          <w:lang w:val="en-GB"/>
        </w:rPr>
        <w:t>l</w:t>
      </w:r>
      <w:r w:rsidRPr="00B918E6">
        <w:rPr>
          <w:lang w:val="en-GB"/>
        </w:rPr>
        <w:t xml:space="preserve">ling. In this specific case study, the estimated loss of LFG due to fugitive emissions is around 5%, taking into account that 43% and 59% of wells in Lots I and II, respectively, show fugitive losses. Although seemingly negligible, the high concentration of </w:t>
      </w:r>
      <w:r w:rsidR="00444FF4" w:rsidRPr="00B918E6">
        <w:rPr>
          <w:lang w:val="en-GB"/>
        </w:rPr>
        <w:t>odour</w:t>
      </w:r>
      <w:r w:rsidRPr="00B918E6">
        <w:rPr>
          <w:lang w:val="en-GB"/>
        </w:rPr>
        <w:t xml:space="preserve"> in biogas has been demonstrated to have a significant impact on </w:t>
      </w:r>
      <w:r w:rsidR="00444FF4" w:rsidRPr="00B918E6">
        <w:rPr>
          <w:lang w:val="en-GB"/>
        </w:rPr>
        <w:t>odour</w:t>
      </w:r>
      <w:r w:rsidRPr="00B918E6">
        <w:rPr>
          <w:lang w:val="en-GB"/>
        </w:rPr>
        <w:t xml:space="preserve"> dispersion. In fact, when considering fugitive emissions from the wells, grouped into sets of 10 to simplify emission mode</w:t>
      </w:r>
      <w:r w:rsidR="00696741">
        <w:rPr>
          <w:lang w:val="en-GB"/>
        </w:rPr>
        <w:t>l</w:t>
      </w:r>
      <w:r w:rsidRPr="00B918E6">
        <w:rPr>
          <w:lang w:val="en-GB"/>
        </w:rPr>
        <w:t>ling</w:t>
      </w:r>
      <w:r w:rsidR="00CA2B8C">
        <w:rPr>
          <w:lang w:val="en-GB"/>
        </w:rPr>
        <w:t xml:space="preserve"> without distorting the results</w:t>
      </w:r>
      <w:r w:rsidRPr="00B918E6">
        <w:rPr>
          <w:lang w:val="en-GB"/>
        </w:rPr>
        <w:t>, an increase of up to 33% in the 98</w:t>
      </w:r>
      <w:r w:rsidRPr="00AC5E4B">
        <w:rPr>
          <w:vertAlign w:val="superscript"/>
          <w:lang w:val="en-GB"/>
        </w:rPr>
        <w:t>th</w:t>
      </w:r>
      <w:r w:rsidRPr="00B918E6">
        <w:rPr>
          <w:lang w:val="en-GB"/>
        </w:rPr>
        <w:t xml:space="preserve"> percentile of </w:t>
      </w:r>
      <w:r w:rsidR="00444FF4" w:rsidRPr="00B918E6">
        <w:rPr>
          <w:lang w:val="en-GB"/>
        </w:rPr>
        <w:t>odour</w:t>
      </w:r>
      <w:r w:rsidRPr="00B918E6">
        <w:rPr>
          <w:lang w:val="en-GB"/>
        </w:rPr>
        <w:t xml:space="preserve"> concentration at the receptors is observed compared to when only surface emissions are considered.</w:t>
      </w:r>
    </w:p>
    <w:p w14:paraId="459D05E6" w14:textId="77777777" w:rsidR="00600535" w:rsidRPr="00B918E6" w:rsidRDefault="00600535" w:rsidP="00600535">
      <w:pPr>
        <w:pStyle w:val="CETAcknowledgementstitle"/>
      </w:pPr>
      <w:r w:rsidRPr="00B918E6">
        <w:t>Acknowledgments</w:t>
      </w:r>
    </w:p>
    <w:p w14:paraId="5B3FC58E" w14:textId="5E9CA00C" w:rsidR="000A3C28" w:rsidRPr="00B918E6" w:rsidRDefault="000A3C28" w:rsidP="000A3C28">
      <w:pPr>
        <w:pStyle w:val="CETBodytext"/>
        <w:rPr>
          <w:lang w:val="en-GB"/>
        </w:rPr>
      </w:pPr>
      <w:r w:rsidRPr="00B918E6">
        <w:rPr>
          <w:lang w:val="en-GB"/>
        </w:rPr>
        <w:t>The technical assistance provided by Italcave</w:t>
      </w:r>
      <w:r w:rsidR="00D86F2A" w:rsidRPr="00B918E6">
        <w:rPr>
          <w:lang w:val="en-GB"/>
        </w:rPr>
        <w:t xml:space="preserve"> SpA</w:t>
      </w:r>
      <w:r w:rsidRPr="00B918E6">
        <w:rPr>
          <w:lang w:val="en-GB"/>
        </w:rPr>
        <w:t xml:space="preserve"> (Taranto, Southern Italy) during the investigation is </w:t>
      </w:r>
      <w:r w:rsidR="003D4A89" w:rsidRPr="00B918E6">
        <w:rPr>
          <w:lang w:val="en-GB"/>
        </w:rPr>
        <w:t>gratefully</w:t>
      </w:r>
      <w:r w:rsidRPr="00B918E6">
        <w:rPr>
          <w:lang w:val="en-GB"/>
        </w:rPr>
        <w:t xml:space="preserve"> acknowledged.</w:t>
      </w:r>
      <w:r w:rsidRPr="00B918E6">
        <w:rPr>
          <w:b/>
          <w:color w:val="FF0000"/>
          <w:lang w:val="en-GB"/>
        </w:rPr>
        <w:t xml:space="preserve"> </w:t>
      </w:r>
    </w:p>
    <w:p w14:paraId="4F1327F8" w14:textId="77777777" w:rsidR="00600535" w:rsidRPr="00B918E6" w:rsidRDefault="00600535" w:rsidP="00600535">
      <w:pPr>
        <w:pStyle w:val="CETReference"/>
      </w:pPr>
      <w:r w:rsidRPr="00B918E6">
        <w:t>References</w:t>
      </w:r>
    </w:p>
    <w:p w14:paraId="7BD7F074" w14:textId="77777777" w:rsidR="00A84B0B" w:rsidRPr="00B918E6" w:rsidRDefault="00A84B0B" w:rsidP="00A84B0B">
      <w:pPr>
        <w:pStyle w:val="CETReferencetext"/>
      </w:pPr>
      <w:bookmarkStart w:id="4" w:name="_Hlk37942958"/>
      <w:r w:rsidRPr="00B918E6">
        <w:t xml:space="preserve">Barclay J., Nietzsche Diaz C., Shanahan I., Trick L., </w:t>
      </w:r>
      <w:proofErr w:type="spellStart"/>
      <w:r w:rsidRPr="00B918E6">
        <w:t>Bellasio</w:t>
      </w:r>
      <w:proofErr w:type="spellEnd"/>
      <w:r w:rsidRPr="00B918E6">
        <w:t xml:space="preserve"> R., </w:t>
      </w:r>
      <w:proofErr w:type="spellStart"/>
      <w:r w:rsidRPr="00B918E6">
        <w:t>Tinarelli</w:t>
      </w:r>
      <w:proofErr w:type="spellEnd"/>
      <w:r w:rsidRPr="00B918E6">
        <w:t xml:space="preserve"> G., </w:t>
      </w:r>
      <w:proofErr w:type="spellStart"/>
      <w:r w:rsidRPr="00B918E6">
        <w:t>Brusasca</w:t>
      </w:r>
      <w:proofErr w:type="spellEnd"/>
      <w:r w:rsidRPr="00B918E6">
        <w:t xml:space="preserve"> G., Rosales R., Galvin G., Trini Castelli S., Balch A., Romain A, Escoffier E., </w:t>
      </w:r>
      <w:proofErr w:type="spellStart"/>
      <w:r w:rsidRPr="00B918E6">
        <w:t>Öttl</w:t>
      </w:r>
      <w:proofErr w:type="spellEnd"/>
      <w:r w:rsidRPr="00B918E6">
        <w:t xml:space="preserve"> D., Duthier E., </w:t>
      </w:r>
      <w:proofErr w:type="spellStart"/>
      <w:r w:rsidRPr="00B918E6">
        <w:t>Berbekar</w:t>
      </w:r>
      <w:proofErr w:type="spellEnd"/>
      <w:r w:rsidRPr="00B918E6">
        <w:t xml:space="preserve"> E., Oliva G., </w:t>
      </w:r>
      <w:proofErr w:type="spellStart"/>
      <w:r w:rsidRPr="00B918E6">
        <w:t>Schauberger</w:t>
      </w:r>
      <w:proofErr w:type="spellEnd"/>
      <w:r w:rsidRPr="00B918E6">
        <w:t xml:space="preserve"> G., Hauschildt H., Zarra T, 2023, International Handbook on the Assessment of Odour Exposure using Dispersion Modelling. ISBN: 978-84-09-52429-7. https://doi.org/10.5281/zenodo.8367724</w:t>
      </w:r>
    </w:p>
    <w:p w14:paraId="26308C80" w14:textId="77777777" w:rsidR="00A84B0B" w:rsidRPr="00B918E6" w:rsidRDefault="00A84B0B" w:rsidP="00A84B0B">
      <w:pPr>
        <w:pStyle w:val="CETReferencetext"/>
      </w:pPr>
      <w:r w:rsidRPr="00B918E6">
        <w:t>Cangialosi F., Intini G., Colucci D., 2018, On line monitoring of odour nuisance at a sanitary landfill for non-hazardous waste, Chemical Engineering Transactions Vol. 68, 127-132.</w:t>
      </w:r>
    </w:p>
    <w:p w14:paraId="2F8AD5CE" w14:textId="77777777" w:rsidR="00A84B0B" w:rsidRPr="00B918E6" w:rsidRDefault="00A84B0B" w:rsidP="00A84B0B">
      <w:pPr>
        <w:pStyle w:val="CETReferencetext"/>
      </w:pPr>
      <w:r w:rsidRPr="00AC5E4B">
        <w:rPr>
          <w:lang w:val="it-IT"/>
        </w:rPr>
        <w:t xml:space="preserve">Cangialosi F., Fornaro A., de Santis G. 2021. </w:t>
      </w:r>
      <w:r w:rsidRPr="00B918E6">
        <w:t>Detection of gas leakage from landfills using optical gas imaging coupled with fence monitoring system of odour by IOMS: a case study. 9th IWA Odour &amp; VOC/Air Emission Conference 26-27 October 2021 Bilbao, Spain</w:t>
      </w:r>
    </w:p>
    <w:p w14:paraId="7C39085D" w14:textId="77777777" w:rsidR="00A84B0B" w:rsidRPr="00B918E6" w:rsidRDefault="00A84B0B" w:rsidP="00A84B0B">
      <w:pPr>
        <w:pStyle w:val="CETReferencetext"/>
      </w:pPr>
      <w:r w:rsidRPr="00B918E6">
        <w:t>Capelli L., Sironi S., Del Rosso R., Centola P., Il Grande M., 2008, A comparative and critical evaluation of odour assessment methods on a landfill site. Atmospheric Environment 42, 7050–7058.</w:t>
      </w:r>
    </w:p>
    <w:p w14:paraId="3302D165" w14:textId="77777777" w:rsidR="00A84B0B" w:rsidRPr="00B918E6" w:rsidRDefault="00A84B0B" w:rsidP="00A84B0B">
      <w:pPr>
        <w:pStyle w:val="CETReferencetext"/>
      </w:pPr>
      <w:r w:rsidRPr="00B918E6">
        <w:t>Capelli L., Il Grande M., Intini G., Sironi S., 2018, Comparison of Field Inspections and Dispersion Modelling as a Tool to Estimate Odour Emission Rates from Landfill Surfaces, Chemical Engineering Transactions Vol. 68, 187-192</w:t>
      </w:r>
    </w:p>
    <w:p w14:paraId="0E27E20A" w14:textId="49CD9205" w:rsidR="00A84B0B" w:rsidRPr="00B918E6" w:rsidRDefault="00A84B0B" w:rsidP="00A84B0B">
      <w:pPr>
        <w:pStyle w:val="CETReferencetext"/>
      </w:pPr>
      <w:proofErr w:type="spellStart"/>
      <w:r w:rsidRPr="00B918E6">
        <w:t>Gębicki</w:t>
      </w:r>
      <w:proofErr w:type="spellEnd"/>
      <w:r w:rsidRPr="00B918E6">
        <w:t>, T</w:t>
      </w:r>
      <w:r w:rsidR="00C12E28" w:rsidRPr="00B918E6">
        <w:t>.</w:t>
      </w:r>
      <w:r w:rsidRPr="00B918E6">
        <w:t xml:space="preserve"> D</w:t>
      </w:r>
      <w:r w:rsidR="00C12E28" w:rsidRPr="00B918E6">
        <w:t>.</w:t>
      </w:r>
      <w:r w:rsidRPr="00B918E6">
        <w:t xml:space="preserve">  and </w:t>
      </w:r>
      <w:proofErr w:type="spellStart"/>
      <w:r w:rsidRPr="00B918E6">
        <w:t>Namieśnik</w:t>
      </w:r>
      <w:proofErr w:type="spellEnd"/>
      <w:r w:rsidR="00C12E28" w:rsidRPr="00B918E6">
        <w:t xml:space="preserve"> J.</w:t>
      </w:r>
      <w:r w:rsidRPr="00B918E6">
        <w:t>, 2017, Investigation of Air Quality beside a Municipal Landfill: The Fate of Malodour Compounds as a Model VOC. Environments 2017, 4, 7; doi:10.3390/environments4010007</w:t>
      </w:r>
    </w:p>
    <w:p w14:paraId="2B176503" w14:textId="77777777" w:rsidR="00A84B0B" w:rsidRPr="00B918E6" w:rsidRDefault="00A84B0B" w:rsidP="00A84B0B">
      <w:pPr>
        <w:pStyle w:val="CETReferencetext"/>
      </w:pPr>
      <w:proofErr w:type="spellStart"/>
      <w:r w:rsidRPr="00B918E6">
        <w:t>Hashmonay</w:t>
      </w:r>
      <w:proofErr w:type="spellEnd"/>
      <w:r w:rsidRPr="00B918E6">
        <w:t xml:space="preserve">, 2022). Quantification of VOC Emissions Using Optical Gas Imaging Technology. The air and Waste management </w:t>
      </w:r>
      <w:proofErr w:type="spellStart"/>
      <w:r w:rsidRPr="00B918E6">
        <w:t>Assosiation’s</w:t>
      </w:r>
      <w:proofErr w:type="spellEnd"/>
      <w:r w:rsidRPr="00B918E6">
        <w:t xml:space="preserve"> 115</w:t>
      </w:r>
      <w:r w:rsidRPr="00B918E6">
        <w:rPr>
          <w:vertAlign w:val="superscript"/>
        </w:rPr>
        <w:t>th</w:t>
      </w:r>
      <w:r w:rsidRPr="00B918E6">
        <w:t xml:space="preserve"> Annual Conference and </w:t>
      </w:r>
      <w:proofErr w:type="spellStart"/>
      <w:r w:rsidRPr="00B918E6">
        <w:t>Exhbition</w:t>
      </w:r>
      <w:proofErr w:type="spellEnd"/>
      <w:r w:rsidRPr="00B918E6">
        <w:t xml:space="preserve"> (June 27-30, San Francisco, CA, USA.</w:t>
      </w:r>
    </w:p>
    <w:p w14:paraId="44269DA0" w14:textId="77777777" w:rsidR="00C12E28" w:rsidRPr="00B918E6" w:rsidRDefault="00C12E28" w:rsidP="00C12E28">
      <w:pPr>
        <w:pStyle w:val="CETReferencetext"/>
      </w:pPr>
      <w:proofErr w:type="spellStart"/>
      <w:r w:rsidRPr="00B918E6">
        <w:t>Laconde</w:t>
      </w:r>
      <w:proofErr w:type="spellEnd"/>
      <w:r w:rsidRPr="00B918E6">
        <w:t xml:space="preserve">, T. </w:t>
      </w:r>
      <w:r w:rsidR="00C71D2F" w:rsidRPr="00B918E6">
        <w:t>20</w:t>
      </w:r>
      <w:r w:rsidRPr="00B918E6">
        <w:t>18</w:t>
      </w:r>
      <w:r w:rsidR="00C71D2F" w:rsidRPr="00B918E6">
        <w:t xml:space="preserve">, </w:t>
      </w:r>
      <w:hyperlink r:id="rId15" w:history="1">
        <w:r w:rsidRPr="00B918E6">
          <w:t>Fugitive emissions: a blind spot in the fight against climate change. Fugitives emissions - Sector profile</w:t>
        </w:r>
      </w:hyperlink>
      <w:r w:rsidRPr="00B918E6">
        <w:t xml:space="preserve"> &lt;</w:t>
      </w:r>
      <w:hyperlink r:id="rId16" w:history="1">
        <w:r w:rsidRPr="00B918E6">
          <w:t>https://www.climate-chance.org/wp-content/uploads/2019/03/new-fugitive-emissions-a-blind-spot-in-the-fight-against-climate-change.pdf</w:t>
        </w:r>
      </w:hyperlink>
      <w:r w:rsidRPr="00B918E6">
        <w:t>&gt; accessed 12.03.2024.</w:t>
      </w:r>
    </w:p>
    <w:p w14:paraId="5C0B8DD4" w14:textId="77777777" w:rsidR="00A84B0B" w:rsidRPr="00B918E6" w:rsidRDefault="00A84B0B" w:rsidP="00A84B0B">
      <w:pPr>
        <w:pStyle w:val="CETReferencetext"/>
      </w:pPr>
      <w:r w:rsidRPr="00AC5E4B">
        <w:rPr>
          <w:lang w:val="it-IT"/>
        </w:rPr>
        <w:t xml:space="preserve">Lucernoni, F., Tapparo F., Capelli, L., Sironi, S., 2016. </w:t>
      </w:r>
      <w:r w:rsidRPr="00B918E6">
        <w:t xml:space="preserve">Evaluation of an Odour </w:t>
      </w:r>
      <w:proofErr w:type="spellStart"/>
      <w:r w:rsidRPr="00B918E6">
        <w:t>Emision</w:t>
      </w:r>
      <w:proofErr w:type="spellEnd"/>
      <w:r w:rsidRPr="00B918E6">
        <w:t xml:space="preserve"> Factor (OEF) to estimate odour emissions from landfill surfaces. Atmospheric Environment, 144, 87-99.</w:t>
      </w:r>
    </w:p>
    <w:p w14:paraId="424CE544" w14:textId="77777777" w:rsidR="00A84B0B" w:rsidRPr="00B918E6" w:rsidRDefault="00A84B0B" w:rsidP="00A84B0B">
      <w:pPr>
        <w:pStyle w:val="CETReferencetext"/>
      </w:pPr>
      <w:proofErr w:type="spellStart"/>
      <w:r w:rsidRPr="00B918E6">
        <w:t>Lucernoni</w:t>
      </w:r>
      <w:proofErr w:type="spellEnd"/>
      <w:r w:rsidRPr="00B918E6">
        <w:t>, F., Capelli, L., Sironi, S., 2017. Comparison of different approaches for the estimation of odour emissions from landfill surfaces. Waste Management, 63, 345-353</w:t>
      </w:r>
    </w:p>
    <w:p w14:paraId="1B044715" w14:textId="77777777" w:rsidR="00A84B0B" w:rsidRPr="00B918E6" w:rsidRDefault="00A84B0B" w:rsidP="00A84B0B">
      <w:pPr>
        <w:tabs>
          <w:tab w:val="clear" w:pos="7100"/>
        </w:tabs>
        <w:autoSpaceDE w:val="0"/>
        <w:autoSpaceDN w:val="0"/>
        <w:adjustRightInd w:val="0"/>
        <w:spacing w:line="240" w:lineRule="auto"/>
        <w:ind w:left="284" w:hanging="284"/>
        <w:rPr>
          <w:rFonts w:eastAsiaTheme="minorHAnsi" w:cs="Arial"/>
          <w:szCs w:val="18"/>
        </w:rPr>
      </w:pPr>
      <w:r w:rsidRPr="00B918E6">
        <w:t xml:space="preserve">Ravikumar AP., Wang J., Brandt AR., 2017, </w:t>
      </w:r>
      <w:r w:rsidRPr="00B918E6">
        <w:rPr>
          <w:rFonts w:eastAsiaTheme="minorHAnsi" w:cs="Arial"/>
          <w:szCs w:val="18"/>
        </w:rPr>
        <w:t xml:space="preserve">Are Optical Gas Imaging Technologies Effective </w:t>
      </w:r>
      <w:proofErr w:type="gramStart"/>
      <w:r w:rsidRPr="00B918E6">
        <w:rPr>
          <w:rFonts w:eastAsiaTheme="minorHAnsi" w:cs="Arial"/>
          <w:szCs w:val="18"/>
        </w:rPr>
        <w:t>For</w:t>
      </w:r>
      <w:proofErr w:type="gramEnd"/>
      <w:r w:rsidRPr="00B918E6">
        <w:rPr>
          <w:rFonts w:eastAsiaTheme="minorHAnsi" w:cs="Arial"/>
          <w:szCs w:val="18"/>
        </w:rPr>
        <w:t xml:space="preserve"> Methane Leak Detection?</w:t>
      </w:r>
      <w:r w:rsidRPr="00B918E6">
        <w:t xml:space="preserve"> </w:t>
      </w:r>
      <w:r w:rsidRPr="00B918E6">
        <w:rPr>
          <w:rFonts w:eastAsiaTheme="minorHAnsi" w:cs="Arial"/>
          <w:szCs w:val="18"/>
        </w:rPr>
        <w:t xml:space="preserve">Environmental Science &amp; Technology 2017, 51, 718−724; </w:t>
      </w:r>
      <w:proofErr w:type="spellStart"/>
      <w:r w:rsidRPr="00B918E6">
        <w:rPr>
          <w:rFonts w:eastAsiaTheme="minorHAnsi" w:cs="Arial"/>
          <w:szCs w:val="18"/>
        </w:rPr>
        <w:t>doi</w:t>
      </w:r>
      <w:proofErr w:type="spellEnd"/>
      <w:r w:rsidRPr="00B918E6">
        <w:rPr>
          <w:rFonts w:eastAsiaTheme="minorHAnsi" w:cs="Arial"/>
          <w:szCs w:val="18"/>
        </w:rPr>
        <w:t>: 10.1021/acs.est.6b03906</w:t>
      </w:r>
    </w:p>
    <w:bookmarkEnd w:id="4"/>
    <w:p w14:paraId="52FEF0EA" w14:textId="197FF6E5" w:rsidR="00752737" w:rsidRPr="00B918E6" w:rsidRDefault="00752737" w:rsidP="00752737">
      <w:pPr>
        <w:pStyle w:val="CETReferencetext"/>
      </w:pPr>
      <w:r w:rsidRPr="00B918E6">
        <w:t>UK EPA, 2010, Guidance on monitoring landfill gas surface emissions, &lt;https://assets.publishing.service.gov.uk/media/5a74f8bded915d502d6cc7ad/LFTGN07.pdf&gt; accessed 12.03.2024.</w:t>
      </w:r>
    </w:p>
    <w:p w14:paraId="4ECE7114" w14:textId="77777777" w:rsidR="006130F2" w:rsidRPr="007E7559" w:rsidRDefault="006130F2">
      <w:pPr>
        <w:pStyle w:val="CETReferencetext"/>
      </w:pPr>
    </w:p>
    <w:sectPr w:rsidR="006130F2" w:rsidRPr="007E7559" w:rsidSect="00EA509A">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C5337BF" w14:textId="77777777" w:rsidR="00EA509A" w:rsidRPr="00B918E6" w:rsidRDefault="00EA509A" w:rsidP="004F5E36">
      <w:r w:rsidRPr="00B918E6">
        <w:separator/>
      </w:r>
    </w:p>
  </w:endnote>
  <w:endnote w:type="continuationSeparator" w:id="0">
    <w:p w14:paraId="5389EF38" w14:textId="77777777" w:rsidR="00EA509A" w:rsidRPr="00B918E6" w:rsidRDefault="00EA509A" w:rsidP="004F5E36">
      <w:r w:rsidRPr="00B918E6">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dvP6960">
    <w:altName w:val="Cambria"/>
    <w:panose1 w:val="00000000000000000000"/>
    <w:charset w:val="4D"/>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A6A92FF" w14:textId="77777777" w:rsidR="00EA509A" w:rsidRPr="00B918E6" w:rsidRDefault="00EA509A" w:rsidP="004F5E36">
      <w:r w:rsidRPr="00B918E6">
        <w:separator/>
      </w:r>
    </w:p>
  </w:footnote>
  <w:footnote w:type="continuationSeparator" w:id="0">
    <w:p w14:paraId="3D99086E" w14:textId="77777777" w:rsidR="00EA509A" w:rsidRPr="00B918E6" w:rsidRDefault="00EA509A" w:rsidP="004F5E36">
      <w:r w:rsidRPr="00B918E6">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558AF15E"/>
    <w:lvl w:ilvl="0">
      <w:start w:val="1"/>
      <w:numFmt w:val="decimal"/>
      <w:pStyle w:val="Numeroelenco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Numeroelenco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Numeroelenco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Numeroelenco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Puntoelenco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Puntoelenco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Puntoelenco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Puntoelenco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Numeroelenco"/>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Puntoelenco"/>
      <w:lvlText w:val=""/>
      <w:lvlJc w:val="left"/>
      <w:pPr>
        <w:tabs>
          <w:tab w:val="num" w:pos="360"/>
        </w:tabs>
        <w:ind w:left="360" w:hanging="360"/>
      </w:pPr>
      <w:rPr>
        <w:rFonts w:ascii="Symbol" w:hAnsi="Symbol" w:hint="default"/>
      </w:rPr>
    </w:lvl>
  </w:abstractNum>
  <w:abstractNum w:abstractNumId="10" w15:restartNumberingAfterBreak="0">
    <w:nsid w:val="2438217E"/>
    <w:multiLevelType w:val="multilevel"/>
    <w:tmpl w:val="2C8C7C8E"/>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pStyle w:val="Tabellasemplice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1"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4" w15:restartNumberingAfterBreak="0">
    <w:nsid w:val="4EE61291"/>
    <w:multiLevelType w:val="hybridMultilevel"/>
    <w:tmpl w:val="0E7296C4"/>
    <w:lvl w:ilvl="0" w:tplc="04100011">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5"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8"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9"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0"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7EDA3E24"/>
    <w:multiLevelType w:val="hybridMultilevel"/>
    <w:tmpl w:val="DB6C7F16"/>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16cid:durableId="982735944">
    <w:abstractNumId w:val="10"/>
  </w:num>
  <w:num w:numId="2" w16cid:durableId="1948997097">
    <w:abstractNumId w:val="8"/>
  </w:num>
  <w:num w:numId="3" w16cid:durableId="509297797">
    <w:abstractNumId w:val="3"/>
  </w:num>
  <w:num w:numId="4" w16cid:durableId="1795829870">
    <w:abstractNumId w:val="2"/>
  </w:num>
  <w:num w:numId="5" w16cid:durableId="731847679">
    <w:abstractNumId w:val="1"/>
  </w:num>
  <w:num w:numId="6" w16cid:durableId="1213540393">
    <w:abstractNumId w:val="0"/>
  </w:num>
  <w:num w:numId="7" w16cid:durableId="152258248">
    <w:abstractNumId w:val="9"/>
  </w:num>
  <w:num w:numId="8" w16cid:durableId="632172588">
    <w:abstractNumId w:val="7"/>
  </w:num>
  <w:num w:numId="9" w16cid:durableId="1228688523">
    <w:abstractNumId w:val="6"/>
  </w:num>
  <w:num w:numId="10" w16cid:durableId="1881474535">
    <w:abstractNumId w:val="5"/>
  </w:num>
  <w:num w:numId="11" w16cid:durableId="388770234">
    <w:abstractNumId w:val="4"/>
  </w:num>
  <w:num w:numId="12" w16cid:durableId="1942566206">
    <w:abstractNumId w:val="17"/>
  </w:num>
  <w:num w:numId="13" w16cid:durableId="410351788">
    <w:abstractNumId w:val="12"/>
  </w:num>
  <w:num w:numId="14" w16cid:durableId="904682612">
    <w:abstractNumId w:val="18"/>
  </w:num>
  <w:num w:numId="15" w16cid:durableId="1234126751">
    <w:abstractNumId w:val="20"/>
  </w:num>
  <w:num w:numId="16" w16cid:durableId="675107959">
    <w:abstractNumId w:val="19"/>
  </w:num>
  <w:num w:numId="17" w16cid:durableId="1932622138">
    <w:abstractNumId w:val="11"/>
  </w:num>
  <w:num w:numId="18" w16cid:durableId="350763307">
    <w:abstractNumId w:val="12"/>
    <w:lvlOverride w:ilvl="0">
      <w:startOverride w:val="1"/>
    </w:lvlOverride>
  </w:num>
  <w:num w:numId="19" w16cid:durableId="915435420">
    <w:abstractNumId w:val="16"/>
  </w:num>
  <w:num w:numId="20" w16cid:durableId="617181048">
    <w:abstractNumId w:val="15"/>
  </w:num>
  <w:num w:numId="21" w16cid:durableId="454563300">
    <w:abstractNumId w:val="13"/>
  </w:num>
  <w:num w:numId="22" w16cid:durableId="2076733083">
    <w:abstractNumId w:val="21"/>
  </w:num>
  <w:num w:numId="23" w16cid:durableId="1867675616">
    <w:abstractNumId w:val="10"/>
  </w:num>
  <w:num w:numId="24" w16cid:durableId="126268687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forms" w:enforcement="0"/>
  <w:autoFormatOverride/>
  <w:styleLockTheme/>
  <w:styleLockQFSet/>
  <w:defaultTabStop w:val="708"/>
  <w:hyphenationZone w:val="283"/>
  <w:clickAndTypeStyle w:val="CETBodytext"/>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I0NzezsDA3M7MwMTJW0lEKTi0uzszPAymwrAUAugS3IywAAAA="/>
  </w:docVars>
  <w:rsids>
    <w:rsidRoot w:val="000E414A"/>
    <w:rsid w:val="000027C0"/>
    <w:rsid w:val="00002B0C"/>
    <w:rsid w:val="00003E4C"/>
    <w:rsid w:val="000052FB"/>
    <w:rsid w:val="000117CB"/>
    <w:rsid w:val="00021469"/>
    <w:rsid w:val="000303E5"/>
    <w:rsid w:val="0003148D"/>
    <w:rsid w:val="00034F8F"/>
    <w:rsid w:val="00051566"/>
    <w:rsid w:val="00052332"/>
    <w:rsid w:val="00062A9A"/>
    <w:rsid w:val="00065058"/>
    <w:rsid w:val="00066356"/>
    <w:rsid w:val="00077817"/>
    <w:rsid w:val="00081739"/>
    <w:rsid w:val="00086C39"/>
    <w:rsid w:val="00091A27"/>
    <w:rsid w:val="000927AA"/>
    <w:rsid w:val="0009472F"/>
    <w:rsid w:val="000A03B2"/>
    <w:rsid w:val="000A187D"/>
    <w:rsid w:val="000A3C28"/>
    <w:rsid w:val="000A6100"/>
    <w:rsid w:val="000C0067"/>
    <w:rsid w:val="000C1331"/>
    <w:rsid w:val="000C52CE"/>
    <w:rsid w:val="000D0268"/>
    <w:rsid w:val="000D34BE"/>
    <w:rsid w:val="000D4B3A"/>
    <w:rsid w:val="000E102F"/>
    <w:rsid w:val="000E36F1"/>
    <w:rsid w:val="000E3A73"/>
    <w:rsid w:val="000E414A"/>
    <w:rsid w:val="000E6061"/>
    <w:rsid w:val="000F093C"/>
    <w:rsid w:val="000F25C2"/>
    <w:rsid w:val="000F4E1E"/>
    <w:rsid w:val="000F787B"/>
    <w:rsid w:val="00101704"/>
    <w:rsid w:val="00101BE7"/>
    <w:rsid w:val="0010291D"/>
    <w:rsid w:val="0010416B"/>
    <w:rsid w:val="0011604E"/>
    <w:rsid w:val="00116840"/>
    <w:rsid w:val="0012091F"/>
    <w:rsid w:val="001241A7"/>
    <w:rsid w:val="00125370"/>
    <w:rsid w:val="00126BC2"/>
    <w:rsid w:val="001308B6"/>
    <w:rsid w:val="0013121F"/>
    <w:rsid w:val="00131FE6"/>
    <w:rsid w:val="0013263F"/>
    <w:rsid w:val="0013345D"/>
    <w:rsid w:val="00134DE4"/>
    <w:rsid w:val="0014034D"/>
    <w:rsid w:val="00144D32"/>
    <w:rsid w:val="00150E59"/>
    <w:rsid w:val="00152168"/>
    <w:rsid w:val="00152DE3"/>
    <w:rsid w:val="0015304B"/>
    <w:rsid w:val="00164CF9"/>
    <w:rsid w:val="001667A6"/>
    <w:rsid w:val="00167FE3"/>
    <w:rsid w:val="00175407"/>
    <w:rsid w:val="00184AD6"/>
    <w:rsid w:val="00185455"/>
    <w:rsid w:val="001957C2"/>
    <w:rsid w:val="001967D0"/>
    <w:rsid w:val="001A4AF7"/>
    <w:rsid w:val="001A4FAA"/>
    <w:rsid w:val="001A5923"/>
    <w:rsid w:val="001A7202"/>
    <w:rsid w:val="001B0349"/>
    <w:rsid w:val="001B2ACC"/>
    <w:rsid w:val="001B65C1"/>
    <w:rsid w:val="001C684B"/>
    <w:rsid w:val="001C7539"/>
    <w:rsid w:val="001C7893"/>
    <w:rsid w:val="001D02E8"/>
    <w:rsid w:val="001D0CFB"/>
    <w:rsid w:val="001D53FC"/>
    <w:rsid w:val="001D5D8B"/>
    <w:rsid w:val="001D677E"/>
    <w:rsid w:val="001E15F1"/>
    <w:rsid w:val="001E7902"/>
    <w:rsid w:val="001F0A41"/>
    <w:rsid w:val="001F0A74"/>
    <w:rsid w:val="001F0FE2"/>
    <w:rsid w:val="001F19EC"/>
    <w:rsid w:val="001F36C6"/>
    <w:rsid w:val="001F42A5"/>
    <w:rsid w:val="001F5A29"/>
    <w:rsid w:val="001F7B9D"/>
    <w:rsid w:val="002037AB"/>
    <w:rsid w:val="0020777F"/>
    <w:rsid w:val="002205FB"/>
    <w:rsid w:val="002224B4"/>
    <w:rsid w:val="00223DB7"/>
    <w:rsid w:val="00232A5F"/>
    <w:rsid w:val="002356CF"/>
    <w:rsid w:val="00236E1D"/>
    <w:rsid w:val="002407CF"/>
    <w:rsid w:val="002447EF"/>
    <w:rsid w:val="002463DA"/>
    <w:rsid w:val="00246EAE"/>
    <w:rsid w:val="00247F85"/>
    <w:rsid w:val="00251550"/>
    <w:rsid w:val="00260354"/>
    <w:rsid w:val="00263B05"/>
    <w:rsid w:val="002718F7"/>
    <w:rsid w:val="0027221A"/>
    <w:rsid w:val="002731C9"/>
    <w:rsid w:val="00275B61"/>
    <w:rsid w:val="00282656"/>
    <w:rsid w:val="002903DF"/>
    <w:rsid w:val="0029525F"/>
    <w:rsid w:val="00296A87"/>
    <w:rsid w:val="00296B83"/>
    <w:rsid w:val="002A060F"/>
    <w:rsid w:val="002A332E"/>
    <w:rsid w:val="002A3FCA"/>
    <w:rsid w:val="002B5BE6"/>
    <w:rsid w:val="002B6E3F"/>
    <w:rsid w:val="002B78CE"/>
    <w:rsid w:val="002C20D6"/>
    <w:rsid w:val="002C216B"/>
    <w:rsid w:val="002C2FB6"/>
    <w:rsid w:val="002C35B8"/>
    <w:rsid w:val="002C3C43"/>
    <w:rsid w:val="002C5AD8"/>
    <w:rsid w:val="002C6F9B"/>
    <w:rsid w:val="002E36DA"/>
    <w:rsid w:val="002E5197"/>
    <w:rsid w:val="002E66E1"/>
    <w:rsid w:val="002E7E97"/>
    <w:rsid w:val="002F30AE"/>
    <w:rsid w:val="002F3309"/>
    <w:rsid w:val="003009B7"/>
    <w:rsid w:val="00300E56"/>
    <w:rsid w:val="0030469C"/>
    <w:rsid w:val="00305943"/>
    <w:rsid w:val="003106AF"/>
    <w:rsid w:val="0032010E"/>
    <w:rsid w:val="00321CA6"/>
    <w:rsid w:val="00323B23"/>
    <w:rsid w:val="0033061E"/>
    <w:rsid w:val="00334C09"/>
    <w:rsid w:val="00342758"/>
    <w:rsid w:val="00360F51"/>
    <w:rsid w:val="003713BD"/>
    <w:rsid w:val="00371E97"/>
    <w:rsid w:val="003723D4"/>
    <w:rsid w:val="00373DC6"/>
    <w:rsid w:val="00373FDB"/>
    <w:rsid w:val="003765DC"/>
    <w:rsid w:val="00381905"/>
    <w:rsid w:val="00384804"/>
    <w:rsid w:val="00384CC8"/>
    <w:rsid w:val="00385B54"/>
    <w:rsid w:val="003871FD"/>
    <w:rsid w:val="00387E3C"/>
    <w:rsid w:val="003902FE"/>
    <w:rsid w:val="0039173A"/>
    <w:rsid w:val="003A1E30"/>
    <w:rsid w:val="003A6F1A"/>
    <w:rsid w:val="003A7AA0"/>
    <w:rsid w:val="003A7D1C"/>
    <w:rsid w:val="003B304B"/>
    <w:rsid w:val="003B3146"/>
    <w:rsid w:val="003B4768"/>
    <w:rsid w:val="003D4A89"/>
    <w:rsid w:val="003D5116"/>
    <w:rsid w:val="003E36D0"/>
    <w:rsid w:val="003E3E64"/>
    <w:rsid w:val="003E4A72"/>
    <w:rsid w:val="003E553F"/>
    <w:rsid w:val="003F015E"/>
    <w:rsid w:val="003F0A22"/>
    <w:rsid w:val="003F17B9"/>
    <w:rsid w:val="00400414"/>
    <w:rsid w:val="00405525"/>
    <w:rsid w:val="00407A55"/>
    <w:rsid w:val="0041446B"/>
    <w:rsid w:val="00415B12"/>
    <w:rsid w:val="004353F3"/>
    <w:rsid w:val="00441643"/>
    <w:rsid w:val="0044329C"/>
    <w:rsid w:val="00444FF4"/>
    <w:rsid w:val="00446C32"/>
    <w:rsid w:val="00450A6C"/>
    <w:rsid w:val="004520A1"/>
    <w:rsid w:val="00453CB1"/>
    <w:rsid w:val="004577FE"/>
    <w:rsid w:val="00457B9C"/>
    <w:rsid w:val="0046164A"/>
    <w:rsid w:val="004628D2"/>
    <w:rsid w:val="00462DCD"/>
    <w:rsid w:val="004648AD"/>
    <w:rsid w:val="00467ADE"/>
    <w:rsid w:val="004703A9"/>
    <w:rsid w:val="00470F6F"/>
    <w:rsid w:val="004760DE"/>
    <w:rsid w:val="004763D7"/>
    <w:rsid w:val="00482A03"/>
    <w:rsid w:val="00486B5F"/>
    <w:rsid w:val="00492F0F"/>
    <w:rsid w:val="004A004E"/>
    <w:rsid w:val="004A24CF"/>
    <w:rsid w:val="004C29F4"/>
    <w:rsid w:val="004C3D1D"/>
    <w:rsid w:val="004C58FA"/>
    <w:rsid w:val="004C7913"/>
    <w:rsid w:val="004D5196"/>
    <w:rsid w:val="004E3088"/>
    <w:rsid w:val="004E467E"/>
    <w:rsid w:val="004E4C17"/>
    <w:rsid w:val="004E4DD6"/>
    <w:rsid w:val="004F3E0D"/>
    <w:rsid w:val="004F5E36"/>
    <w:rsid w:val="004F6006"/>
    <w:rsid w:val="004F7C7E"/>
    <w:rsid w:val="004F7CE6"/>
    <w:rsid w:val="00502C01"/>
    <w:rsid w:val="00503953"/>
    <w:rsid w:val="00506AFB"/>
    <w:rsid w:val="00507B47"/>
    <w:rsid w:val="00507BEF"/>
    <w:rsid w:val="00507CC9"/>
    <w:rsid w:val="005119A5"/>
    <w:rsid w:val="00516E9F"/>
    <w:rsid w:val="00524748"/>
    <w:rsid w:val="00525595"/>
    <w:rsid w:val="005278B7"/>
    <w:rsid w:val="00530B5B"/>
    <w:rsid w:val="00532016"/>
    <w:rsid w:val="00534368"/>
    <w:rsid w:val="005346C8"/>
    <w:rsid w:val="00543E7D"/>
    <w:rsid w:val="005467DB"/>
    <w:rsid w:val="005471E5"/>
    <w:rsid w:val="00547A68"/>
    <w:rsid w:val="005509E4"/>
    <w:rsid w:val="005531C9"/>
    <w:rsid w:val="00570C43"/>
    <w:rsid w:val="0057122F"/>
    <w:rsid w:val="00571B17"/>
    <w:rsid w:val="00572D53"/>
    <w:rsid w:val="005743A4"/>
    <w:rsid w:val="005805CC"/>
    <w:rsid w:val="005866E9"/>
    <w:rsid w:val="00594E58"/>
    <w:rsid w:val="005A67F6"/>
    <w:rsid w:val="005B2110"/>
    <w:rsid w:val="005B2ADB"/>
    <w:rsid w:val="005B36AD"/>
    <w:rsid w:val="005B4806"/>
    <w:rsid w:val="005B4F02"/>
    <w:rsid w:val="005B61E6"/>
    <w:rsid w:val="005B7E99"/>
    <w:rsid w:val="005C3E58"/>
    <w:rsid w:val="005C52E8"/>
    <w:rsid w:val="005C6886"/>
    <w:rsid w:val="005C77E1"/>
    <w:rsid w:val="005D2741"/>
    <w:rsid w:val="005D3FD4"/>
    <w:rsid w:val="005D4902"/>
    <w:rsid w:val="005D4A47"/>
    <w:rsid w:val="005D6A2F"/>
    <w:rsid w:val="005D78E3"/>
    <w:rsid w:val="005E1A82"/>
    <w:rsid w:val="005E76BF"/>
    <w:rsid w:val="005E794C"/>
    <w:rsid w:val="005F0A28"/>
    <w:rsid w:val="005F0E5E"/>
    <w:rsid w:val="005F2544"/>
    <w:rsid w:val="005F7382"/>
    <w:rsid w:val="00600535"/>
    <w:rsid w:val="0060631A"/>
    <w:rsid w:val="0061023D"/>
    <w:rsid w:val="00610CD6"/>
    <w:rsid w:val="00611C25"/>
    <w:rsid w:val="006130F2"/>
    <w:rsid w:val="0061328E"/>
    <w:rsid w:val="00613F27"/>
    <w:rsid w:val="0061699E"/>
    <w:rsid w:val="00620DEE"/>
    <w:rsid w:val="00621F92"/>
    <w:rsid w:val="0062280A"/>
    <w:rsid w:val="00623479"/>
    <w:rsid w:val="00625639"/>
    <w:rsid w:val="00626645"/>
    <w:rsid w:val="00631284"/>
    <w:rsid w:val="00631B33"/>
    <w:rsid w:val="0064184D"/>
    <w:rsid w:val="006422CC"/>
    <w:rsid w:val="00642446"/>
    <w:rsid w:val="00657BD2"/>
    <w:rsid w:val="00660875"/>
    <w:rsid w:val="00660E3E"/>
    <w:rsid w:val="00662E74"/>
    <w:rsid w:val="00674E23"/>
    <w:rsid w:val="00680C23"/>
    <w:rsid w:val="006865E3"/>
    <w:rsid w:val="00693766"/>
    <w:rsid w:val="00693855"/>
    <w:rsid w:val="00694655"/>
    <w:rsid w:val="006946D5"/>
    <w:rsid w:val="0069523C"/>
    <w:rsid w:val="00695276"/>
    <w:rsid w:val="00696741"/>
    <w:rsid w:val="006A3281"/>
    <w:rsid w:val="006A655C"/>
    <w:rsid w:val="006B11A2"/>
    <w:rsid w:val="006B4888"/>
    <w:rsid w:val="006C06E9"/>
    <w:rsid w:val="006C2E45"/>
    <w:rsid w:val="006C359C"/>
    <w:rsid w:val="006C5579"/>
    <w:rsid w:val="006D3DD7"/>
    <w:rsid w:val="006D6E8B"/>
    <w:rsid w:val="006E737D"/>
    <w:rsid w:val="006F3E31"/>
    <w:rsid w:val="006F678B"/>
    <w:rsid w:val="006F6BBA"/>
    <w:rsid w:val="007039B1"/>
    <w:rsid w:val="00704A8A"/>
    <w:rsid w:val="00720A24"/>
    <w:rsid w:val="00721000"/>
    <w:rsid w:val="00721CF3"/>
    <w:rsid w:val="00732046"/>
    <w:rsid w:val="00732386"/>
    <w:rsid w:val="0073514D"/>
    <w:rsid w:val="00740F70"/>
    <w:rsid w:val="007434DD"/>
    <w:rsid w:val="007447F3"/>
    <w:rsid w:val="00752737"/>
    <w:rsid w:val="00752D54"/>
    <w:rsid w:val="0075499F"/>
    <w:rsid w:val="00755AD3"/>
    <w:rsid w:val="00756648"/>
    <w:rsid w:val="00756DB8"/>
    <w:rsid w:val="0076543C"/>
    <w:rsid w:val="007661C8"/>
    <w:rsid w:val="0077098D"/>
    <w:rsid w:val="007746EB"/>
    <w:rsid w:val="00775091"/>
    <w:rsid w:val="00781FC1"/>
    <w:rsid w:val="0078246E"/>
    <w:rsid w:val="00791887"/>
    <w:rsid w:val="007931FA"/>
    <w:rsid w:val="007A08A3"/>
    <w:rsid w:val="007A4211"/>
    <w:rsid w:val="007A4861"/>
    <w:rsid w:val="007A5838"/>
    <w:rsid w:val="007A7BBA"/>
    <w:rsid w:val="007B0C50"/>
    <w:rsid w:val="007B4ABA"/>
    <w:rsid w:val="007B7514"/>
    <w:rsid w:val="007C1A43"/>
    <w:rsid w:val="007C56F5"/>
    <w:rsid w:val="007C7F3F"/>
    <w:rsid w:val="007D1347"/>
    <w:rsid w:val="007D1C65"/>
    <w:rsid w:val="007E3FA4"/>
    <w:rsid w:val="007E7559"/>
    <w:rsid w:val="0080013E"/>
    <w:rsid w:val="00801314"/>
    <w:rsid w:val="00813288"/>
    <w:rsid w:val="00813B1B"/>
    <w:rsid w:val="008168FC"/>
    <w:rsid w:val="00817A3C"/>
    <w:rsid w:val="00830996"/>
    <w:rsid w:val="00833678"/>
    <w:rsid w:val="008345F1"/>
    <w:rsid w:val="00851D18"/>
    <w:rsid w:val="00852430"/>
    <w:rsid w:val="00852821"/>
    <w:rsid w:val="0086051A"/>
    <w:rsid w:val="00860AB0"/>
    <w:rsid w:val="0086299B"/>
    <w:rsid w:val="00865B07"/>
    <w:rsid w:val="008667EA"/>
    <w:rsid w:val="00870537"/>
    <w:rsid w:val="0087637F"/>
    <w:rsid w:val="00882E8B"/>
    <w:rsid w:val="00886A11"/>
    <w:rsid w:val="00890BB9"/>
    <w:rsid w:val="00892AD5"/>
    <w:rsid w:val="00892E84"/>
    <w:rsid w:val="0089335C"/>
    <w:rsid w:val="008957D2"/>
    <w:rsid w:val="008A1512"/>
    <w:rsid w:val="008B5250"/>
    <w:rsid w:val="008B556C"/>
    <w:rsid w:val="008B61D3"/>
    <w:rsid w:val="008B7D81"/>
    <w:rsid w:val="008C256E"/>
    <w:rsid w:val="008D32B9"/>
    <w:rsid w:val="008D433B"/>
    <w:rsid w:val="008D7930"/>
    <w:rsid w:val="008E566E"/>
    <w:rsid w:val="008F1E0A"/>
    <w:rsid w:val="008F1E23"/>
    <w:rsid w:val="008F34D5"/>
    <w:rsid w:val="008F6304"/>
    <w:rsid w:val="0090161A"/>
    <w:rsid w:val="00901EB6"/>
    <w:rsid w:val="00904C62"/>
    <w:rsid w:val="00907B01"/>
    <w:rsid w:val="00911180"/>
    <w:rsid w:val="00912E3C"/>
    <w:rsid w:val="00913CA1"/>
    <w:rsid w:val="00915EA6"/>
    <w:rsid w:val="009170E5"/>
    <w:rsid w:val="00922BA8"/>
    <w:rsid w:val="00924451"/>
    <w:rsid w:val="00924DAC"/>
    <w:rsid w:val="00927058"/>
    <w:rsid w:val="00942750"/>
    <w:rsid w:val="00943C37"/>
    <w:rsid w:val="009450CE"/>
    <w:rsid w:val="00946993"/>
    <w:rsid w:val="00947179"/>
    <w:rsid w:val="0095164B"/>
    <w:rsid w:val="00952FFE"/>
    <w:rsid w:val="00954090"/>
    <w:rsid w:val="009573E7"/>
    <w:rsid w:val="00957D41"/>
    <w:rsid w:val="00963E05"/>
    <w:rsid w:val="00967D54"/>
    <w:rsid w:val="00971028"/>
    <w:rsid w:val="00973694"/>
    <w:rsid w:val="0098043D"/>
    <w:rsid w:val="00981A17"/>
    <w:rsid w:val="0098256B"/>
    <w:rsid w:val="00995B37"/>
    <w:rsid w:val="00996483"/>
    <w:rsid w:val="00996F5A"/>
    <w:rsid w:val="009B041A"/>
    <w:rsid w:val="009B540B"/>
    <w:rsid w:val="009B548C"/>
    <w:rsid w:val="009C37C3"/>
    <w:rsid w:val="009C5A8E"/>
    <w:rsid w:val="009C7C86"/>
    <w:rsid w:val="009C7E26"/>
    <w:rsid w:val="009D1D04"/>
    <w:rsid w:val="009D2FF7"/>
    <w:rsid w:val="009E0C07"/>
    <w:rsid w:val="009E0E0B"/>
    <w:rsid w:val="009E1298"/>
    <w:rsid w:val="009E1603"/>
    <w:rsid w:val="009E3104"/>
    <w:rsid w:val="009E7884"/>
    <w:rsid w:val="009E788A"/>
    <w:rsid w:val="009F0E08"/>
    <w:rsid w:val="00A00610"/>
    <w:rsid w:val="00A010BF"/>
    <w:rsid w:val="00A057D9"/>
    <w:rsid w:val="00A1763D"/>
    <w:rsid w:val="00A17CEC"/>
    <w:rsid w:val="00A22FE9"/>
    <w:rsid w:val="00A25F35"/>
    <w:rsid w:val="00A27EF0"/>
    <w:rsid w:val="00A33A65"/>
    <w:rsid w:val="00A42614"/>
    <w:rsid w:val="00A451BC"/>
    <w:rsid w:val="00A47EFC"/>
    <w:rsid w:val="00A50B20"/>
    <w:rsid w:val="00A51390"/>
    <w:rsid w:val="00A5300F"/>
    <w:rsid w:val="00A579D6"/>
    <w:rsid w:val="00A60D13"/>
    <w:rsid w:val="00A67036"/>
    <w:rsid w:val="00A71C84"/>
    <w:rsid w:val="00A72745"/>
    <w:rsid w:val="00A72F80"/>
    <w:rsid w:val="00A736A2"/>
    <w:rsid w:val="00A76254"/>
    <w:rsid w:val="00A76EFC"/>
    <w:rsid w:val="00A7712E"/>
    <w:rsid w:val="00A81211"/>
    <w:rsid w:val="00A84B0B"/>
    <w:rsid w:val="00A865F0"/>
    <w:rsid w:val="00A91010"/>
    <w:rsid w:val="00A97F29"/>
    <w:rsid w:val="00AA098D"/>
    <w:rsid w:val="00AA0DFA"/>
    <w:rsid w:val="00AA373D"/>
    <w:rsid w:val="00AA470F"/>
    <w:rsid w:val="00AA702E"/>
    <w:rsid w:val="00AB0964"/>
    <w:rsid w:val="00AB1CD9"/>
    <w:rsid w:val="00AB4ACB"/>
    <w:rsid w:val="00AB5011"/>
    <w:rsid w:val="00AC1286"/>
    <w:rsid w:val="00AC5E4B"/>
    <w:rsid w:val="00AC7368"/>
    <w:rsid w:val="00AD16B9"/>
    <w:rsid w:val="00AE05CA"/>
    <w:rsid w:val="00AE170F"/>
    <w:rsid w:val="00AE2431"/>
    <w:rsid w:val="00AE2B06"/>
    <w:rsid w:val="00AE377D"/>
    <w:rsid w:val="00AF0EBA"/>
    <w:rsid w:val="00AF536F"/>
    <w:rsid w:val="00B02C8A"/>
    <w:rsid w:val="00B1126C"/>
    <w:rsid w:val="00B1376F"/>
    <w:rsid w:val="00B17FBD"/>
    <w:rsid w:val="00B202B7"/>
    <w:rsid w:val="00B207BE"/>
    <w:rsid w:val="00B24277"/>
    <w:rsid w:val="00B271D1"/>
    <w:rsid w:val="00B315A6"/>
    <w:rsid w:val="00B31813"/>
    <w:rsid w:val="00B33365"/>
    <w:rsid w:val="00B33ABA"/>
    <w:rsid w:val="00B36E0C"/>
    <w:rsid w:val="00B45CBE"/>
    <w:rsid w:val="00B508FE"/>
    <w:rsid w:val="00B53D27"/>
    <w:rsid w:val="00B555B2"/>
    <w:rsid w:val="00B56A44"/>
    <w:rsid w:val="00B574AB"/>
    <w:rsid w:val="00B57B36"/>
    <w:rsid w:val="00B66EF6"/>
    <w:rsid w:val="00B80B6E"/>
    <w:rsid w:val="00B82763"/>
    <w:rsid w:val="00B82EB5"/>
    <w:rsid w:val="00B8686D"/>
    <w:rsid w:val="00B8785D"/>
    <w:rsid w:val="00B918E6"/>
    <w:rsid w:val="00B9416B"/>
    <w:rsid w:val="00BA05CD"/>
    <w:rsid w:val="00BA094E"/>
    <w:rsid w:val="00BA1613"/>
    <w:rsid w:val="00BB1DDC"/>
    <w:rsid w:val="00BB24B6"/>
    <w:rsid w:val="00BB2918"/>
    <w:rsid w:val="00BB5774"/>
    <w:rsid w:val="00BC2784"/>
    <w:rsid w:val="00BC30C9"/>
    <w:rsid w:val="00BC4A21"/>
    <w:rsid w:val="00BC4D34"/>
    <w:rsid w:val="00BD4FAF"/>
    <w:rsid w:val="00BE3B2D"/>
    <w:rsid w:val="00BE3E58"/>
    <w:rsid w:val="00C01616"/>
    <w:rsid w:val="00C0162B"/>
    <w:rsid w:val="00C068ED"/>
    <w:rsid w:val="00C12E28"/>
    <w:rsid w:val="00C220C4"/>
    <w:rsid w:val="00C26889"/>
    <w:rsid w:val="00C32884"/>
    <w:rsid w:val="00C345B1"/>
    <w:rsid w:val="00C34D45"/>
    <w:rsid w:val="00C34DCB"/>
    <w:rsid w:val="00C35679"/>
    <w:rsid w:val="00C40142"/>
    <w:rsid w:val="00C57182"/>
    <w:rsid w:val="00C57863"/>
    <w:rsid w:val="00C655FD"/>
    <w:rsid w:val="00C65E9B"/>
    <w:rsid w:val="00C711FD"/>
    <w:rsid w:val="00C71D2F"/>
    <w:rsid w:val="00C75407"/>
    <w:rsid w:val="00C80CD4"/>
    <w:rsid w:val="00C812CC"/>
    <w:rsid w:val="00C85777"/>
    <w:rsid w:val="00C86D11"/>
    <w:rsid w:val="00C870A8"/>
    <w:rsid w:val="00C93DE7"/>
    <w:rsid w:val="00C94434"/>
    <w:rsid w:val="00C95421"/>
    <w:rsid w:val="00CA0D75"/>
    <w:rsid w:val="00CA1C95"/>
    <w:rsid w:val="00CA2B8C"/>
    <w:rsid w:val="00CA5A9C"/>
    <w:rsid w:val="00CB0A6E"/>
    <w:rsid w:val="00CB268A"/>
    <w:rsid w:val="00CC0732"/>
    <w:rsid w:val="00CC1046"/>
    <w:rsid w:val="00CC1457"/>
    <w:rsid w:val="00CC4C20"/>
    <w:rsid w:val="00CD3517"/>
    <w:rsid w:val="00CD3F84"/>
    <w:rsid w:val="00CD4F1C"/>
    <w:rsid w:val="00CD5B5A"/>
    <w:rsid w:val="00CD5FE2"/>
    <w:rsid w:val="00CE1580"/>
    <w:rsid w:val="00CE317F"/>
    <w:rsid w:val="00CE3E5A"/>
    <w:rsid w:val="00CE6FBB"/>
    <w:rsid w:val="00CE7C68"/>
    <w:rsid w:val="00CF1DCB"/>
    <w:rsid w:val="00CF6C74"/>
    <w:rsid w:val="00D02B4C"/>
    <w:rsid w:val="00D040C4"/>
    <w:rsid w:val="00D04F08"/>
    <w:rsid w:val="00D12E41"/>
    <w:rsid w:val="00D13995"/>
    <w:rsid w:val="00D17855"/>
    <w:rsid w:val="00D225AB"/>
    <w:rsid w:val="00D24F9B"/>
    <w:rsid w:val="00D345E7"/>
    <w:rsid w:val="00D368B3"/>
    <w:rsid w:val="00D37185"/>
    <w:rsid w:val="00D37CC6"/>
    <w:rsid w:val="00D44FDE"/>
    <w:rsid w:val="00D47F0F"/>
    <w:rsid w:val="00D53115"/>
    <w:rsid w:val="00D56265"/>
    <w:rsid w:val="00D57C3C"/>
    <w:rsid w:val="00D57C84"/>
    <w:rsid w:val="00D6037B"/>
    <w:rsid w:val="00D6057D"/>
    <w:rsid w:val="00D611EE"/>
    <w:rsid w:val="00D61BD9"/>
    <w:rsid w:val="00D76B3B"/>
    <w:rsid w:val="00D836C5"/>
    <w:rsid w:val="00D83B85"/>
    <w:rsid w:val="00D84236"/>
    <w:rsid w:val="00D84576"/>
    <w:rsid w:val="00D86F2A"/>
    <w:rsid w:val="00D92BDE"/>
    <w:rsid w:val="00D95C17"/>
    <w:rsid w:val="00D960BA"/>
    <w:rsid w:val="00DA1399"/>
    <w:rsid w:val="00DA24C6"/>
    <w:rsid w:val="00DA4D7B"/>
    <w:rsid w:val="00DB5C57"/>
    <w:rsid w:val="00DC0AAC"/>
    <w:rsid w:val="00DC3326"/>
    <w:rsid w:val="00DE154B"/>
    <w:rsid w:val="00DE264A"/>
    <w:rsid w:val="00DE68FE"/>
    <w:rsid w:val="00DE7E4A"/>
    <w:rsid w:val="00DF17A6"/>
    <w:rsid w:val="00DF3B71"/>
    <w:rsid w:val="00DF5072"/>
    <w:rsid w:val="00DF7108"/>
    <w:rsid w:val="00E01A3C"/>
    <w:rsid w:val="00E02D18"/>
    <w:rsid w:val="00E03A78"/>
    <w:rsid w:val="00E041E7"/>
    <w:rsid w:val="00E13605"/>
    <w:rsid w:val="00E16C9E"/>
    <w:rsid w:val="00E23CA1"/>
    <w:rsid w:val="00E34CE6"/>
    <w:rsid w:val="00E360E8"/>
    <w:rsid w:val="00E409A8"/>
    <w:rsid w:val="00E4331D"/>
    <w:rsid w:val="00E50C12"/>
    <w:rsid w:val="00E53789"/>
    <w:rsid w:val="00E62F97"/>
    <w:rsid w:val="00E65B91"/>
    <w:rsid w:val="00E66CF4"/>
    <w:rsid w:val="00E673E7"/>
    <w:rsid w:val="00E7209D"/>
    <w:rsid w:val="00E75EF9"/>
    <w:rsid w:val="00E77223"/>
    <w:rsid w:val="00E8528B"/>
    <w:rsid w:val="00E85B94"/>
    <w:rsid w:val="00E876EA"/>
    <w:rsid w:val="00E95B17"/>
    <w:rsid w:val="00E978D0"/>
    <w:rsid w:val="00EA06EE"/>
    <w:rsid w:val="00EA3EAF"/>
    <w:rsid w:val="00EA4613"/>
    <w:rsid w:val="00EA509A"/>
    <w:rsid w:val="00EA7F91"/>
    <w:rsid w:val="00EB1523"/>
    <w:rsid w:val="00EB446F"/>
    <w:rsid w:val="00EC0E49"/>
    <w:rsid w:val="00EC101F"/>
    <w:rsid w:val="00EC1784"/>
    <w:rsid w:val="00EC1D9F"/>
    <w:rsid w:val="00EC7846"/>
    <w:rsid w:val="00ED1FC0"/>
    <w:rsid w:val="00ED767A"/>
    <w:rsid w:val="00ED7E16"/>
    <w:rsid w:val="00EE0131"/>
    <w:rsid w:val="00EE17B0"/>
    <w:rsid w:val="00EF06D9"/>
    <w:rsid w:val="00EF072F"/>
    <w:rsid w:val="00EF495E"/>
    <w:rsid w:val="00F17FDD"/>
    <w:rsid w:val="00F23277"/>
    <w:rsid w:val="00F30C64"/>
    <w:rsid w:val="00F32CDB"/>
    <w:rsid w:val="00F35A0C"/>
    <w:rsid w:val="00F53C5D"/>
    <w:rsid w:val="00F54350"/>
    <w:rsid w:val="00F55A37"/>
    <w:rsid w:val="00F565FE"/>
    <w:rsid w:val="00F57162"/>
    <w:rsid w:val="00F61EFD"/>
    <w:rsid w:val="00F63A70"/>
    <w:rsid w:val="00F70F8B"/>
    <w:rsid w:val="00F7368B"/>
    <w:rsid w:val="00F935A1"/>
    <w:rsid w:val="00F972A1"/>
    <w:rsid w:val="00FA21D0"/>
    <w:rsid w:val="00FA5C06"/>
    <w:rsid w:val="00FA5F5F"/>
    <w:rsid w:val="00FA6EA5"/>
    <w:rsid w:val="00FA75B8"/>
    <w:rsid w:val="00FB730C"/>
    <w:rsid w:val="00FC2695"/>
    <w:rsid w:val="00FC3E03"/>
    <w:rsid w:val="00FC3FC1"/>
    <w:rsid w:val="00FD1DCD"/>
    <w:rsid w:val="00FE11E9"/>
    <w:rsid w:val="00FE5F89"/>
    <w:rsid w:val="00FE7720"/>
    <w:rsid w:val="00FF20EE"/>
  </w:rsids>
  <m:mathPr>
    <m:mathFont m:val="Cambria Math"/>
    <m:brkBin m:val="before"/>
    <m:brkBinSub m:val="--"/>
    <m:smallFrac m:val="0"/>
    <m:dispDef/>
    <m:lMargin m:val="0"/>
    <m:rMargin m:val="0"/>
    <m:defJc m:val="centerGroup"/>
    <m:wrapIndent m:val="1440"/>
    <m:intLim m:val="subSup"/>
    <m:naryLim m:val="undOvr"/>
  </m:mathPr>
  <w:themeFontLang w:val="it-IT" w:eastAsia="zh-CN" w:bidi="hi-I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AE0CC22"/>
  <w14:defaultImageDpi w14:val="330"/>
  <w15:docId w15:val="{B9D8C02D-666F-4D79-974F-19A7036B0D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aliases w:val="CET Top_page"/>
    <w:rsid w:val="00620DEE"/>
    <w:pPr>
      <w:tabs>
        <w:tab w:val="right" w:pos="7100"/>
      </w:tabs>
      <w:spacing w:after="0" w:line="264" w:lineRule="auto"/>
      <w:jc w:val="both"/>
    </w:pPr>
    <w:rPr>
      <w:rFonts w:ascii="Arial" w:eastAsia="Times New Roman" w:hAnsi="Arial" w:cs="Times New Roman"/>
      <w:sz w:val="18"/>
      <w:szCs w:val="20"/>
      <w:lang w:val="en-GB"/>
    </w:rPr>
  </w:style>
  <w:style w:type="paragraph" w:styleId="Titolo1">
    <w:name w:val="heading 1"/>
    <w:basedOn w:val="CETHeading1"/>
    <w:next w:val="Normale"/>
    <w:link w:val="Titolo1Carattere"/>
    <w:uiPriority w:val="9"/>
    <w:rsid w:val="004F5E36"/>
    <w:pPr>
      <w:tabs>
        <w:tab w:val="right" w:pos="7100"/>
      </w:tabs>
      <w:jc w:val="both"/>
      <w:outlineLvl w:val="0"/>
    </w:pPr>
    <w:rPr>
      <w:lang w:val="en-GB"/>
    </w:rPr>
  </w:style>
  <w:style w:type="paragraph" w:styleId="Titolo2">
    <w:name w:val="heading 2"/>
    <w:basedOn w:val="Normale"/>
    <w:next w:val="Normale"/>
    <w:link w:val="Titolo2Carattere"/>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Titolo5">
    <w:name w:val="heading 5"/>
    <w:basedOn w:val="Normale"/>
    <w:next w:val="Normale"/>
    <w:link w:val="Titolo5Carattere"/>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Titolo6">
    <w:name w:val="heading 6"/>
    <w:basedOn w:val="Normale"/>
    <w:next w:val="Normale"/>
    <w:link w:val="Titolo6Carattere"/>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Titolo7">
    <w:name w:val="heading 7"/>
    <w:basedOn w:val="Normale"/>
    <w:next w:val="Normale"/>
    <w:link w:val="Titolo7Carattere"/>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Titolo8">
    <w:name w:val="heading 8"/>
    <w:basedOn w:val="Normale"/>
    <w:next w:val="Normale"/>
    <w:link w:val="Titolo8Carattere"/>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Titolo9">
    <w:name w:val="heading 9"/>
    <w:basedOn w:val="Normale"/>
    <w:next w:val="Normale"/>
    <w:link w:val="Titolo9Carattere"/>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C65E9B"/>
    <w:pPr>
      <w:keepNext/>
      <w:suppressAutoHyphens/>
      <w:spacing w:before="120" w:after="120" w:line="240" w:lineRule="auto"/>
      <w:jc w:val="both"/>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ellasemplice1">
    <w:name w:val="Table Simple 1"/>
    <w:basedOn w:val="Tabellanormale"/>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9E788A"/>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C65E9B"/>
    <w:rPr>
      <w:rFonts w:ascii="Arial" w:eastAsia="Times New Roman" w:hAnsi="Arial" w:cs="Times New Roman"/>
      <w:b/>
      <w:sz w:val="18"/>
      <w:szCs w:val="20"/>
      <w:lang w:val="en-US"/>
    </w:rPr>
  </w:style>
  <w:style w:type="character" w:customStyle="1" w:styleId="CETCaptionCarattere">
    <w:name w:val="CET Caption Carattere"/>
    <w:link w:val="CETCaption"/>
    <w:rsid w:val="009E788A"/>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Rimandocommento">
    <w:name w:val="annotation reference"/>
    <w:basedOn w:val="Carpredefinitoparagrafo"/>
    <w:uiPriority w:val="99"/>
    <w:semiHidden/>
    <w:unhideWhenUsed/>
    <w:rsid w:val="004577FE"/>
    <w:rPr>
      <w:sz w:val="16"/>
      <w:szCs w:val="16"/>
    </w:rPr>
  </w:style>
  <w:style w:type="paragraph" w:styleId="Testofumetto">
    <w:name w:val="Balloon Text"/>
    <w:basedOn w:val="Normale"/>
    <w:link w:val="TestofumettoCarattere"/>
    <w:uiPriority w:val="99"/>
    <w:semiHidden/>
    <w:unhideWhenUsed/>
    <w:rsid w:val="000D34BE"/>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D34BE"/>
    <w:rPr>
      <w:rFonts w:ascii="Tahoma" w:hAnsi="Tahoma" w:cs="Tahoma"/>
      <w:sz w:val="16"/>
      <w:szCs w:val="16"/>
    </w:rPr>
  </w:style>
  <w:style w:type="paragraph" w:styleId="Bibliografia">
    <w:name w:val="Bibliography"/>
    <w:basedOn w:val="CETReferencetext"/>
    <w:uiPriority w:val="37"/>
    <w:unhideWhenUsed/>
    <w:rsid w:val="00631B33"/>
    <w:pPr>
      <w:spacing w:line="240" w:lineRule="auto"/>
      <w:ind w:left="720" w:hanging="720"/>
    </w:pPr>
  </w:style>
  <w:style w:type="paragraph" w:styleId="Corpodeltesto2">
    <w:name w:val="Body Text 2"/>
    <w:basedOn w:val="Normale"/>
    <w:link w:val="Corpodeltesto2Carattere"/>
    <w:uiPriority w:val="99"/>
    <w:semiHidden/>
    <w:unhideWhenUsed/>
    <w:rsid w:val="0003148D"/>
    <w:pPr>
      <w:spacing w:after="120" w:line="480" w:lineRule="auto"/>
    </w:pPr>
  </w:style>
  <w:style w:type="character" w:customStyle="1" w:styleId="Corpodeltesto2Carattere">
    <w:name w:val="Corpo del testo 2 Carattere"/>
    <w:basedOn w:val="Carpredefinitoparagrafo"/>
    <w:link w:val="Corpodeltesto2"/>
    <w:uiPriority w:val="99"/>
    <w:semiHidden/>
    <w:rsid w:val="0003148D"/>
  </w:style>
  <w:style w:type="paragraph" w:styleId="Corpodeltesto3">
    <w:name w:val="Body Text 3"/>
    <w:basedOn w:val="Normale"/>
    <w:link w:val="Corpodeltesto3Carattere"/>
    <w:uiPriority w:val="99"/>
    <w:semiHidden/>
    <w:unhideWhenUsed/>
    <w:rsid w:val="0003148D"/>
    <w:pPr>
      <w:spacing w:after="120"/>
    </w:pPr>
    <w:rPr>
      <w:sz w:val="16"/>
      <w:szCs w:val="16"/>
    </w:rPr>
  </w:style>
  <w:style w:type="character" w:customStyle="1" w:styleId="Corpodeltesto3Carattere">
    <w:name w:val="Corpo del testo 3 Carattere"/>
    <w:basedOn w:val="Carpredefinitoparagrafo"/>
    <w:link w:val="Corpodeltesto3"/>
    <w:uiPriority w:val="99"/>
    <w:semiHidden/>
    <w:rsid w:val="0003148D"/>
    <w:rPr>
      <w:sz w:val="16"/>
      <w:szCs w:val="16"/>
    </w:rPr>
  </w:style>
  <w:style w:type="paragraph" w:styleId="Corpotesto">
    <w:name w:val="Body Text"/>
    <w:basedOn w:val="Normale"/>
    <w:link w:val="CorpotestoCarattere"/>
    <w:uiPriority w:val="99"/>
    <w:semiHidden/>
    <w:unhideWhenUsed/>
    <w:rsid w:val="0003148D"/>
    <w:pPr>
      <w:spacing w:after="120"/>
    </w:pPr>
  </w:style>
  <w:style w:type="character" w:customStyle="1" w:styleId="CorpotestoCarattere">
    <w:name w:val="Corpo testo Carattere"/>
    <w:basedOn w:val="Carpredefinitoparagrafo"/>
    <w:link w:val="Corpotesto"/>
    <w:uiPriority w:val="99"/>
    <w:semiHidden/>
    <w:rsid w:val="0003148D"/>
  </w:style>
  <w:style w:type="paragraph" w:styleId="Data">
    <w:name w:val="Date"/>
    <w:basedOn w:val="Normale"/>
    <w:next w:val="Normale"/>
    <w:link w:val="DataCarattere"/>
    <w:uiPriority w:val="99"/>
    <w:semiHidden/>
    <w:unhideWhenUsed/>
    <w:rsid w:val="0003148D"/>
  </w:style>
  <w:style w:type="character" w:customStyle="1" w:styleId="DataCarattere">
    <w:name w:val="Data Carattere"/>
    <w:basedOn w:val="Carpredefinitoparagrafo"/>
    <w:link w:val="Data"/>
    <w:uiPriority w:val="99"/>
    <w:semiHidden/>
    <w:rsid w:val="0003148D"/>
  </w:style>
  <w:style w:type="paragraph" w:styleId="Didascalia">
    <w:name w:val="caption"/>
    <w:basedOn w:val="Normale"/>
    <w:next w:val="Normale"/>
    <w:uiPriority w:val="35"/>
    <w:unhideWhenUsed/>
    <w:qFormat/>
    <w:rsid w:val="005471E5"/>
    <w:pPr>
      <w:spacing w:line="240" w:lineRule="auto"/>
    </w:pPr>
    <w:rPr>
      <w:bCs/>
      <w:i/>
      <w:szCs w:val="18"/>
    </w:rPr>
  </w:style>
  <w:style w:type="paragraph" w:styleId="Elenco">
    <w:name w:val="List"/>
    <w:basedOn w:val="Normale"/>
    <w:uiPriority w:val="99"/>
    <w:semiHidden/>
    <w:unhideWhenUsed/>
    <w:rsid w:val="0003148D"/>
    <w:pPr>
      <w:ind w:left="283" w:hanging="283"/>
      <w:contextualSpacing/>
    </w:pPr>
  </w:style>
  <w:style w:type="paragraph" w:styleId="Elenco2">
    <w:name w:val="List 2"/>
    <w:basedOn w:val="Normale"/>
    <w:uiPriority w:val="99"/>
    <w:semiHidden/>
    <w:unhideWhenUsed/>
    <w:rsid w:val="0003148D"/>
    <w:pPr>
      <w:ind w:left="566" w:hanging="283"/>
      <w:contextualSpacing/>
    </w:pPr>
  </w:style>
  <w:style w:type="paragraph" w:styleId="Elenco3">
    <w:name w:val="List 3"/>
    <w:basedOn w:val="Normale"/>
    <w:uiPriority w:val="99"/>
    <w:semiHidden/>
    <w:unhideWhenUsed/>
    <w:rsid w:val="0003148D"/>
    <w:pPr>
      <w:ind w:left="849" w:hanging="283"/>
      <w:contextualSpacing/>
    </w:pPr>
  </w:style>
  <w:style w:type="paragraph" w:styleId="Elenco4">
    <w:name w:val="List 4"/>
    <w:basedOn w:val="Normale"/>
    <w:uiPriority w:val="99"/>
    <w:semiHidden/>
    <w:unhideWhenUsed/>
    <w:rsid w:val="0003148D"/>
    <w:pPr>
      <w:ind w:left="1132" w:hanging="283"/>
      <w:contextualSpacing/>
    </w:pPr>
  </w:style>
  <w:style w:type="paragraph" w:styleId="Elenco5">
    <w:name w:val="List 5"/>
    <w:basedOn w:val="Normale"/>
    <w:uiPriority w:val="99"/>
    <w:semiHidden/>
    <w:unhideWhenUsed/>
    <w:rsid w:val="0003148D"/>
    <w:pPr>
      <w:ind w:left="1415" w:hanging="283"/>
      <w:contextualSpacing/>
    </w:pPr>
  </w:style>
  <w:style w:type="paragraph" w:styleId="Elencocontinua">
    <w:name w:val="List Continue"/>
    <w:basedOn w:val="Normale"/>
    <w:uiPriority w:val="99"/>
    <w:semiHidden/>
    <w:unhideWhenUsed/>
    <w:rsid w:val="0003148D"/>
    <w:pPr>
      <w:spacing w:after="120"/>
      <w:ind w:left="283"/>
      <w:contextualSpacing/>
    </w:pPr>
  </w:style>
  <w:style w:type="paragraph" w:styleId="Elencocontinua2">
    <w:name w:val="List Continue 2"/>
    <w:basedOn w:val="Normale"/>
    <w:uiPriority w:val="99"/>
    <w:semiHidden/>
    <w:unhideWhenUsed/>
    <w:rsid w:val="0003148D"/>
    <w:pPr>
      <w:spacing w:after="120"/>
      <w:ind w:left="566"/>
      <w:contextualSpacing/>
    </w:pPr>
  </w:style>
  <w:style w:type="paragraph" w:styleId="Elencocontinua3">
    <w:name w:val="List Continue 3"/>
    <w:basedOn w:val="Normale"/>
    <w:uiPriority w:val="99"/>
    <w:semiHidden/>
    <w:unhideWhenUsed/>
    <w:rsid w:val="0003148D"/>
    <w:pPr>
      <w:spacing w:after="120"/>
      <w:ind w:left="849"/>
      <w:contextualSpacing/>
    </w:pPr>
  </w:style>
  <w:style w:type="paragraph" w:styleId="Elencocontinua4">
    <w:name w:val="List Continue 4"/>
    <w:basedOn w:val="Normale"/>
    <w:uiPriority w:val="99"/>
    <w:semiHidden/>
    <w:unhideWhenUsed/>
    <w:rsid w:val="0003148D"/>
    <w:pPr>
      <w:spacing w:after="120"/>
      <w:ind w:left="1132"/>
      <w:contextualSpacing/>
    </w:pPr>
  </w:style>
  <w:style w:type="paragraph" w:styleId="Elencocontinua5">
    <w:name w:val="List Continue 5"/>
    <w:basedOn w:val="Normale"/>
    <w:uiPriority w:val="99"/>
    <w:semiHidden/>
    <w:unhideWhenUsed/>
    <w:rsid w:val="0003148D"/>
    <w:pPr>
      <w:spacing w:after="120"/>
      <w:ind w:left="1415"/>
      <w:contextualSpacing/>
    </w:pPr>
  </w:style>
  <w:style w:type="paragraph" w:styleId="Firma">
    <w:name w:val="Signature"/>
    <w:basedOn w:val="Normale"/>
    <w:link w:val="FirmaCarattere"/>
    <w:uiPriority w:val="99"/>
    <w:semiHidden/>
    <w:unhideWhenUsed/>
    <w:rsid w:val="0003148D"/>
    <w:pPr>
      <w:spacing w:line="240" w:lineRule="auto"/>
      <w:ind w:left="4252"/>
    </w:pPr>
  </w:style>
  <w:style w:type="character" w:customStyle="1" w:styleId="FirmaCarattere">
    <w:name w:val="Firma Carattere"/>
    <w:basedOn w:val="Carpredefinitoparagrafo"/>
    <w:link w:val="Firma"/>
    <w:uiPriority w:val="99"/>
    <w:semiHidden/>
    <w:rsid w:val="0003148D"/>
  </w:style>
  <w:style w:type="paragraph" w:styleId="Firmadipostaelettronica">
    <w:name w:val="E-mail Signature"/>
    <w:basedOn w:val="Normale"/>
    <w:link w:val="FirmadipostaelettronicaCarattere"/>
    <w:uiPriority w:val="99"/>
    <w:semiHidden/>
    <w:unhideWhenUsed/>
    <w:rsid w:val="0003148D"/>
    <w:pPr>
      <w:spacing w:line="240" w:lineRule="auto"/>
    </w:pPr>
  </w:style>
  <w:style w:type="character" w:customStyle="1" w:styleId="FirmadipostaelettronicaCarattere">
    <w:name w:val="Firma di posta elettronica Carattere"/>
    <w:basedOn w:val="Carpredefinitoparagrafo"/>
    <w:link w:val="Firmadipostaelettronica"/>
    <w:uiPriority w:val="99"/>
    <w:semiHidden/>
    <w:rsid w:val="0003148D"/>
  </w:style>
  <w:style w:type="paragraph" w:styleId="Formuladiapertura">
    <w:name w:val="Salutation"/>
    <w:basedOn w:val="Normale"/>
    <w:next w:val="Normale"/>
    <w:link w:val="FormuladiaperturaCarattere"/>
    <w:uiPriority w:val="99"/>
    <w:semiHidden/>
    <w:unhideWhenUsed/>
    <w:rsid w:val="0003148D"/>
  </w:style>
  <w:style w:type="character" w:customStyle="1" w:styleId="FormuladiaperturaCarattere">
    <w:name w:val="Formula di apertura Carattere"/>
    <w:basedOn w:val="Carpredefinitoparagrafo"/>
    <w:link w:val="Formuladiapertura"/>
    <w:uiPriority w:val="99"/>
    <w:semiHidden/>
    <w:rsid w:val="0003148D"/>
  </w:style>
  <w:style w:type="paragraph" w:styleId="Formuladichiusura">
    <w:name w:val="Closing"/>
    <w:basedOn w:val="Normale"/>
    <w:link w:val="FormuladichiusuraCarattere"/>
    <w:uiPriority w:val="99"/>
    <w:semiHidden/>
    <w:unhideWhenUsed/>
    <w:rsid w:val="0003148D"/>
    <w:pPr>
      <w:spacing w:line="240" w:lineRule="auto"/>
      <w:ind w:left="4252"/>
    </w:pPr>
  </w:style>
  <w:style w:type="character" w:customStyle="1" w:styleId="FormuladichiusuraCarattere">
    <w:name w:val="Formula di chiusura Carattere"/>
    <w:basedOn w:val="Carpredefinitoparagrafo"/>
    <w:link w:val="Formuladichiusura"/>
    <w:uiPriority w:val="99"/>
    <w:semiHidden/>
    <w:rsid w:val="0003148D"/>
  </w:style>
  <w:style w:type="paragraph" w:styleId="Indice1">
    <w:name w:val="index 1"/>
    <w:basedOn w:val="Normale"/>
    <w:next w:val="Normale"/>
    <w:autoRedefine/>
    <w:uiPriority w:val="99"/>
    <w:semiHidden/>
    <w:unhideWhenUsed/>
    <w:rsid w:val="0003148D"/>
    <w:pPr>
      <w:spacing w:line="240" w:lineRule="auto"/>
      <w:ind w:left="220" w:hanging="220"/>
    </w:pPr>
  </w:style>
  <w:style w:type="paragraph" w:styleId="Indice2">
    <w:name w:val="index 2"/>
    <w:basedOn w:val="Normale"/>
    <w:next w:val="Normale"/>
    <w:autoRedefine/>
    <w:uiPriority w:val="99"/>
    <w:semiHidden/>
    <w:unhideWhenUsed/>
    <w:rsid w:val="0003148D"/>
    <w:pPr>
      <w:spacing w:line="240" w:lineRule="auto"/>
      <w:ind w:left="440" w:hanging="220"/>
    </w:pPr>
  </w:style>
  <w:style w:type="paragraph" w:styleId="Indice3">
    <w:name w:val="index 3"/>
    <w:basedOn w:val="Normale"/>
    <w:next w:val="Normale"/>
    <w:autoRedefine/>
    <w:uiPriority w:val="99"/>
    <w:semiHidden/>
    <w:unhideWhenUsed/>
    <w:rsid w:val="0003148D"/>
    <w:pPr>
      <w:spacing w:line="240" w:lineRule="auto"/>
      <w:ind w:left="660" w:hanging="220"/>
    </w:pPr>
  </w:style>
  <w:style w:type="paragraph" w:styleId="Indice4">
    <w:name w:val="index 4"/>
    <w:basedOn w:val="Normale"/>
    <w:next w:val="Normale"/>
    <w:autoRedefine/>
    <w:uiPriority w:val="99"/>
    <w:semiHidden/>
    <w:unhideWhenUsed/>
    <w:rsid w:val="0003148D"/>
    <w:pPr>
      <w:spacing w:line="240" w:lineRule="auto"/>
      <w:ind w:left="880" w:hanging="220"/>
    </w:pPr>
  </w:style>
  <w:style w:type="paragraph" w:styleId="Indice5">
    <w:name w:val="index 5"/>
    <w:basedOn w:val="Normale"/>
    <w:next w:val="Normale"/>
    <w:autoRedefine/>
    <w:uiPriority w:val="99"/>
    <w:semiHidden/>
    <w:unhideWhenUsed/>
    <w:rsid w:val="0003148D"/>
    <w:pPr>
      <w:spacing w:line="240" w:lineRule="auto"/>
      <w:ind w:left="1100" w:hanging="220"/>
    </w:pPr>
  </w:style>
  <w:style w:type="paragraph" w:styleId="Indice6">
    <w:name w:val="index 6"/>
    <w:basedOn w:val="Normale"/>
    <w:next w:val="Normale"/>
    <w:autoRedefine/>
    <w:uiPriority w:val="99"/>
    <w:semiHidden/>
    <w:unhideWhenUsed/>
    <w:rsid w:val="0003148D"/>
    <w:pPr>
      <w:spacing w:line="240" w:lineRule="auto"/>
      <w:ind w:left="1320" w:hanging="220"/>
    </w:pPr>
  </w:style>
  <w:style w:type="paragraph" w:styleId="Indice7">
    <w:name w:val="index 7"/>
    <w:basedOn w:val="Normale"/>
    <w:next w:val="Normale"/>
    <w:autoRedefine/>
    <w:uiPriority w:val="99"/>
    <w:semiHidden/>
    <w:unhideWhenUsed/>
    <w:rsid w:val="0003148D"/>
    <w:pPr>
      <w:spacing w:line="240" w:lineRule="auto"/>
      <w:ind w:left="1540" w:hanging="220"/>
    </w:pPr>
  </w:style>
  <w:style w:type="paragraph" w:styleId="Indice8">
    <w:name w:val="index 8"/>
    <w:basedOn w:val="Normale"/>
    <w:next w:val="Normale"/>
    <w:autoRedefine/>
    <w:uiPriority w:val="99"/>
    <w:semiHidden/>
    <w:unhideWhenUsed/>
    <w:rsid w:val="0003148D"/>
    <w:pPr>
      <w:spacing w:line="240" w:lineRule="auto"/>
      <w:ind w:left="1760" w:hanging="220"/>
    </w:pPr>
  </w:style>
  <w:style w:type="paragraph" w:styleId="Indice9">
    <w:name w:val="index 9"/>
    <w:basedOn w:val="Normale"/>
    <w:next w:val="Normale"/>
    <w:autoRedefine/>
    <w:uiPriority w:val="99"/>
    <w:semiHidden/>
    <w:unhideWhenUsed/>
    <w:rsid w:val="0003148D"/>
    <w:pPr>
      <w:spacing w:line="240" w:lineRule="auto"/>
      <w:ind w:left="1980" w:hanging="220"/>
    </w:pPr>
  </w:style>
  <w:style w:type="paragraph" w:styleId="Indicedellefigure">
    <w:name w:val="table of figures"/>
    <w:basedOn w:val="Normale"/>
    <w:next w:val="Normale"/>
    <w:uiPriority w:val="99"/>
    <w:semiHidden/>
    <w:unhideWhenUsed/>
    <w:rsid w:val="0003148D"/>
  </w:style>
  <w:style w:type="paragraph" w:styleId="Indicefonti">
    <w:name w:val="table of authorities"/>
    <w:basedOn w:val="Normale"/>
    <w:next w:val="Normale"/>
    <w:uiPriority w:val="99"/>
    <w:semiHidden/>
    <w:unhideWhenUsed/>
    <w:rsid w:val="0003148D"/>
    <w:pPr>
      <w:ind w:left="220" w:hanging="220"/>
    </w:pPr>
  </w:style>
  <w:style w:type="paragraph" w:styleId="Indirizzodestinatario">
    <w:name w:val="envelope address"/>
    <w:basedOn w:val="Normale"/>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IndirizzoHTML">
    <w:name w:val="HTML Address"/>
    <w:basedOn w:val="Normale"/>
    <w:link w:val="IndirizzoHTMLCarattere"/>
    <w:uiPriority w:val="99"/>
    <w:semiHidden/>
    <w:unhideWhenUsed/>
    <w:rsid w:val="0003148D"/>
    <w:pPr>
      <w:spacing w:line="240" w:lineRule="auto"/>
    </w:pPr>
    <w:rPr>
      <w:i/>
      <w:iCs/>
    </w:rPr>
  </w:style>
  <w:style w:type="character" w:customStyle="1" w:styleId="IndirizzoHTMLCarattere">
    <w:name w:val="Indirizzo HTML Carattere"/>
    <w:basedOn w:val="Carpredefinitoparagrafo"/>
    <w:link w:val="IndirizzoHTML"/>
    <w:uiPriority w:val="99"/>
    <w:semiHidden/>
    <w:rsid w:val="0003148D"/>
    <w:rPr>
      <w:i/>
      <w:iCs/>
    </w:rPr>
  </w:style>
  <w:style w:type="paragraph" w:styleId="Indirizzomittente">
    <w:name w:val="envelope return"/>
    <w:basedOn w:val="Normale"/>
    <w:uiPriority w:val="99"/>
    <w:semiHidden/>
    <w:unhideWhenUsed/>
    <w:rsid w:val="0003148D"/>
    <w:pPr>
      <w:spacing w:line="240" w:lineRule="auto"/>
    </w:pPr>
    <w:rPr>
      <w:rFonts w:asciiTheme="majorHAnsi" w:eastAsiaTheme="majorEastAsia" w:hAnsiTheme="majorHAnsi" w:cstheme="majorBidi"/>
    </w:rPr>
  </w:style>
  <w:style w:type="paragraph" w:styleId="Intestazionemessaggio">
    <w:name w:val="Message Header"/>
    <w:basedOn w:val="Normale"/>
    <w:link w:val="IntestazionemessaggioCarattere"/>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IntestazionemessaggioCarattere">
    <w:name w:val="Intestazione messaggio Carattere"/>
    <w:basedOn w:val="Carpredefinitoparagrafo"/>
    <w:link w:val="Intestazionemessaggio"/>
    <w:uiPriority w:val="99"/>
    <w:semiHidden/>
    <w:rsid w:val="0003148D"/>
    <w:rPr>
      <w:rFonts w:asciiTheme="majorHAnsi" w:eastAsiaTheme="majorEastAsia" w:hAnsiTheme="majorHAnsi" w:cstheme="majorBidi"/>
      <w:sz w:val="24"/>
      <w:szCs w:val="24"/>
      <w:shd w:val="pct20" w:color="auto" w:fill="auto"/>
    </w:rPr>
  </w:style>
  <w:style w:type="paragraph" w:styleId="Intestazionenota">
    <w:name w:val="Note Heading"/>
    <w:basedOn w:val="Normale"/>
    <w:next w:val="Normale"/>
    <w:link w:val="IntestazionenotaCarattere"/>
    <w:uiPriority w:val="99"/>
    <w:semiHidden/>
    <w:unhideWhenUsed/>
    <w:rsid w:val="0003148D"/>
    <w:pPr>
      <w:spacing w:line="240" w:lineRule="auto"/>
    </w:pPr>
  </w:style>
  <w:style w:type="character" w:customStyle="1" w:styleId="IntestazionenotaCarattere">
    <w:name w:val="Intestazione nota Carattere"/>
    <w:basedOn w:val="Carpredefinitoparagrafo"/>
    <w:link w:val="Intestazionenota"/>
    <w:uiPriority w:val="99"/>
    <w:semiHidden/>
    <w:rsid w:val="0003148D"/>
  </w:style>
  <w:style w:type="paragraph" w:styleId="Mappadocumento">
    <w:name w:val="Document Map"/>
    <w:basedOn w:val="Normale"/>
    <w:link w:val="MappadocumentoCarattere"/>
    <w:uiPriority w:val="99"/>
    <w:semiHidden/>
    <w:unhideWhenUsed/>
    <w:rsid w:val="0003148D"/>
    <w:pPr>
      <w:spacing w:line="240" w:lineRule="auto"/>
    </w:pPr>
    <w:rPr>
      <w:rFonts w:ascii="Tahoma" w:hAnsi="Tahoma" w:cs="Tahoma"/>
      <w:sz w:val="16"/>
      <w:szCs w:val="16"/>
    </w:rPr>
  </w:style>
  <w:style w:type="character" w:customStyle="1" w:styleId="MappadocumentoCarattere">
    <w:name w:val="Mappa documento Carattere"/>
    <w:basedOn w:val="Carpredefinitoparagrafo"/>
    <w:link w:val="Mappadocumento"/>
    <w:uiPriority w:val="99"/>
    <w:semiHidden/>
    <w:rsid w:val="0003148D"/>
    <w:rPr>
      <w:rFonts w:ascii="Tahoma" w:hAnsi="Tahoma" w:cs="Tahoma"/>
      <w:sz w:val="16"/>
      <w:szCs w:val="16"/>
    </w:rPr>
  </w:style>
  <w:style w:type="paragraph" w:styleId="NormaleWeb">
    <w:name w:val="Normal (Web)"/>
    <w:basedOn w:val="Normale"/>
    <w:uiPriority w:val="99"/>
    <w:unhideWhenUsed/>
    <w:rsid w:val="0003148D"/>
    <w:rPr>
      <w:sz w:val="24"/>
      <w:szCs w:val="24"/>
    </w:rPr>
  </w:style>
  <w:style w:type="paragraph" w:styleId="Numeroelenco">
    <w:name w:val="List Number"/>
    <w:basedOn w:val="Normale"/>
    <w:uiPriority w:val="99"/>
    <w:semiHidden/>
    <w:unhideWhenUsed/>
    <w:rsid w:val="0003148D"/>
    <w:pPr>
      <w:numPr>
        <w:numId w:val="2"/>
      </w:numPr>
      <w:contextualSpacing/>
    </w:pPr>
  </w:style>
  <w:style w:type="paragraph" w:styleId="Numeroelenco2">
    <w:name w:val="List Number 2"/>
    <w:basedOn w:val="Normale"/>
    <w:uiPriority w:val="99"/>
    <w:semiHidden/>
    <w:unhideWhenUsed/>
    <w:rsid w:val="0003148D"/>
    <w:pPr>
      <w:numPr>
        <w:numId w:val="3"/>
      </w:numPr>
      <w:contextualSpacing/>
    </w:pPr>
  </w:style>
  <w:style w:type="paragraph" w:styleId="Numeroelenco3">
    <w:name w:val="List Number 3"/>
    <w:basedOn w:val="Normale"/>
    <w:uiPriority w:val="99"/>
    <w:semiHidden/>
    <w:unhideWhenUsed/>
    <w:rsid w:val="0003148D"/>
    <w:pPr>
      <w:numPr>
        <w:numId w:val="4"/>
      </w:numPr>
      <w:contextualSpacing/>
    </w:pPr>
  </w:style>
  <w:style w:type="paragraph" w:styleId="Numeroelenco4">
    <w:name w:val="List Number 4"/>
    <w:basedOn w:val="Normale"/>
    <w:uiPriority w:val="99"/>
    <w:semiHidden/>
    <w:unhideWhenUsed/>
    <w:rsid w:val="0003148D"/>
    <w:pPr>
      <w:numPr>
        <w:numId w:val="5"/>
      </w:numPr>
      <w:contextualSpacing/>
    </w:pPr>
  </w:style>
  <w:style w:type="paragraph" w:styleId="Numeroelenco5">
    <w:name w:val="List Number 5"/>
    <w:basedOn w:val="Normale"/>
    <w:uiPriority w:val="99"/>
    <w:semiHidden/>
    <w:unhideWhenUsed/>
    <w:rsid w:val="0003148D"/>
    <w:pPr>
      <w:numPr>
        <w:numId w:val="6"/>
      </w:numPr>
      <w:contextualSpacing/>
    </w:pPr>
  </w:style>
  <w:style w:type="paragraph" w:styleId="PreformattatoHTML">
    <w:name w:val="HTML Preformatted"/>
    <w:basedOn w:val="Normale"/>
    <w:link w:val="PreformattatoHTMLCarattere"/>
    <w:uiPriority w:val="99"/>
    <w:semiHidden/>
    <w:unhideWhenUsed/>
    <w:rsid w:val="0003148D"/>
    <w:pPr>
      <w:spacing w:line="240" w:lineRule="auto"/>
    </w:pPr>
    <w:rPr>
      <w:rFonts w:ascii="Consolas" w:hAnsi="Consolas" w:cs="Consolas"/>
    </w:rPr>
  </w:style>
  <w:style w:type="character" w:customStyle="1" w:styleId="PreformattatoHTMLCarattere">
    <w:name w:val="Preformattato HTML Carattere"/>
    <w:basedOn w:val="Carpredefinitoparagrafo"/>
    <w:link w:val="PreformattatoHTML"/>
    <w:uiPriority w:val="99"/>
    <w:semiHidden/>
    <w:rsid w:val="0003148D"/>
    <w:rPr>
      <w:rFonts w:ascii="Consolas" w:hAnsi="Consolas" w:cs="Consolas"/>
      <w:sz w:val="20"/>
      <w:szCs w:val="20"/>
    </w:rPr>
  </w:style>
  <w:style w:type="paragraph" w:styleId="Primorientrocorpodeltesto">
    <w:name w:val="Body Text First Indent"/>
    <w:basedOn w:val="Corpotesto"/>
    <w:link w:val="PrimorientrocorpodeltestoCarattere"/>
    <w:uiPriority w:val="99"/>
    <w:semiHidden/>
    <w:unhideWhenUsed/>
    <w:rsid w:val="0003148D"/>
    <w:pPr>
      <w:spacing w:after="200"/>
      <w:ind w:firstLine="360"/>
    </w:pPr>
  </w:style>
  <w:style w:type="character" w:customStyle="1" w:styleId="PrimorientrocorpodeltestoCarattere">
    <w:name w:val="Primo rientro corpo del testo Carattere"/>
    <w:basedOn w:val="CorpotestoCarattere"/>
    <w:link w:val="Primorientrocorpodeltesto"/>
    <w:uiPriority w:val="99"/>
    <w:semiHidden/>
    <w:rsid w:val="0003148D"/>
  </w:style>
  <w:style w:type="paragraph" w:styleId="Rientrocorpodeltesto">
    <w:name w:val="Body Text Indent"/>
    <w:basedOn w:val="Normale"/>
    <w:link w:val="RientrocorpodeltestoCarattere"/>
    <w:uiPriority w:val="99"/>
    <w:semiHidden/>
    <w:unhideWhenUsed/>
    <w:rsid w:val="0003148D"/>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03148D"/>
  </w:style>
  <w:style w:type="paragraph" w:styleId="Primorientrocorpodeltesto2">
    <w:name w:val="Body Text First Indent 2"/>
    <w:basedOn w:val="Rientrocorpodeltesto"/>
    <w:link w:val="Primorientrocorpodeltesto2Carattere"/>
    <w:uiPriority w:val="99"/>
    <w:semiHidden/>
    <w:unhideWhenUsed/>
    <w:rsid w:val="0003148D"/>
    <w:pPr>
      <w:spacing w:after="200"/>
      <w:ind w:left="360" w:firstLine="360"/>
    </w:pPr>
  </w:style>
  <w:style w:type="character" w:customStyle="1" w:styleId="Primorientrocorpodeltesto2Carattere">
    <w:name w:val="Primo rientro corpo del testo 2 Carattere"/>
    <w:basedOn w:val="RientrocorpodeltestoCarattere"/>
    <w:link w:val="Primorientrocorpodeltesto2"/>
    <w:uiPriority w:val="99"/>
    <w:semiHidden/>
    <w:rsid w:val="0003148D"/>
  </w:style>
  <w:style w:type="paragraph" w:styleId="Puntoelenco">
    <w:name w:val="List Bullet"/>
    <w:basedOn w:val="Normale"/>
    <w:uiPriority w:val="99"/>
    <w:semiHidden/>
    <w:unhideWhenUsed/>
    <w:rsid w:val="0003148D"/>
    <w:pPr>
      <w:numPr>
        <w:numId w:val="7"/>
      </w:numPr>
      <w:contextualSpacing/>
    </w:pPr>
  </w:style>
  <w:style w:type="paragraph" w:styleId="Puntoelenco2">
    <w:name w:val="List Bullet 2"/>
    <w:basedOn w:val="Normale"/>
    <w:uiPriority w:val="99"/>
    <w:semiHidden/>
    <w:unhideWhenUsed/>
    <w:rsid w:val="0003148D"/>
    <w:pPr>
      <w:numPr>
        <w:numId w:val="8"/>
      </w:numPr>
      <w:contextualSpacing/>
    </w:pPr>
  </w:style>
  <w:style w:type="paragraph" w:styleId="Puntoelenco3">
    <w:name w:val="List Bullet 3"/>
    <w:basedOn w:val="Normale"/>
    <w:uiPriority w:val="99"/>
    <w:semiHidden/>
    <w:unhideWhenUsed/>
    <w:rsid w:val="0003148D"/>
    <w:pPr>
      <w:numPr>
        <w:numId w:val="9"/>
      </w:numPr>
      <w:contextualSpacing/>
    </w:pPr>
  </w:style>
  <w:style w:type="paragraph" w:styleId="Puntoelenco4">
    <w:name w:val="List Bullet 4"/>
    <w:basedOn w:val="Normale"/>
    <w:uiPriority w:val="99"/>
    <w:semiHidden/>
    <w:unhideWhenUsed/>
    <w:rsid w:val="0003148D"/>
    <w:pPr>
      <w:numPr>
        <w:numId w:val="10"/>
      </w:numPr>
      <w:contextualSpacing/>
    </w:pPr>
  </w:style>
  <w:style w:type="paragraph" w:styleId="Puntoelenco5">
    <w:name w:val="List Bullet 5"/>
    <w:basedOn w:val="Normale"/>
    <w:uiPriority w:val="99"/>
    <w:semiHidden/>
    <w:unhideWhenUsed/>
    <w:rsid w:val="0003148D"/>
    <w:pPr>
      <w:numPr>
        <w:numId w:val="11"/>
      </w:numPr>
      <w:contextualSpacing/>
    </w:pPr>
  </w:style>
  <w:style w:type="paragraph" w:styleId="Rientrocorpodeltesto2">
    <w:name w:val="Body Text Indent 2"/>
    <w:basedOn w:val="Normale"/>
    <w:link w:val="Rientrocorpodeltesto2Carattere"/>
    <w:uiPriority w:val="99"/>
    <w:semiHidden/>
    <w:unhideWhenUsed/>
    <w:rsid w:val="0003148D"/>
    <w:pPr>
      <w:spacing w:after="120" w:line="480" w:lineRule="auto"/>
      <w:ind w:left="283"/>
    </w:pPr>
  </w:style>
  <w:style w:type="character" w:customStyle="1" w:styleId="Rientrocorpodeltesto2Carattere">
    <w:name w:val="Rientro corpo del testo 2 Carattere"/>
    <w:basedOn w:val="Carpredefinitoparagrafo"/>
    <w:link w:val="Rientrocorpodeltesto2"/>
    <w:uiPriority w:val="99"/>
    <w:semiHidden/>
    <w:rsid w:val="0003148D"/>
  </w:style>
  <w:style w:type="paragraph" w:styleId="Rientrocorpodeltesto3">
    <w:name w:val="Body Text Indent 3"/>
    <w:basedOn w:val="Normale"/>
    <w:link w:val="Rientrocorpodeltesto3Carattere"/>
    <w:uiPriority w:val="99"/>
    <w:semiHidden/>
    <w:unhideWhenUsed/>
    <w:rsid w:val="0003148D"/>
    <w:pPr>
      <w:spacing w:after="120"/>
      <w:ind w:left="283"/>
    </w:pPr>
    <w:rPr>
      <w:sz w:val="16"/>
      <w:szCs w:val="16"/>
    </w:rPr>
  </w:style>
  <w:style w:type="character" w:customStyle="1" w:styleId="Rientrocorpodeltesto3Carattere">
    <w:name w:val="Rientro corpo del testo 3 Carattere"/>
    <w:basedOn w:val="Carpredefinitoparagrafo"/>
    <w:link w:val="Rientrocorpodeltesto3"/>
    <w:uiPriority w:val="99"/>
    <w:semiHidden/>
    <w:rsid w:val="0003148D"/>
    <w:rPr>
      <w:sz w:val="16"/>
      <w:szCs w:val="16"/>
    </w:rPr>
  </w:style>
  <w:style w:type="paragraph" w:styleId="Rientronormale">
    <w:name w:val="Normal Indent"/>
    <w:basedOn w:val="Normale"/>
    <w:uiPriority w:val="99"/>
    <w:semiHidden/>
    <w:unhideWhenUsed/>
    <w:rsid w:val="0003148D"/>
    <w:pPr>
      <w:ind w:left="720"/>
    </w:pPr>
  </w:style>
  <w:style w:type="paragraph" w:styleId="Testocommento">
    <w:name w:val="annotation text"/>
    <w:basedOn w:val="Normale"/>
    <w:link w:val="TestocommentoCarattere"/>
    <w:uiPriority w:val="99"/>
    <w:unhideWhenUsed/>
    <w:rsid w:val="0003148D"/>
    <w:pPr>
      <w:spacing w:line="240" w:lineRule="auto"/>
    </w:pPr>
  </w:style>
  <w:style w:type="character" w:customStyle="1" w:styleId="TestocommentoCarattere">
    <w:name w:val="Testo commento Carattere"/>
    <w:basedOn w:val="Carpredefinitoparagrafo"/>
    <w:link w:val="Testocommento"/>
    <w:uiPriority w:val="99"/>
    <w:rsid w:val="0003148D"/>
    <w:rPr>
      <w:sz w:val="20"/>
      <w:szCs w:val="20"/>
    </w:rPr>
  </w:style>
  <w:style w:type="paragraph" w:styleId="Soggettocommento">
    <w:name w:val="annotation subject"/>
    <w:basedOn w:val="Testocommento"/>
    <w:next w:val="Testocommento"/>
    <w:link w:val="SoggettocommentoCarattere"/>
    <w:uiPriority w:val="99"/>
    <w:semiHidden/>
    <w:unhideWhenUsed/>
    <w:rsid w:val="0003148D"/>
    <w:rPr>
      <w:b/>
      <w:bCs/>
    </w:rPr>
  </w:style>
  <w:style w:type="character" w:customStyle="1" w:styleId="SoggettocommentoCarattere">
    <w:name w:val="Soggetto commento Carattere"/>
    <w:basedOn w:val="TestocommentoCarattere"/>
    <w:link w:val="Soggettocommento"/>
    <w:uiPriority w:val="99"/>
    <w:semiHidden/>
    <w:rsid w:val="0003148D"/>
    <w:rPr>
      <w:b/>
      <w:bCs/>
      <w:sz w:val="20"/>
      <w:szCs w:val="20"/>
    </w:rPr>
  </w:style>
  <w:style w:type="paragraph" w:styleId="Sommario1">
    <w:name w:val="toc 1"/>
    <w:basedOn w:val="Normale"/>
    <w:next w:val="Normale"/>
    <w:autoRedefine/>
    <w:uiPriority w:val="39"/>
    <w:semiHidden/>
    <w:unhideWhenUsed/>
    <w:rsid w:val="0003148D"/>
    <w:pPr>
      <w:spacing w:after="100"/>
    </w:pPr>
  </w:style>
  <w:style w:type="paragraph" w:styleId="Sommario2">
    <w:name w:val="toc 2"/>
    <w:basedOn w:val="Normale"/>
    <w:next w:val="Normale"/>
    <w:autoRedefine/>
    <w:uiPriority w:val="39"/>
    <w:semiHidden/>
    <w:unhideWhenUsed/>
    <w:rsid w:val="0003148D"/>
    <w:pPr>
      <w:spacing w:after="100"/>
      <w:ind w:left="220"/>
    </w:pPr>
  </w:style>
  <w:style w:type="paragraph" w:styleId="Sommario3">
    <w:name w:val="toc 3"/>
    <w:basedOn w:val="Normale"/>
    <w:next w:val="Normale"/>
    <w:autoRedefine/>
    <w:uiPriority w:val="39"/>
    <w:semiHidden/>
    <w:unhideWhenUsed/>
    <w:rsid w:val="0003148D"/>
    <w:pPr>
      <w:spacing w:after="100"/>
      <w:ind w:left="440"/>
    </w:pPr>
  </w:style>
  <w:style w:type="paragraph" w:styleId="Sommario4">
    <w:name w:val="toc 4"/>
    <w:basedOn w:val="Normale"/>
    <w:next w:val="Normale"/>
    <w:autoRedefine/>
    <w:uiPriority w:val="39"/>
    <w:semiHidden/>
    <w:unhideWhenUsed/>
    <w:rsid w:val="0003148D"/>
    <w:pPr>
      <w:spacing w:after="100"/>
      <w:ind w:left="660"/>
    </w:pPr>
  </w:style>
  <w:style w:type="paragraph" w:styleId="Sommario5">
    <w:name w:val="toc 5"/>
    <w:basedOn w:val="Normale"/>
    <w:next w:val="Normale"/>
    <w:autoRedefine/>
    <w:uiPriority w:val="39"/>
    <w:semiHidden/>
    <w:unhideWhenUsed/>
    <w:rsid w:val="0003148D"/>
    <w:pPr>
      <w:spacing w:after="100"/>
      <w:ind w:left="880"/>
    </w:pPr>
  </w:style>
  <w:style w:type="paragraph" w:styleId="Sommario6">
    <w:name w:val="toc 6"/>
    <w:basedOn w:val="Normale"/>
    <w:next w:val="Normale"/>
    <w:autoRedefine/>
    <w:uiPriority w:val="39"/>
    <w:semiHidden/>
    <w:unhideWhenUsed/>
    <w:rsid w:val="0003148D"/>
    <w:pPr>
      <w:spacing w:after="100"/>
      <w:ind w:left="1100"/>
    </w:pPr>
  </w:style>
  <w:style w:type="paragraph" w:styleId="Sommario7">
    <w:name w:val="toc 7"/>
    <w:basedOn w:val="Normale"/>
    <w:next w:val="Normale"/>
    <w:autoRedefine/>
    <w:uiPriority w:val="39"/>
    <w:semiHidden/>
    <w:unhideWhenUsed/>
    <w:rsid w:val="0003148D"/>
    <w:pPr>
      <w:spacing w:after="100"/>
      <w:ind w:left="1320"/>
    </w:pPr>
  </w:style>
  <w:style w:type="paragraph" w:styleId="Sommario8">
    <w:name w:val="toc 8"/>
    <w:basedOn w:val="Normale"/>
    <w:next w:val="Normale"/>
    <w:autoRedefine/>
    <w:uiPriority w:val="39"/>
    <w:semiHidden/>
    <w:unhideWhenUsed/>
    <w:rsid w:val="0003148D"/>
    <w:pPr>
      <w:spacing w:after="100"/>
      <w:ind w:left="1540"/>
    </w:pPr>
  </w:style>
  <w:style w:type="paragraph" w:styleId="Sommario9">
    <w:name w:val="toc 9"/>
    <w:basedOn w:val="Normale"/>
    <w:next w:val="Normale"/>
    <w:autoRedefine/>
    <w:uiPriority w:val="39"/>
    <w:semiHidden/>
    <w:unhideWhenUsed/>
    <w:rsid w:val="0003148D"/>
    <w:pPr>
      <w:spacing w:after="100"/>
      <w:ind w:left="1760"/>
    </w:pPr>
  </w:style>
  <w:style w:type="paragraph" w:styleId="Testodelblocco">
    <w:name w:val="Block Text"/>
    <w:basedOn w:val="Normale"/>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Testomacro">
    <w:name w:val="macro"/>
    <w:link w:val="TestomacroCarattere"/>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TestomacroCarattere">
    <w:name w:val="Testo macro Carattere"/>
    <w:basedOn w:val="Carpredefinitoparagrafo"/>
    <w:link w:val="Testomacro"/>
    <w:uiPriority w:val="99"/>
    <w:semiHidden/>
    <w:rsid w:val="0003148D"/>
    <w:rPr>
      <w:rFonts w:ascii="Consolas" w:hAnsi="Consolas" w:cs="Consolas"/>
      <w:sz w:val="20"/>
      <w:szCs w:val="20"/>
    </w:rPr>
  </w:style>
  <w:style w:type="paragraph" w:styleId="Testonormale">
    <w:name w:val="Plain Text"/>
    <w:basedOn w:val="Normale"/>
    <w:link w:val="TestonormaleCarattere"/>
    <w:uiPriority w:val="99"/>
    <w:semiHidden/>
    <w:unhideWhenUsed/>
    <w:rsid w:val="0003148D"/>
    <w:pPr>
      <w:spacing w:line="240" w:lineRule="auto"/>
    </w:pPr>
    <w:rPr>
      <w:rFonts w:ascii="Consolas" w:hAnsi="Consolas" w:cs="Consolas"/>
      <w:sz w:val="21"/>
      <w:szCs w:val="21"/>
    </w:rPr>
  </w:style>
  <w:style w:type="character" w:customStyle="1" w:styleId="TestonormaleCarattere">
    <w:name w:val="Testo normale Carattere"/>
    <w:basedOn w:val="Carpredefinitoparagrafo"/>
    <w:link w:val="Testonormale"/>
    <w:uiPriority w:val="99"/>
    <w:semiHidden/>
    <w:rsid w:val="0003148D"/>
    <w:rPr>
      <w:rFonts w:ascii="Consolas" w:hAnsi="Consolas" w:cs="Consolas"/>
      <w:sz w:val="21"/>
      <w:szCs w:val="21"/>
    </w:rPr>
  </w:style>
  <w:style w:type="paragraph" w:styleId="Testonotaapidipagina">
    <w:name w:val="footnote text"/>
    <w:basedOn w:val="Normale"/>
    <w:link w:val="TestonotaapidipaginaCarattere"/>
    <w:uiPriority w:val="99"/>
    <w:semiHidden/>
    <w:unhideWhenUsed/>
    <w:rsid w:val="0003148D"/>
    <w:pPr>
      <w:spacing w:line="240" w:lineRule="auto"/>
    </w:pPr>
  </w:style>
  <w:style w:type="character" w:customStyle="1" w:styleId="TestonotaapidipaginaCarattere">
    <w:name w:val="Testo nota a piè di pagina Carattere"/>
    <w:basedOn w:val="Carpredefinitoparagrafo"/>
    <w:link w:val="Testonotaapidipagina"/>
    <w:uiPriority w:val="99"/>
    <w:semiHidden/>
    <w:rsid w:val="0003148D"/>
    <w:rPr>
      <w:sz w:val="20"/>
      <w:szCs w:val="20"/>
    </w:rPr>
  </w:style>
  <w:style w:type="paragraph" w:styleId="Testonotadichiusura">
    <w:name w:val="endnote text"/>
    <w:basedOn w:val="Normale"/>
    <w:link w:val="TestonotadichiusuraCarattere"/>
    <w:uiPriority w:val="99"/>
    <w:semiHidden/>
    <w:unhideWhenUsed/>
    <w:rsid w:val="0003148D"/>
    <w:pPr>
      <w:spacing w:line="240" w:lineRule="auto"/>
    </w:pPr>
  </w:style>
  <w:style w:type="character" w:customStyle="1" w:styleId="TestonotadichiusuraCarattere">
    <w:name w:val="Testo nota di chiusura Carattere"/>
    <w:basedOn w:val="Carpredefinitoparagrafo"/>
    <w:link w:val="Testonotadichiusura"/>
    <w:uiPriority w:val="99"/>
    <w:semiHidden/>
    <w:rsid w:val="0003148D"/>
    <w:rPr>
      <w:sz w:val="20"/>
      <w:szCs w:val="20"/>
    </w:rPr>
  </w:style>
  <w:style w:type="character" w:customStyle="1" w:styleId="Titolo1Carattere">
    <w:name w:val="Titolo 1 Carattere"/>
    <w:basedOn w:val="Carpredefinitoparagrafo"/>
    <w:link w:val="Titolo1"/>
    <w:uiPriority w:val="9"/>
    <w:rsid w:val="004F5E36"/>
    <w:rPr>
      <w:rFonts w:ascii="Arial" w:eastAsia="Times New Roman" w:hAnsi="Arial" w:cs="Times New Roman"/>
      <w:b/>
      <w:sz w:val="20"/>
      <w:szCs w:val="20"/>
      <w:lang w:val="en-GB"/>
    </w:rPr>
  </w:style>
  <w:style w:type="character" w:customStyle="1" w:styleId="Titolo2Carattere">
    <w:name w:val="Titolo 2 Carattere"/>
    <w:basedOn w:val="Carpredefinitoparagrafo"/>
    <w:link w:val="Titolo2"/>
    <w:uiPriority w:val="9"/>
    <w:semiHidden/>
    <w:rsid w:val="0003148D"/>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semiHidden/>
    <w:rsid w:val="0003148D"/>
    <w:rPr>
      <w:rFonts w:asciiTheme="majorHAnsi" w:eastAsiaTheme="majorEastAsia" w:hAnsiTheme="majorHAnsi" w:cstheme="majorBidi"/>
      <w:b/>
      <w:bCs/>
      <w:color w:val="4F81BD" w:themeColor="accent1"/>
    </w:rPr>
  </w:style>
  <w:style w:type="character" w:customStyle="1" w:styleId="Titolo4Carattere">
    <w:name w:val="Titolo 4 Carattere"/>
    <w:basedOn w:val="Carpredefinitoparagrafo"/>
    <w:link w:val="Titolo4"/>
    <w:uiPriority w:val="9"/>
    <w:semiHidden/>
    <w:rsid w:val="0003148D"/>
    <w:rPr>
      <w:rFonts w:asciiTheme="majorHAnsi" w:eastAsiaTheme="majorEastAsia" w:hAnsiTheme="majorHAnsi" w:cstheme="majorBidi"/>
      <w:b/>
      <w:bCs/>
      <w:i/>
      <w:iCs/>
      <w:color w:val="4F81BD" w:themeColor="accent1"/>
    </w:rPr>
  </w:style>
  <w:style w:type="character" w:customStyle="1" w:styleId="Titolo5Carattere">
    <w:name w:val="Titolo 5 Carattere"/>
    <w:basedOn w:val="Carpredefinitoparagrafo"/>
    <w:link w:val="Titolo5"/>
    <w:uiPriority w:val="9"/>
    <w:semiHidden/>
    <w:rsid w:val="0003148D"/>
    <w:rPr>
      <w:rFonts w:asciiTheme="majorHAnsi" w:eastAsiaTheme="majorEastAsia" w:hAnsiTheme="majorHAnsi" w:cstheme="majorBidi"/>
      <w:color w:val="243F60" w:themeColor="accent1" w:themeShade="7F"/>
    </w:rPr>
  </w:style>
  <w:style w:type="character" w:customStyle="1" w:styleId="Titolo6Carattere">
    <w:name w:val="Titolo 6 Carattere"/>
    <w:basedOn w:val="Carpredefinitoparagrafo"/>
    <w:link w:val="Titolo6"/>
    <w:uiPriority w:val="9"/>
    <w:semiHidden/>
    <w:rsid w:val="0003148D"/>
    <w:rPr>
      <w:rFonts w:asciiTheme="majorHAnsi" w:eastAsiaTheme="majorEastAsia" w:hAnsiTheme="majorHAnsi" w:cstheme="majorBidi"/>
      <w:i/>
      <w:iCs/>
      <w:color w:val="243F60" w:themeColor="accent1" w:themeShade="7F"/>
    </w:rPr>
  </w:style>
  <w:style w:type="character" w:customStyle="1" w:styleId="Titolo7Carattere">
    <w:name w:val="Titolo 7 Carattere"/>
    <w:basedOn w:val="Carpredefinitoparagrafo"/>
    <w:link w:val="Titolo7"/>
    <w:uiPriority w:val="9"/>
    <w:semiHidden/>
    <w:rsid w:val="0003148D"/>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Titolo9Carattere">
    <w:name w:val="Titolo 9 Carattere"/>
    <w:basedOn w:val="Carpredefinitoparagrafo"/>
    <w:link w:val="Titolo9"/>
    <w:uiPriority w:val="9"/>
    <w:semiHidden/>
    <w:rsid w:val="0003148D"/>
    <w:rPr>
      <w:rFonts w:asciiTheme="majorHAnsi" w:eastAsiaTheme="majorEastAsia" w:hAnsiTheme="majorHAnsi" w:cstheme="majorBidi"/>
      <w:i/>
      <w:iCs/>
      <w:color w:val="404040" w:themeColor="text1" w:themeTint="BF"/>
      <w:sz w:val="20"/>
      <w:szCs w:val="20"/>
    </w:rPr>
  </w:style>
  <w:style w:type="paragraph" w:styleId="Titoloindice">
    <w:name w:val="index heading"/>
    <w:basedOn w:val="Normale"/>
    <w:next w:val="Indice1"/>
    <w:uiPriority w:val="99"/>
    <w:semiHidden/>
    <w:unhideWhenUsed/>
    <w:rsid w:val="0003148D"/>
    <w:rPr>
      <w:rFonts w:asciiTheme="majorHAnsi" w:eastAsiaTheme="majorEastAsia" w:hAnsiTheme="majorHAnsi" w:cstheme="majorBidi"/>
      <w:b/>
      <w:bCs/>
    </w:rPr>
  </w:style>
  <w:style w:type="paragraph" w:styleId="Titoloindicefonti">
    <w:name w:val="toa heading"/>
    <w:basedOn w:val="Normale"/>
    <w:next w:val="Normale"/>
    <w:uiPriority w:val="99"/>
    <w:semiHidden/>
    <w:unhideWhenUsed/>
    <w:rsid w:val="0003148D"/>
    <w:pPr>
      <w:spacing w:before="120"/>
    </w:pPr>
    <w:rPr>
      <w:rFonts w:asciiTheme="majorHAnsi" w:eastAsiaTheme="majorEastAsia" w:hAnsiTheme="majorHAnsi" w:cstheme="majorBidi"/>
      <w:b/>
      <w:bCs/>
      <w:sz w:val="24"/>
      <w:szCs w:val="24"/>
    </w:rPr>
  </w:style>
  <w:style w:type="paragraph" w:styleId="Titolosommario">
    <w:name w:val="TOC Heading"/>
    <w:basedOn w:val="Titolo1"/>
    <w:next w:val="Normale"/>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Carpredefinitoparagrafo"/>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Intestazione">
    <w:name w:val="header"/>
    <w:basedOn w:val="Normale"/>
    <w:link w:val="IntestazioneCarattere"/>
    <w:uiPriority w:val="99"/>
    <w:unhideWhenUsed/>
    <w:rsid w:val="005278B7"/>
    <w:pPr>
      <w:tabs>
        <w:tab w:val="clear" w:pos="7100"/>
        <w:tab w:val="center" w:pos="4819"/>
        <w:tab w:val="right" w:pos="9638"/>
      </w:tabs>
      <w:spacing w:line="240" w:lineRule="auto"/>
    </w:pPr>
  </w:style>
  <w:style w:type="character" w:customStyle="1" w:styleId="IntestazioneCarattere">
    <w:name w:val="Intestazione Carattere"/>
    <w:basedOn w:val="Carpredefinitoparagrafo"/>
    <w:link w:val="Intestazione"/>
    <w:uiPriority w:val="99"/>
    <w:rsid w:val="005278B7"/>
    <w:rPr>
      <w:rFonts w:ascii="Arial" w:eastAsia="Times New Roman" w:hAnsi="Arial" w:cs="Times New Roman"/>
      <w:sz w:val="18"/>
      <w:szCs w:val="20"/>
      <w:lang w:val="en-GB"/>
    </w:rPr>
  </w:style>
  <w:style w:type="paragraph" w:styleId="Pidipagina">
    <w:name w:val="footer"/>
    <w:basedOn w:val="Normale"/>
    <w:link w:val="PidipaginaCarattere"/>
    <w:uiPriority w:val="99"/>
    <w:unhideWhenUsed/>
    <w:rsid w:val="005278B7"/>
    <w:pPr>
      <w:tabs>
        <w:tab w:val="clear" w:pos="7100"/>
        <w:tab w:val="center" w:pos="4819"/>
        <w:tab w:val="right" w:pos="9638"/>
      </w:tabs>
      <w:spacing w:line="240" w:lineRule="auto"/>
    </w:pPr>
  </w:style>
  <w:style w:type="character" w:customStyle="1" w:styleId="PidipaginaCarattere">
    <w:name w:val="Piè di pagina Carattere"/>
    <w:basedOn w:val="Carpredefinitoparagrafo"/>
    <w:link w:val="Pidipagina"/>
    <w:uiPriority w:val="99"/>
    <w:rsid w:val="005278B7"/>
    <w:rPr>
      <w:rFonts w:ascii="Arial" w:eastAsia="Times New Roman" w:hAnsi="Arial" w:cs="Times New Roman"/>
      <w:sz w:val="18"/>
      <w:szCs w:val="20"/>
      <w:lang w:val="en-GB"/>
    </w:rPr>
  </w:style>
  <w:style w:type="table" w:styleId="Grigliatabella">
    <w:name w:val="Table Grid"/>
    <w:basedOn w:val="Tabellanormale"/>
    <w:uiPriority w:val="3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ipertestuale">
    <w:name w:val="Hyperlink"/>
    <w:basedOn w:val="Carpredefinitoparagrafo"/>
    <w:uiPriority w:val="99"/>
    <w:unhideWhenUsed/>
    <w:rsid w:val="00904C62"/>
    <w:rPr>
      <w:color w:val="0000FF" w:themeColor="hyperlink"/>
      <w:u w:val="single"/>
    </w:rPr>
  </w:style>
  <w:style w:type="character" w:customStyle="1" w:styleId="eudoraheader">
    <w:name w:val="eudoraheader"/>
    <w:basedOn w:val="Carpredefinitoparagrafo"/>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 w:type="character" w:styleId="Testosegnaposto">
    <w:name w:val="Placeholder Text"/>
    <w:basedOn w:val="Carpredefinitoparagrafo"/>
    <w:uiPriority w:val="99"/>
    <w:semiHidden/>
    <w:rsid w:val="00E876EA"/>
    <w:rPr>
      <w:color w:val="666666"/>
    </w:rPr>
  </w:style>
  <w:style w:type="paragraph" w:styleId="Paragrafoelenco">
    <w:name w:val="List Paragraph"/>
    <w:basedOn w:val="Normale"/>
    <w:uiPriority w:val="34"/>
    <w:rsid w:val="00BA05CD"/>
    <w:pPr>
      <w:ind w:left="720"/>
      <w:contextualSpacing/>
    </w:pPr>
  </w:style>
  <w:style w:type="character" w:customStyle="1" w:styleId="y2iqfc">
    <w:name w:val="y2iqfc"/>
    <w:basedOn w:val="Carpredefinitoparagrafo"/>
    <w:rsid w:val="00BC4A21"/>
  </w:style>
  <w:style w:type="character" w:styleId="Menzionenonrisolta">
    <w:name w:val="Unresolved Mention"/>
    <w:basedOn w:val="Carpredefinitoparagrafo"/>
    <w:uiPriority w:val="99"/>
    <w:semiHidden/>
    <w:unhideWhenUsed/>
    <w:rsid w:val="00752737"/>
    <w:rPr>
      <w:color w:val="605E5C"/>
      <w:shd w:val="clear" w:color="auto" w:fill="E1DFDD"/>
    </w:rPr>
  </w:style>
  <w:style w:type="character" w:customStyle="1" w:styleId="englishtitle">
    <w:name w:val="englishtitle"/>
    <w:basedOn w:val="Carpredefinitoparagrafo"/>
    <w:rsid w:val="00C12E2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7132237">
      <w:bodyDiv w:val="1"/>
      <w:marLeft w:val="0"/>
      <w:marRight w:val="0"/>
      <w:marTop w:val="0"/>
      <w:marBottom w:val="0"/>
      <w:divBdr>
        <w:top w:val="none" w:sz="0" w:space="0" w:color="auto"/>
        <w:left w:val="none" w:sz="0" w:space="0" w:color="auto"/>
        <w:bottom w:val="none" w:sz="0" w:space="0" w:color="auto"/>
        <w:right w:val="none" w:sz="0" w:space="0" w:color="auto"/>
      </w:divBdr>
    </w:div>
    <w:div w:id="401833217">
      <w:bodyDiv w:val="1"/>
      <w:marLeft w:val="0"/>
      <w:marRight w:val="0"/>
      <w:marTop w:val="0"/>
      <w:marBottom w:val="0"/>
      <w:divBdr>
        <w:top w:val="none" w:sz="0" w:space="0" w:color="auto"/>
        <w:left w:val="none" w:sz="0" w:space="0" w:color="auto"/>
        <w:bottom w:val="none" w:sz="0" w:space="0" w:color="auto"/>
        <w:right w:val="none" w:sz="0" w:space="0" w:color="auto"/>
      </w:divBdr>
    </w:div>
    <w:div w:id="599264954">
      <w:bodyDiv w:val="1"/>
      <w:marLeft w:val="0"/>
      <w:marRight w:val="0"/>
      <w:marTop w:val="0"/>
      <w:marBottom w:val="0"/>
      <w:divBdr>
        <w:top w:val="none" w:sz="0" w:space="0" w:color="auto"/>
        <w:left w:val="none" w:sz="0" w:space="0" w:color="auto"/>
        <w:bottom w:val="none" w:sz="0" w:space="0" w:color="auto"/>
        <w:right w:val="none" w:sz="0" w:space="0" w:color="auto"/>
      </w:divBdr>
    </w:div>
    <w:div w:id="652224473">
      <w:bodyDiv w:val="1"/>
      <w:marLeft w:val="0"/>
      <w:marRight w:val="0"/>
      <w:marTop w:val="0"/>
      <w:marBottom w:val="0"/>
      <w:divBdr>
        <w:top w:val="none" w:sz="0" w:space="0" w:color="auto"/>
        <w:left w:val="none" w:sz="0" w:space="0" w:color="auto"/>
        <w:bottom w:val="none" w:sz="0" w:space="0" w:color="auto"/>
        <w:right w:val="none" w:sz="0" w:space="0" w:color="auto"/>
      </w:divBdr>
    </w:div>
    <w:div w:id="674958022">
      <w:bodyDiv w:val="1"/>
      <w:marLeft w:val="0"/>
      <w:marRight w:val="0"/>
      <w:marTop w:val="0"/>
      <w:marBottom w:val="0"/>
      <w:divBdr>
        <w:top w:val="none" w:sz="0" w:space="0" w:color="auto"/>
        <w:left w:val="none" w:sz="0" w:space="0" w:color="auto"/>
        <w:bottom w:val="none" w:sz="0" w:space="0" w:color="auto"/>
        <w:right w:val="none" w:sz="0" w:space="0" w:color="auto"/>
      </w:divBdr>
    </w:div>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348756">
      <w:bodyDiv w:val="1"/>
      <w:marLeft w:val="0"/>
      <w:marRight w:val="0"/>
      <w:marTop w:val="0"/>
      <w:marBottom w:val="0"/>
      <w:divBdr>
        <w:top w:val="none" w:sz="0" w:space="0" w:color="auto"/>
        <w:left w:val="none" w:sz="0" w:space="0" w:color="auto"/>
        <w:bottom w:val="none" w:sz="0" w:space="0" w:color="auto"/>
        <w:right w:val="none" w:sz="0" w:space="0" w:color="auto"/>
      </w:divBdr>
    </w:div>
    <w:div w:id="1261648477">
      <w:bodyDiv w:val="1"/>
      <w:marLeft w:val="0"/>
      <w:marRight w:val="0"/>
      <w:marTop w:val="0"/>
      <w:marBottom w:val="0"/>
      <w:divBdr>
        <w:top w:val="none" w:sz="0" w:space="0" w:color="auto"/>
        <w:left w:val="none" w:sz="0" w:space="0" w:color="auto"/>
        <w:bottom w:val="none" w:sz="0" w:space="0" w:color="auto"/>
        <w:right w:val="none" w:sz="0" w:space="0" w:color="auto"/>
      </w:divBdr>
    </w:div>
    <w:div w:id="1436825463">
      <w:bodyDiv w:val="1"/>
      <w:marLeft w:val="0"/>
      <w:marRight w:val="0"/>
      <w:marTop w:val="0"/>
      <w:marBottom w:val="0"/>
      <w:divBdr>
        <w:top w:val="none" w:sz="0" w:space="0" w:color="auto"/>
        <w:left w:val="none" w:sz="0" w:space="0" w:color="auto"/>
        <w:bottom w:val="none" w:sz="0" w:space="0" w:color="auto"/>
        <w:right w:val="none" w:sz="0" w:space="0" w:color="auto"/>
      </w:divBdr>
    </w:div>
    <w:div w:id="1485269794">
      <w:bodyDiv w:val="1"/>
      <w:marLeft w:val="0"/>
      <w:marRight w:val="0"/>
      <w:marTop w:val="0"/>
      <w:marBottom w:val="0"/>
      <w:divBdr>
        <w:top w:val="none" w:sz="0" w:space="0" w:color="auto"/>
        <w:left w:val="none" w:sz="0" w:space="0" w:color="auto"/>
        <w:bottom w:val="none" w:sz="0" w:space="0" w:color="auto"/>
        <w:right w:val="none" w:sz="0" w:space="0" w:color="auto"/>
      </w:divBdr>
    </w:div>
    <w:div w:id="1519344125">
      <w:bodyDiv w:val="1"/>
      <w:marLeft w:val="0"/>
      <w:marRight w:val="0"/>
      <w:marTop w:val="0"/>
      <w:marBottom w:val="0"/>
      <w:divBdr>
        <w:top w:val="none" w:sz="0" w:space="0" w:color="auto"/>
        <w:left w:val="none" w:sz="0" w:space="0" w:color="auto"/>
        <w:bottom w:val="none" w:sz="0" w:space="0" w:color="auto"/>
        <w:right w:val="none" w:sz="0" w:space="0" w:color="auto"/>
      </w:divBdr>
    </w:div>
    <w:div w:id="1635058007">
      <w:bodyDiv w:val="1"/>
      <w:marLeft w:val="0"/>
      <w:marRight w:val="0"/>
      <w:marTop w:val="0"/>
      <w:marBottom w:val="0"/>
      <w:divBdr>
        <w:top w:val="none" w:sz="0" w:space="0" w:color="auto"/>
        <w:left w:val="none" w:sz="0" w:space="0" w:color="auto"/>
        <w:bottom w:val="none" w:sz="0" w:space="0" w:color="auto"/>
        <w:right w:val="none" w:sz="0" w:space="0" w:color="auto"/>
      </w:divBdr>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6874395">
      <w:bodyDiv w:val="1"/>
      <w:marLeft w:val="0"/>
      <w:marRight w:val="0"/>
      <w:marTop w:val="0"/>
      <w:marBottom w:val="0"/>
      <w:divBdr>
        <w:top w:val="none" w:sz="0" w:space="0" w:color="auto"/>
        <w:left w:val="none" w:sz="0" w:space="0" w:color="auto"/>
        <w:bottom w:val="none" w:sz="0" w:space="0" w:color="auto"/>
        <w:right w:val="none" w:sz="0" w:space="0" w:color="auto"/>
      </w:divBdr>
    </w:div>
    <w:div w:id="1907261359">
      <w:bodyDiv w:val="1"/>
      <w:marLeft w:val="0"/>
      <w:marRight w:val="0"/>
      <w:marTop w:val="0"/>
      <w:marBottom w:val="0"/>
      <w:divBdr>
        <w:top w:val="none" w:sz="0" w:space="0" w:color="auto"/>
        <w:left w:val="none" w:sz="0" w:space="0" w:color="auto"/>
        <w:bottom w:val="none" w:sz="0" w:space="0" w:color="auto"/>
        <w:right w:val="none" w:sz="0" w:space="0" w:color="auto"/>
      </w:divBdr>
    </w:div>
    <w:div w:id="1983846134">
      <w:bodyDiv w:val="1"/>
      <w:marLeft w:val="0"/>
      <w:marRight w:val="0"/>
      <w:marTop w:val="0"/>
      <w:marBottom w:val="0"/>
      <w:divBdr>
        <w:top w:val="none" w:sz="0" w:space="0" w:color="auto"/>
        <w:left w:val="none" w:sz="0" w:space="0" w:color="auto"/>
        <w:bottom w:val="none" w:sz="0" w:space="0" w:color="auto"/>
        <w:right w:val="none" w:sz="0" w:space="0" w:color="auto"/>
      </w:divBdr>
    </w:div>
    <w:div w:id="2107532658">
      <w:bodyDiv w:val="1"/>
      <w:marLeft w:val="0"/>
      <w:marRight w:val="0"/>
      <w:marTop w:val="0"/>
      <w:marBottom w:val="0"/>
      <w:divBdr>
        <w:top w:val="none" w:sz="0" w:space="0" w:color="auto"/>
        <w:left w:val="none" w:sz="0" w:space="0" w:color="auto"/>
        <w:bottom w:val="none" w:sz="0" w:space="0" w:color="auto"/>
        <w:right w:val="none" w:sz="0" w:space="0" w:color="auto"/>
      </w:divBdr>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www.climate-chance.org/wp-content/uploads/2019/03/new-fugitive-emissions-a-blind-spot-in-the-fight-against-climate-change.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hyperlink" Target="https://inis.iaea.org/search/searchsinglerecord.aspx?recordsFor=SingleRecord&amp;RN=51070000" TargetMode="Externa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ED2250-9A98-46FF-8E76-DF932B1D39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783</TotalTime>
  <Pages>6</Pages>
  <Words>3433</Words>
  <Characters>19572</Characters>
  <Application>Microsoft Office Word</Application>
  <DocSecurity>0</DocSecurity>
  <Lines>163</Lines>
  <Paragraphs>45</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Dipartimento CMIC - Politecnico di Milano</Company>
  <LinksUpToDate>false</LinksUpToDate>
  <CharactersWithSpaces>22960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raffaella</dc:creator>
  <cp:lastModifiedBy>TeA Tecnologia e Ambiente Srl</cp:lastModifiedBy>
  <cp:revision>51</cp:revision>
  <cp:lastPrinted>2015-05-12T18:31:00Z</cp:lastPrinted>
  <dcterms:created xsi:type="dcterms:W3CDTF">2024-03-07T16:38:00Z</dcterms:created>
  <dcterms:modified xsi:type="dcterms:W3CDTF">2024-03-28T15:07:00Z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id="s8VwuD2U"/&gt;&lt;style id="http://www.zotero.org/styles/chemical-engineering-transactions" hasBibliography="1" bibliographyStyleHasBeenSet="1"/&gt;&lt;prefs&gt;&lt;pref name="fieldType" value="Field"/&gt;&lt;pref na</vt:lpwstr>
  </property>
  <property fmtid="{D5CDD505-2E9C-101B-9397-08002B2CF9AE}" pid="3" name="ZOTERO_PREF_2">
    <vt:lpwstr>me="storeReferences" value="true"/&gt;&lt;pref name="automaticJournalAbbreviations" value=""/&gt;&lt;pref name="noteType" value=""/&gt;&lt;/prefs&gt;&lt;/data&gt;</vt:lpwstr>
  </property>
</Properties>
</file>